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6894/22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6976/22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6894/22</w:t>
            </w:r>
            <w:r>
              <w:rPr>
                <w:rFonts w:cs="David" w:ascii="David" w:hAnsi="David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6976/22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אדם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אסכאפי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אדם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עומר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המתלונן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13063-08-21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ארז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פורת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4846"/>
        <w:gridCol w:w="287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/>
                <w:sz w:val="24"/>
                <w:sz w:val="24"/>
                <w:szCs w:val="24"/>
                <w:rtl w:val="true"/>
              </w:rPr>
              <w:t>תאריך הישיבה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4846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"</w:t>
            </w:r>
            <w:r>
              <w:rPr>
                <w:rFonts w:ascii="David" w:hAnsi="David"/>
                <w:sz w:val="24"/>
                <w:sz w:val="24"/>
                <w:szCs w:val="24"/>
                <w:rtl w:val="true"/>
              </w:rPr>
              <w:t xml:space="preserve">ז באדר </w:t>
            </w:r>
            <w:r>
              <w:rPr>
                <w:rFonts w:ascii="David" w:hAnsi="David"/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"</w:t>
            </w:r>
            <w:r>
              <w:rPr>
                <w:rFonts w:ascii="David" w:hAnsi="David"/>
                <w:sz w:val="24"/>
                <w:sz w:val="24"/>
                <w:szCs w:val="24"/>
                <w:rtl w:val="true"/>
              </w:rPr>
              <w:t xml:space="preserve">ג 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(</w:t>
            </w:r>
            <w:r>
              <w:rPr>
                <w:rFonts w:cs="David" w:ascii="David" w:hAnsi="David"/>
                <w:sz w:val="24"/>
                <w:szCs w:val="24"/>
              </w:rPr>
              <w:t>20</w:t>
            </w:r>
            <w:r>
              <w:rPr>
                <w:rFonts w:cs="David" w:ascii="David" w:hAnsi="David"/>
                <w:sz w:val="24"/>
                <w:szCs w:val="24"/>
              </w:rPr>
              <w:t>.</w:t>
            </w:r>
            <w:r>
              <w:rPr>
                <w:rFonts w:cs="David" w:ascii="David" w:hAnsi="David"/>
                <w:sz w:val="24"/>
                <w:szCs w:val="24"/>
              </w:rPr>
              <w:t>3</w:t>
            </w:r>
            <w:r>
              <w:rPr>
                <w:rFonts w:cs="David" w:ascii="David" w:hAnsi="David"/>
                <w:sz w:val="24"/>
                <w:szCs w:val="24"/>
              </w:rPr>
              <w:t>.2023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)</w:t>
            </w:r>
          </w:p>
        </w:tc>
        <w:tc>
          <w:tcPr>
            <w:tcW w:w="28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cs="David" w:ascii="David" w:hAnsi="David"/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6894/22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6976/22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חאלד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מחאג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נה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רוסלאן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מחאג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נה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זוהר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ארבל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עודד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ציון</w:t>
            </w:r>
          </w:p>
        </w:tc>
      </w:tr>
    </w:tbl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5" w:name="LawTable"/>
      <w:bookmarkStart w:id="6" w:name="LawTable"/>
      <w:bookmarkEnd w:id="6"/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152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329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2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)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338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3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379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402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448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1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2016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30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דחיית ערעורים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 לפיו הוטל על המערערים עונשי מאסר בפועל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אסכאפי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שמונה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עומר </w:t>
      </w:r>
      <w:r>
        <w:rPr>
          <w:rFonts w:cs="Times New Roman" w:ascii="Times New Roman" w:hAnsi="Times New Roman"/>
          <w:spacing w:val="0"/>
          <w:sz w:val="24"/>
          <w:szCs w:val="26"/>
        </w:rPr>
        <w:t>38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בעקבות הרשעתם במסגרת הסדר טיעון בעבירות 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צעו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בחבורה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רקע לאומני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אידיאולוגי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כחלק מהתפרעות המונים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במהלך מבצע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שומר חומות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הגם שהעונשים הם על הצד הגבוה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הם אינם סוטים מרמת הענישה הנהוגה באופן המצדיק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 בשים לב לחומרתה היתרה של הפרשה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אלימות על רקע לאומני‏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אלימות על רקע אידיאולוגי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 טרור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יידוי בקבוקי תבערה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יידוי אבנים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התפרעות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שיקולים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 ערעורים מאוחדים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הנסבים על חומרת עונשם של המערערים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אסכאפי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עומר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בעקבות הרשעתם במסגרת הסדר טיעון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שלא כלל הסכמה לעניין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התפרעות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פזיזות באש ובחומר לקיח וסיוע לשוד בנסיבות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לעומר יוחסה גם עבירות ניסיון תקיפה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ולאסכאפי – עבירות הצתה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פעולה או עסקה בנשק למטרות טרור ומעשה טרור של חבלה בכוונה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העבירות בוצעו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בחבורה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רקע לאומני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אידיאולוגי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כחלק מהתפרעות המונים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במהלך מבצע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שומר חומות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 הוטלו על המערערים עונשי מאסר בפועל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אסכאפי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שמונה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עומר </w:t>
      </w:r>
      <w:r>
        <w:rPr>
          <w:rFonts w:cs="Times New Roman" w:ascii="Times New Roman" w:hAnsi="Times New Roman"/>
          <w:spacing w:val="0"/>
          <w:sz w:val="24"/>
          <w:szCs w:val="26"/>
        </w:rPr>
        <w:t>38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עונשים נלווים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ובכלל זה הוטל על עומר קנס בסך של </w:t>
      </w:r>
      <w:r>
        <w:rPr>
          <w:rFonts w:cs="Times New Roman" w:ascii="Times New Roman" w:hAnsi="Times New Roman"/>
          <w:spacing w:val="0"/>
          <w:sz w:val="24"/>
          <w:szCs w:val="26"/>
        </w:rPr>
        <w:t>5,000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 או חודשיים מאסר תמורתו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ועל אסכאפי הוטל קנס בסך של </w:t>
      </w:r>
      <w:r>
        <w:rPr>
          <w:rFonts w:cs="Times New Roman" w:ascii="Times New Roman" w:hAnsi="Times New Roman"/>
          <w:spacing w:val="0"/>
          <w:sz w:val="24"/>
          <w:szCs w:val="26"/>
        </w:rPr>
        <w:t>10,000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 או ארבעה חודשי מאסר תמורתו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וכן פיצוי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בסך </w:t>
      </w:r>
      <w:r>
        <w:rPr>
          <w:rFonts w:cs="Times New Roman" w:ascii="Times New Roman" w:hAnsi="Times New Roman"/>
          <w:spacing w:val="0"/>
          <w:sz w:val="24"/>
          <w:szCs w:val="26"/>
        </w:rPr>
        <w:t>10,000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עמית בהסכמת השופטים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ברון 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גרוסקופף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הערעורים בכפוף להקלה מסוימת ברכיב הקנס שהושת על אסכאפי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דרכה של ערכאת הערעור להתערב בעונש שנקבע על ידי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במקרים חריגים של סטיה קיצונית מרף הענישה הנוהג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בשל טעות מהותית שנפלה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המקרה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דנא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נמנה 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חריגים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 עמד לא אחת על חומרתן הרבה של עבירות שעניינן יידוי בקבוקי תבערה ואבנים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הסיכון הטמון בהן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הצורך לנקוט לגביהן מדיניות ענישה מרתיעה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ביחס לעבירת ההצתה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ביחס לעבירת הסיוע לשוד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במקרה דנן בוצעה במשולב עם עבירה של פזיזות באש או בחומר לקיח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שהתבטאה בהפעלת זיקוקים כלפי רכב ובקרבתו של קורבן השוד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וכך במיוחד כאשר העבירות בוצעו על רקע לאומני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אידיאולוגי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כחלק מהתפרעות המונים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במהלך מבצע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שומר חומות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לכך יש להוסיף כי המעשים בוצעו בחבורה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במרכז העיר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כלפי עוברי אורח תמימים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ותוך השמעת התבטאויות מפורשות בעלות אופי לאומני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גזעני כלפי הקורבנות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אין מדובר במעשים מזדמנים או ספונטניים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הם בוצעו לילה אחרי לילה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לילות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ומבלי שיהא בכך כדי לגרום לחבורה לחדול ממעשיה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בקבוקי התבערה הוכנו מבעוד מועד למטרה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בכל אחד מהאירועים חלק מבני החבורה עטו מסיכות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למניעת זיהויים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ומן האישום השני ניתן ללמוד כי הם הסתובבו ברחבי העיר מתוך כוונה לחפש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וניתן לשער שאף אין זה יד המקרה שנשאו עמם זיקוקים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מכל האמור לעיל עולה כי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מסכת האירועים המתוארת בכתב האישום מצדיקה אפוא ענישה מרתיעה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הדברים נכונים ביתר שאת ביחס לאסכאפי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 יוחסו מעשי טרור לפי חוק המאבק בטרור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מאחר שהכין ויידה את בקבוקי התבערה לעבר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מתוך מניע לאומני או אידיאולוגי ובמטרה לעורר פחד או בהלה בציבור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חוק המאבק בטרור מבטא תפיסה ולפיה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יחודן של עבירות אלו מצדיק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הדגשה מיוחדת הן של תכלית ההרתעה בענישה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והן של עיקרון הגמול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וקובע כי העונש המירבי בגין עבירה העולה לכדי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מעשה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הינו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כפל העונש הקבוע לאותה עבירה אך לא יותר 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25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לכך יש להוסיף כי הסיכון הרב שבמעשיו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אלה אף התממש בחלקו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אחד מבקבוקי התבערה שהכין ויידה פגע 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והדליק את מלבושיו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 בדרך נס ובעזרת הנוכחים במקום נמנעה תוצאה חמורה בהרבה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זה שהצית את הקטנוע שנשרף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חלקו במעשים המתוארים באישום השני הנו נכבד ביותר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הוא זה שכיוון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את הזיקוקים לעבר הרכב והפעיל זיקוק נוסף בקרבתו של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בנוגע לעומר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כתב האישום המתוקן לא ייחס לו עבירות שעלו לכדי מעשה טרור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ואין חולק כי </w:t>
      </w:r>
      <w:hyperlink r:id="rId18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37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המאבק בטרור אינו חל לגביו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שציין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– בדומה 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זה בעניין ערדאת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התקבל ערעור המדינה על קולת עונשם של השותפים הנוספים – בחינת מכלול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מלמדת כי מן המעשים המיוחסים לו עולה ניחוח גזעני ולאומני מובהק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בשים לב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להתבטאויות שהושמעו תוך כדי ביצועם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מאחר שמדובר בנסיבות הקשורות בביצוע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לקחתן במניין השיקולים בקביעת מתחם העונש ההולם בגדרי דל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 אמותיהן של העבירות שבגינן הורשע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הגם שהעונשים שהושתו על המערערים הם על הצד הגבוה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הם אינם סוטים מרמת הענישה הנהוגה באופן המצדיק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 בשים לב לחומרתה היתרה של הפרשה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כן נדחו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טענות המערערים כי עונשם נקבע מבלי שניתן משקל ראוי לכל נסיבות המקרה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נסיבותיהם המשפחתיות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גילם הצעיר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העדר עבר פלילי מצדם והודאותיהם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מוסיף כי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 משקל גם להתרשמות שירות המבחן ולפיה המערערים אינם נוטלים אחריות מלאה על מעשיהם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לכך יש להוסיף כי בעבירות מסוג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המבוצעות על רקע אידיאולוגי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לאומני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גזעני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ככלל להעדיף את שיקולי ההרתעה ושמירה על שלום הציבור וביטחונו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פני שיקולים אחרים הקשורים בנסיבות אישיות ושיקולי שיקום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וזה העיקר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ממילא העמיד את עונשם של המערערים בתחתית המתחם בגין כל אחד ואחד מהאישומים כנגדם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שדין טענות אלה להידחות ולו מן הטעם הזה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הדין גם באשר לטענות אסכאפי ולפיהן היה מקום לראות בכל המעשים המפורטים בכתב האישום כאירוע אחד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קביעת מתחם ענישה אחד היה מוביל להקלה מסוימת בעונשו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כשלעצמ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נוטה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עמית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להסכים כי מבחן הקשר ההדוק לא מתקיים במקרה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בדין נקבעו מתחמי ענישה נפרדים עבור כל אחד מהאישומים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המדובר במעשים שאינם קשורים זה בזה מבחינת סוג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אופן ביצוען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 הביצוע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מבחינת נפגעי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 המתוארות באישומים השונים אינן מאופיינות בשיטתיות מסוימת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ביצועה של אחת מהן לא נועד לשרת את ביצועה של האחרת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קשה לומר כי הן חלק מתוכנית עבריינית אחת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די בעובדה שהמעשים בוצעו יום אחרי יום ועל רקע אירועי שומר החומות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כשלעצמה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מנת לבסס את הטענות כי במקרה דנן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הייתה מחשבה פלילית אחת לביצוע אותה תכנית עבריינית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ושהאירוע העברייני התגלגל ונמשך יומיים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 נפל איפוא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דופי בקביעתו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בנושא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כל פנים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נוכח 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מסקנה כי העונש שנגזר על אסכאפי הולם את חומרת מעשיו ואינו חורג ממדיניות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ממילא אין באופן סיווג המתחמים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כשלעצמו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כדי להצדיק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אף לא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מצא שיש מקום להקל בעונשו של עומר מטעמים של אחידות הענישה בינו לבין השותפים הנוספים בפרשה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בשונה מהשותפים הנוספים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לעומר יוחס במסגרת האישום הראשון מעשה ספציפי של זריקת אבנים והדבר התבטא בכך שנזקפה לחובתו עבירה נוספת של ניסיון תקיפה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אם האבנים שהשליך לא פגעו באיש בסופו של דבר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בכך כדי לגרוע מחומרת מעשיו ואין אפוא מקום להקל בעונשו באופן שיאיין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עבירת ניסיון התקיפה שיוחסה 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לכך יש להוסיף כי בעניין ערדאת התקבל ערעור המדינה על קולת עונשם של השותפים הנוספים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ועונשיהם הועמדו בין </w:t>
      </w:r>
      <w:r>
        <w:rPr>
          <w:rFonts w:cs="Times New Roman" w:ascii="Times New Roman" w:hAnsi="Times New Roman"/>
          <w:spacing w:val="0"/>
          <w:sz w:val="24"/>
          <w:szCs w:val="26"/>
        </w:rPr>
        <w:t>32-28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 מאסר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 בשל הכלל לפיו ערכאת הערעור אינה נוטה למצות את מלוא חומרת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בכך יש כדי להסביר הבדל מסוים בענישה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כל האמור לעיל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ובשים לב לכך שההבדל בענישה בין עומר לבין השותפים הנוספים נע בין </w:t>
      </w:r>
      <w:r>
        <w:rPr>
          <w:rFonts w:cs="Times New Roman" w:ascii="Times New Roman" w:hAnsi="Times New Roman"/>
          <w:spacing w:val="0"/>
          <w:sz w:val="24"/>
          <w:szCs w:val="26"/>
        </w:rPr>
        <w:t>10-6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מצא כי עניין זה מקים עילה להתערבות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אסכאפי הלין גם כנגד חומרת הענישה הנלווית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ובפרט על כך שהוטל עליו קנס בשיעור משמעותי מבחינתו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שעלול לאלץ אותו לרצות את תקופת המאסר חלף הקנס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בנוסף לעונש המאסר הכבד שנגזר 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לנוכח עמדת המדינה ולפנים משורת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הוחלט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לקבל את ערעורו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לעניין 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במובן זה שרכיב המאסר חלף קנס יבוטל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spacing w:lineRule="auto" w:line="240"/>
        <w:ind w:end="0"/>
        <w:jc w:val="start"/>
        <w:rPr>
          <w:rFonts w:ascii="Century" w:hAnsi="Century" w:cs="Century"/>
          <w:spacing w:val="0"/>
          <w:sz w:val="24"/>
          <w:szCs w:val="26"/>
        </w:rPr>
      </w:pPr>
      <w:r>
        <w:rPr>
          <w:rFonts w:cs="Century" w:ascii="Century" w:hAnsi="Century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4"/>
          <w:szCs w:val="24"/>
          <w:u w:val="single"/>
        </w:rPr>
      </w:pPr>
      <w:r>
        <w:rPr>
          <w:rFonts w:cs="Century" w:ascii="Century" w:hAnsi="Century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פורת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13063-08-21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6.9.2022</w:t>
      </w:r>
      <w:r>
        <w:rPr>
          <w:rtl w:val="true"/>
        </w:rPr>
        <w:t xml:space="preserve">, </w:t>
      </w:r>
      <w:r>
        <w:rPr>
          <w:rtl w:val="true"/>
        </w:rPr>
        <w:t>הנסבים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אסכאפי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אסכאפי</w:t>
      </w:r>
      <w:r>
        <w:rPr>
          <w:rFonts w:ascii="Century" w:hAnsi="Century" w:cs="Century"/>
          <w:rtl w:val="true"/>
        </w:rPr>
        <w:t xml:space="preserve"> 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עומר</w:t>
      </w:r>
      <w:r>
        <w:rPr>
          <w:rFonts w:ascii="Century" w:hAnsi="Century" w:cs="Century"/>
          <w:rtl w:val="true"/>
        </w:rPr>
        <w:t xml:space="preserve"> וביחד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יאזן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התפרעות</w:t>
      </w:r>
      <w:r>
        <w:rPr>
          <w:rtl w:val="true"/>
        </w:rPr>
        <w:t xml:space="preserve">, </w:t>
      </w:r>
      <w:r>
        <w:rPr>
          <w:rtl w:val="true"/>
        </w:rPr>
        <w:t>פזיזות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לעומר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ולאסכאפי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Century" w:hAnsi="Century" w:cs="Century"/>
          <w:rtl w:val="true"/>
        </w:rPr>
        <w:t xml:space="preserve"> עבירות הצתה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פעולה או עסקה בנשק למטרות טרור ומעשה טרור של חבלה בכוונה מחמירה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ויאזן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אסכאפי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לפתחנו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שלקחו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ספואן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מחמוד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וביחד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השותפים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הנוספים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35822-08-21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>
          <w:rtl w:val="true"/>
        </w:rPr>
        <w:t>ו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4585/22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ערדאת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25.7.2022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ערדאת</w:t>
      </w:r>
      <w:r>
        <w:rPr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הצריכות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color w:val="FF0000"/>
          <w:rtl w:val="true"/>
        </w:rPr>
        <w:tab/>
      </w:r>
      <w:r>
        <w:rPr>
          <w:rFonts w:ascii="Century" w:hAnsi="Century" w:cs="Century"/>
          <w:rtl w:val="true"/>
        </w:rPr>
        <w:t xml:space="preserve">כתב האישום המתוקן מגולל מסכת אירועים אלימים שהתרחשו בעיר חיפה בשנת </w:t>
      </w:r>
      <w:r>
        <w:rPr>
          <w:rFonts w:cs="Century" w:ascii="Century" w:hAnsi="Century"/>
        </w:rPr>
        <w:t>2021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בעיצומו של מבצע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שומר החומות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כחלק מגל הפרות סדר והתפרעויות אלימות על רקע </w:t>
      </w:r>
      <w:r>
        <w:rPr>
          <w:rFonts w:ascii="Century" w:hAnsi="Century" w:cs="Century"/>
          <w:rtl w:val="true"/>
        </w:rPr>
        <w:t>לאומני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גזעני</w:t>
      </w:r>
      <w:r>
        <w:rPr>
          <w:rFonts w:ascii="Century" w:hAnsi="Century" w:cs="Century"/>
          <w:rtl w:val="true"/>
        </w:rPr>
        <w:t xml:space="preserve"> שהתעורר במהלך המבצע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לפי עובדות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10.5.2021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 בסמוך לכך הכינו אסכאפי ויאזן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בקבוקי תבערה במטרה ליידותם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בליל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11.5.2021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התקהלו המערערים עם יאזן והשותפים </w:t>
      </w:r>
      <w:r>
        <w:rPr>
          <w:rtl w:val="true"/>
        </w:rPr>
        <w:t>הנוספים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כל השישה יחדיו יכונו 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החבורה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ועם אחרים שזהותם אינה ידועה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הפורעים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בחניון הסמוך לבניין ברחוב העצמאות בחיפה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הבניין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חלק מהפורעים עטו מסכות על מנת שלא ניתן יהיה לזהותם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וחלקם נשאו אבנים ואת בקבוקי התבערה שאסכאפי ויאזן הכינו יום קודם לכן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באותה העת נסעו רון ודניאל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ascii="Century" w:hAnsi="Century" w:cs="Century"/>
          <w:rtl w:val="true"/>
        </w:rPr>
        <w:t xml:space="preserve"> ביחד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המתלוננים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ברחוב העצמאות והגיעו לצומת שבקרבת הבניין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כאשר דניאל רכב על קטנוע שעליו דגל ישראל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הקטנוע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ורון רכב על אופנוע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רון חצה את הצומת והמשיך בנסיעתו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שדניאל עצר ברמזור אדום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מיד לאחר מכן התקרבו לדניאל שני רוכבי אופנוע שזהותם אינה ידועה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בעטו 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גידפו אותו ואחד מהם ירד לכיוונו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דניאל ירד מהקטנוע והתרחק בהליכה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והשניים לקחו את מפתחות הקטנוע ונסעו מהמקום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בזמן שדניאל ניסה להתקרב לקטנוע אחרים שזהותם אינה ידועה השליכו לעברו בקבוקי זכוכית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בשלב מסוים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חזר רון למקום וסייע לדניאל להזיז את הקטנוע ולהחנותו בסמוך לבניין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זמן קצר לאחר מכן הגיח אסכאפי מאזור הבניין </w:t>
      </w:r>
      <w:r>
        <w:rPr>
          <w:rtl w:val="true"/>
        </w:rPr>
        <w:t>והצית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ונשרף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אסכאפי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ויידה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בוערים</w:t>
      </w:r>
      <w:r>
        <w:rPr>
          <w:rtl w:val="true"/>
        </w:rPr>
        <w:t xml:space="preserve">, </w:t>
      </w:r>
      <w:r>
        <w:rPr>
          <w:rtl w:val="true"/>
        </w:rPr>
        <w:t>שהשני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בקסדתו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רון</w:t>
      </w:r>
      <w:r>
        <w:rPr>
          <w:rtl w:val="true"/>
        </w:rPr>
        <w:t xml:space="preserve">. </w:t>
      </w:r>
      <w:r>
        <w:rPr>
          <w:rtl w:val="true"/>
        </w:rPr>
        <w:t>הקסדה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</w:t>
      </w:r>
      <w:r>
        <w:rPr>
          <w:rtl w:val="true"/>
        </w:rPr>
        <w:t xml:space="preserve">, </w:t>
      </w:r>
      <w:r>
        <w:rPr>
          <w:rtl w:val="true"/>
        </w:rPr>
        <w:t>ואנשים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מיהרו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חולצתו</w:t>
      </w:r>
      <w:r>
        <w:rPr>
          <w:rtl w:val="true"/>
        </w:rPr>
        <w:t>-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לבעור</w:t>
      </w:r>
      <w:r>
        <w:rPr>
          <w:rtl w:val="true"/>
        </w:rPr>
        <w:t xml:space="preserve">, </w:t>
      </w:r>
      <w:r>
        <w:rPr>
          <w:rtl w:val="true"/>
        </w:rPr>
        <w:t>ועומר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ופורעים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ascii="Century" w:hAnsi="Century" w:cs="Century"/>
          <w:rtl w:val="true"/>
        </w:rPr>
        <w:t xml:space="preserve"> סייעו לכבותה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יאזן לא נואש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וחזר ליידות בקבוק תבערה בוער נוסף לעבר נוכחים במקום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במהלך האירוע המתואר לעיל עומר יידה אבנים לעבר המתלוננים והנוכחים במקום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ופורעים נוספים יידו בקבוקי תבערה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האירוע המתואר לעיל </w:t>
      </w:r>
      <w:r>
        <w:rPr>
          <w:rFonts w:ascii="Century" w:hAnsi="Century" w:cs="Century"/>
          <w:rtl w:val="true"/>
        </w:rPr>
        <w:t>בא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אל סיומו לאחר שרון שלף אקדח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והחל לרדוף אחרי הפורעים אשר ברחו מהמקום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בגין מעשים אלו יוחסה למערערים עבירת התפרעות לפי </w:t>
      </w:r>
      <w:hyperlink r:id="rId22">
        <w:r>
          <w:rPr>
            <w:rStyle w:val="Hyperlink"/>
            <w:rFonts w:ascii="Century" w:hAnsi="Century" w:cs="Century"/>
            <w:rtl w:val="true"/>
          </w:rPr>
          <w:t>סעיפים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152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יחד עם </w:t>
      </w:r>
      <w:hyperlink r:id="rId23">
        <w:r>
          <w:rPr>
            <w:rStyle w:val="Hyperlink"/>
            <w:rFonts w:cs="Century" w:ascii="Century" w:hAnsi="Century"/>
          </w:rPr>
          <w:t>29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לאסכאפי יוחסו גם עבירות הצתה לפי </w:t>
      </w:r>
      <w:hyperlink r:id="rId2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448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רישא יחד עם </w:t>
      </w:r>
      <w:hyperlink r:id="rId2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בגין הצתת הקטנוע בצוותא עם אחרים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פעולה או עסקה בנשק למטרות טרור לפי </w:t>
      </w:r>
      <w:hyperlink r:id="rId2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המאבק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בטרור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התשע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-</w:t>
        </w:r>
        <w:r>
          <w:rPr>
            <w:rStyle w:val="Hyperlink"/>
            <w:rFonts w:cs="Century" w:ascii="Century" w:hAnsi="Century"/>
            <w:color w:val="0000FF"/>
            <w:u w:val="single"/>
          </w:rPr>
          <w:t>2016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המאבק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בטרור</w:t>
      </w:r>
      <w:r>
        <w:rPr>
          <w:rFonts w:cs="Century" w:ascii="Century" w:hAnsi="Century"/>
          <w:rtl w:val="true"/>
        </w:rPr>
        <w:t>)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יחד עם </w:t>
      </w:r>
      <w:hyperlink r:id="rId2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29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ומעשה טרור של חבלה בכוונה מחמירה לפי </w:t>
      </w:r>
      <w:hyperlink r:id="rId30">
        <w:r>
          <w:rPr>
            <w:rStyle w:val="Hyperlink"/>
            <w:rFonts w:ascii="Century" w:hAnsi="Century" w:cs="Century"/>
            <w:rtl w:val="true"/>
          </w:rPr>
          <w:t>סעיפים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329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31"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cs="Century" w:ascii="Century" w:hAnsi="Century"/>
          </w:rPr>
          <w:t>3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יחד עם </w:t>
      </w:r>
      <w:hyperlink r:id="rId3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</w:t>
      </w:r>
      <w:hyperlink r:id="rId33">
        <w:r>
          <w:rPr>
            <w:rStyle w:val="Hyperlink"/>
            <w:rFonts w:ascii="Century" w:hAnsi="Century" w:cs="Century"/>
            <w:rtl w:val="true"/>
          </w:rPr>
          <w:t>וסעיף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המאבק בטרור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בגין הכנת ויידוי בקבוקי התבערה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ולעומר יוחסה גם עבירת ניסיון תקיפה לפי </w:t>
      </w:r>
      <w:hyperlink r:id="rId34">
        <w:r>
          <w:rPr>
            <w:rStyle w:val="Hyperlink"/>
            <w:rFonts w:ascii="Century" w:hAnsi="Century" w:cs="Century"/>
            <w:rtl w:val="true"/>
          </w:rPr>
          <w:t>סעיפים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379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35">
        <w:r>
          <w:rPr>
            <w:rStyle w:val="Hyperlink"/>
            <w:rFonts w:cs="Century" w:ascii="Century" w:hAnsi="Century"/>
          </w:rPr>
          <w:t>29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בגין זריקת האבנים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יוער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גם ליאזן יוחסו עבירות התפרעות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אותן עבירות טרור שיוחסו לאסכאפי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לפי עובדות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בלילה שלאחר מכן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נסעה החבורה ברחבי חיפה ברכב אחד שבו נהג ספואן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הרכב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בסמוך לחצות הם עצרו את הרכב 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>רחוב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בשכונת הדר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השכונה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ושם יאזן </w:t>
      </w:r>
      <w:r>
        <w:rPr>
          <w:rFonts w:ascii="Century" w:hAnsi="Century" w:cs="Century"/>
          <w:rtl w:val="true"/>
        </w:rPr>
        <w:t>הדליק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בלוק זיקוקים שהחזיק בידו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ואסכאפי יצא מהרכב וכיוון את בלוק הזיקוקים הדולק לעבר רכב שחלף במקום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במקביל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יאזן עודד את אסכאפי לכוון לעבר הרכב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בני החבורה קראו קריאות גנאי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אחד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מהם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קרא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אללה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אכבר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וברוך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השם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וברכב התנגן כל העת שיר שמילותיו מביעות תמיכה במאבק לאומני אלים ומזוין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הסריט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 הדלקת הזיקוקים והשימוש בהם באמצעות מכשיר הטלפון שלו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ובהמשך העביר את הסרטון לאחרים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לאחר מכן המשיכו בני החבורה לנסוע ברחבי השכונה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ובשלב מסוים הבחינו בשליח שרכב על קטנוע של חברת שירותי מזון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ascii="Century" w:hAnsi="Century" w:cs="Century"/>
          <w:rtl w:val="true"/>
        </w:rPr>
        <w:t xml:space="preserve"> בהתאמה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רן</w:t>
      </w:r>
      <w:r>
        <w:rPr>
          <w:rFonts w:ascii="Century" w:hAnsi="Century" w:cs="Century"/>
          <w:rtl w:val="true"/>
        </w:rPr>
        <w:t xml:space="preserve"> 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הקטנוע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הם נסעו בעקבותיו ובקרבתו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כאשר </w:t>
      </w:r>
      <w:r>
        <w:rPr>
          <w:rFonts w:ascii="Century" w:hAnsi="Century" w:cs="Century"/>
          <w:rtl w:val="true"/>
        </w:rPr>
        <w:t>ספואן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הבהב באורות וצפר ברציפות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שאילץ את רן לעצור בצד הדרך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מיד לאחר מכן יצאו מחמוד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יאזן והמערערים מהרכב והתנפלו על רן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מחמוד אמר לו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יהודי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שרמוטה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נכנסים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לכאן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יותר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השכונה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שלנו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>חלק מבני החבורה דחפו את רן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אחד מהם היכה באמצעות אבן בקסדה שחבש על </w:t>
      </w:r>
      <w:r>
        <w:rPr>
          <w:rFonts w:ascii="Century" w:hAnsi="Century" w:cs="Century"/>
          <w:rtl w:val="true"/>
        </w:rPr>
        <w:t>ראשו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אחד אחז</w:t>
      </w:r>
      <w:r>
        <w:rPr>
          <w:rFonts w:ascii="Century" w:hAnsi="Century" w:cs="Century"/>
          <w:color w:val="FF0000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באבן ואמר לו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סתום את הפה יהודי שרמוטה יהודי מניאק זה אזור שלנו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וכאשר </w:t>
      </w:r>
      <w:r>
        <w:rPr>
          <w:rtl w:val="true"/>
        </w:rPr>
        <w:t>רן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בשכם</w:t>
      </w:r>
      <w:r>
        <w:rPr>
          <w:rFonts w:ascii="Century" w:hAnsi="Century" w:cs="Century"/>
          <w:rtl w:val="true"/>
        </w:rPr>
        <w:t xml:space="preserve"> שגרמה לו לחבלה וכאב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אחד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הכהו באמצעות מקל בצלעותיו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ואסכאפי הדליק זיקוק בקרבת רן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לאחר מכן עלה יאזן על </w:t>
      </w:r>
      <w:r>
        <w:rPr>
          <w:rFonts w:ascii="Century" w:hAnsi="Century" w:cs="Century"/>
          <w:rtl w:val="true"/>
        </w:rPr>
        <w:t>הקטנוע</w:t>
      </w:r>
      <w:r>
        <w:rPr>
          <w:rFonts w:ascii="Century" w:hAnsi="Century" w:cs="Century"/>
          <w:rtl w:val="true"/>
        </w:rPr>
        <w:t xml:space="preserve"> של רן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נסע עמו </w:t>
      </w:r>
      <w:r>
        <w:rPr>
          <w:rFonts w:ascii="Century" w:hAnsi="Century" w:cs="Century"/>
          <w:rtl w:val="true"/>
        </w:rPr>
        <w:t>מהמקום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ובהמשך החביא אותו במקום לא ידוע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הקטנוע של רן אותר כשבועיים לאחר מכן כשהוא נטוש וניזוק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שאר בני החבורה עזבו את המקום באמצעות הרכב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במהלך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האירוע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חלק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מבני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החבורה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עטו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מסיכות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פניהם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שאדי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הסריט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עיקרי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האירוע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באמצעות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מכשיר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הטלפון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ובהמשך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העביר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הסרטון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לאחרים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בגין מעשים אלה יוחסה למערערים עבירת סיוע לשוד בנסיבות מחמירות לפי </w:t>
      </w:r>
      <w:hyperlink r:id="rId3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402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ביחד עם </w:t>
      </w:r>
      <w:hyperlink r:id="rId3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למערערים וליאזן יוחסה עבירת פזיזות באש או בחומר לקיח לפי </w:t>
      </w:r>
      <w:hyperlink r:id="rId38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338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3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ביחד עם </w:t>
      </w:r>
      <w:hyperlink r:id="rId3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וליאזן יוחסה עבירת שוד בנסיבות מחמירות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והוגשו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: </w:t>
      </w:r>
      <w:r>
        <w:rPr>
          <w:rtl w:val="true"/>
        </w:rPr>
        <w:t>האחד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והשני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. </w:t>
      </w:r>
      <w:r>
        <w:rPr>
          <w:rtl w:val="true"/>
        </w:rPr>
        <w:t>בראשיתו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ויאזן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זמן קצר לאחר </w:t>
      </w:r>
      <w:r>
        <w:rPr>
          <w:rFonts w:ascii="Century" w:hAnsi="Century" w:cs="Century"/>
          <w:rtl w:val="true"/>
        </w:rPr>
        <w:t>שהחלה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שמיעת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העדויות הם חזרו בהם מכפירתם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והורשעו על סמך הודאתם בכתב אישום מתוקן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במסגרת הסדר </w:t>
      </w:r>
      <w:r>
        <w:rPr>
          <w:rFonts w:ascii="Century" w:hAnsi="Century" w:cs="Century"/>
          <w:rtl w:val="true"/>
        </w:rPr>
        <w:t>טיעון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הסכמה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לגבי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העונש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בגזר הדין עמד בית משפט קמא על כך שבקבוק תבערה מהווה נשק לפי </w:t>
      </w:r>
      <w:hyperlink r:id="rId4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הסיכון הרב שבהשלכתו לעבר אדם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בשים לב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לכך שהושלכו מספר בקבוקי תבערה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לתוצאות המעשים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לכך שהם נעשו בצוותא ובמרכז העיר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ולכך שנעשו במהלך תקופה רגישה מבחינה בטחונית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רקע אידיאולוגי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לאומני ומתוך מטרה להטיל מורא ופחד בקרב הציבור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Century" w:hAnsi="Century" w:cs="Century"/>
          <w:rtl w:val="true"/>
        </w:rPr>
        <w:t xml:space="preserve"> נקבע כי הפגיעה באינטרסים המוגנים הינה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ברף הגבוה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בהמשך לכך נקבע כי מאחר שהאירועים המתוארים באישום הראשון והשני התרחשו באופנים ובמקומות 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לקבוע מתחם ענישה נפרד עבור כל אחד מהם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ובשים לב לחלקו של כל אחד מהם בפרשה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נקבע כי בעניינו של עומר מתחם העונש ההולם בגין האישום הראשון נע בין </w:t>
      </w:r>
      <w:r>
        <w:rPr>
          <w:rFonts w:cs="Century" w:ascii="Century" w:hAnsi="Century"/>
        </w:rPr>
        <w:t>30-18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ועבור האישום השני בין </w:t>
      </w:r>
      <w:r>
        <w:rPr>
          <w:rFonts w:cs="Century" w:ascii="Century" w:hAnsi="Century"/>
        </w:rPr>
        <w:t>40-20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ובעניינו של אסכאפי נקבע כי המתחם ביחס לאישום הראשון נע בין שש לתשע שנות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וביחס לאישום השני בין שנתיים לארבע שנות מאסר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המשפט נתן דעתו לכך שהמערערים הודו במיוחס להם בשלב מוקדם יחסית של ההליך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לגילם הצעיר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לעברם הפלילי הנקי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ולנסיבותיהם המשפחתיות המורכבות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שבאו לידי ביטוי בתסקירי שירות המבחן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צוין כי שירות 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בהתחשב בכל האמור לעיל הועמד עונשו של עומר בגין האישום הראשון על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ובגין האישום השני על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ועונשו של אסכאפי בגין האישום הראשון הועמד על שש שנות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ובגין האישום השני על שנתיים מאסר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מטעמים של גמול והרתעה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Century" w:hAnsi="Century" w:cs="Century"/>
          <w:rtl w:val="true"/>
        </w:rPr>
        <w:t xml:space="preserve"> ובשים לב לקביעה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ערדאת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ולפיה בנסיבות המקרה שם לא היה מקום להורות על חפיפה חלקית של העונשים שנגזרו על השותפים הנוספים בפרשה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Century" w:hAnsi="Century" w:cs="Century"/>
          <w:rtl w:val="true"/>
        </w:rPr>
        <w:t xml:space="preserve"> נקבע כי עונשיהם של המערערים ירוצו במצטבר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שתקופת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מאסרם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תהא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כאמור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הושתו על המערערים גם עונשים נלווים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ובכלל זה הוטל על עומר קנס בסך של </w:t>
      </w:r>
      <w:r>
        <w:rPr>
          <w:rFonts w:cs="Century" w:ascii="Century" w:hAnsi="Century"/>
        </w:rPr>
        <w:t>5,000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ascii="Century" w:hAnsi="Century" w:cs="Century"/>
          <w:rtl w:val="true"/>
        </w:rPr>
        <w:t xml:space="preserve"> או חודשיים מאסר תמורתו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ועל אסכאפי הוטל קנס בסך של </w:t>
      </w:r>
      <w:r>
        <w:rPr>
          <w:rFonts w:cs="Century" w:ascii="Century" w:hAnsi="Century"/>
        </w:rPr>
        <w:t>10,000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ascii="Century" w:hAnsi="Century" w:cs="Century"/>
          <w:rtl w:val="true"/>
        </w:rPr>
        <w:t xml:space="preserve"> או ארבעה חודשי מאסר תמורתו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וכן פיצוי לרון בסך </w:t>
      </w:r>
      <w:r>
        <w:rPr>
          <w:rFonts w:cs="Century" w:ascii="Century" w:hAnsi="Century"/>
        </w:rPr>
        <w:t>10,000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מכאן הערעורים שלפנינו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למען שלמות התמונה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יצוין כי בעניינו של יאזן נקבעו מתחמים של בין ארבע לשש שנות מאסר בפועל בגין האישום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ובין שלוש לחמש שנות מאסר בגין האישום השני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ונגזרו עליו ארבע ושלוש שנות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בהתאמה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שבע שנות מאסר בסך הכל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1"/>
        <w:ind w:firstLine="720"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בערעורו של אסכאפי נטען כי העונש שהוטל עליו חורג באופן קיצוני מרף הענישה הנהוג בעבירות ובנסיבות דומות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בתוך כך נטען כי נקבעו מתחמי ענישה הגבוהים בהרבה מאלה שנקבעו במקרים דומים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לא ניתן משקל ראוי לכל נסיבות המקרה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ובכלל זה לכך שהודה במיוחס לו בשלב מוקדם של ההליך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לכך שהיה בן 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 בלבד בעת ביצוע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ולנסיבותיו האישיות והמשפחתיות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 בתסקיר שירות המבחן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אסכאפי הוסיף וטען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השאר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המדובר באירועים שקיים ביניהם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קשר הדוק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ומכאן שלא היה מקום לראות בשני האישומים כאירועים נפרדים ולקבוע מתחם ענישה עבור כל אחד מהם בנפרד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קביעה זו הובילה להחמרת עונשו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אסכאפי הלין גם כנגד חומרת הענישה הנלווית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ובפרט על כך שהוטל עליו קנס בשיעור משמעותי מבחינתו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שעלול לאלץ אותו לרצות את תקופת המאסר חלף הקנס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בנוסף לעונש המאסר הכבד שנגזר עליו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firstLine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גם עומר טען בערעורו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בגזר הדין לא ניתן משקל מספק לגילו הצעיר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ולכך שהודה במיוחס לו וחסך זמן שיפוטי יקר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עיקר טענותיו בכך שלשיטתו היה מקום להקל בעונשו מטעמים של אחידות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לנוכח העונשים </w:t>
      </w:r>
      <w:r>
        <w:rPr>
          <w:rFonts w:ascii="Century" w:hAnsi="Century" w:cs="Century"/>
          <w:rtl w:val="true"/>
        </w:rPr>
        <w:t>שנגזרו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השותפים הנוספים בפרשה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ערדאת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בתוך כך נטען כי חרף העובדה שהם הורשעו בעבירות ובנסיבות דומות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עונשו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שלו חמור משמעותית משלהם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על אף שחלקם בעבירות היה משמעותי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ושלחלק מהם אף היה עבר פלילי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firstLine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בא כוח המדינה טען מצדו כי לא קמה עילה להתערבות בגזר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לגבי אסכאפי נטען כי עונשו הולם את המעשים החמורים של הצתת הקטנוע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הכנה ויידוי של בקבוקי התבערה לעבר המתלוננים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שאחד מהם אף פגע בקסדתו של רון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את העובדה שיוחסו לו עבירות של מעשי טרור לפי חוק המאבק בטרור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לגבי עומר נטען כי בגדרי האישום הראשון יוחסו לו מעשים קונקרטיים של השלכת אבנים לעבר הנוכחים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בשונה מהשותפים הנוספים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בשל כך יוחסה לו עבירה נוספת של ניסיון תקיפה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עונשיהם של השותפים הנוספים הוחמרו על ידי ערכאת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כידוע אינה ממצה את העונש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מכאן ההבדלים בענישה בינו לבינם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firstLine="72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firstLine="72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בנוגע לרכיב המאסר חלף הקנס שהושת על אסכאפי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 כוח המדינה מסר כי היא משאירה עניין זה לשיקול דעת בית המשפט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firstLine="720"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Miriam"/>
          <w:b/>
          <w:b/>
          <w:spacing w:val="0"/>
          <w:szCs w:val="24"/>
          <w:rtl w:val="true"/>
        </w:rPr>
        <w:t>דיון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לאחר שעיינתי בכל החומר שהונח 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ששקלתי את טענות הצדדים בכתב ובעל 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הגעתי למסקנה כי דין הערעורים להידחות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בכפוף להקלה מסוימת ברכיב הקנס שהושת על אסכאפי כפי שיפורט להלן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אציע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לחבריי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שנעשה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הלכה עמנו כי אין דרכה של ערכאת הערעור להתערב בעונש שנקבע על ידי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במקרים חריגים של סטיה קיצונית מרף הענישה הנוהג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 בשל טעות מהותית שנפלה בגזר הדין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לדוגמה </w:t>
      </w:r>
      <w:hyperlink r:id="rId4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5796/22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21.5.2023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המקרה שלפנינו אינו נופל לגדר אותם מקרים חריגים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משפט זה עמד לא אחת על חומרתן הרבה של עבירות שעניינן יידוי בקבוקי תבערה ואבנים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הסיכון הטמון בהן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ועל הצורך לנקוט לגביהן מדיניות ענישה מרתיעה </w:t>
      </w:r>
      <w:r>
        <w:rPr>
          <w:rFonts w:cs="Century" w:ascii="Century" w:hAnsi="Century"/>
          <w:rtl w:val="true"/>
        </w:rPr>
        <w:t>((</w:t>
      </w:r>
      <w:r>
        <w:rPr>
          <w:rFonts w:ascii="Century" w:hAnsi="Century" w:cs="Century"/>
          <w:rtl w:val="true"/>
        </w:rPr>
        <w:t xml:space="preserve">ראו למשל </w:t>
      </w:r>
      <w:hyperlink r:id="rId4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9821/16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והאסמכתאות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30.11.2017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); </w:t>
      </w:r>
      <w:hyperlink r:id="rId4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292/22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29.5.2022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חליל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כך ביחס לעבירת ההצתה </w:t>
      </w:r>
      <w:r>
        <w:rPr>
          <w:rFonts w:cs="Century" w:ascii="Century" w:hAnsi="Century"/>
          <w:rtl w:val="true"/>
        </w:rPr>
        <w:t>(</w:t>
      </w:r>
      <w:hyperlink r:id="rId4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3793/18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45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והאסמכתאות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3.5.2020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hyperlink r:id="rId4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3793/18</w:t>
        </w:r>
      </w:hyperlink>
      <w:r>
        <w:rPr>
          <w:rFonts w:cs="Century" w:ascii="Century" w:hAnsi="Century"/>
          <w:rtl w:val="true"/>
        </w:rPr>
        <w:t xml:space="preserve">)); </w:t>
      </w:r>
      <w:r>
        <w:rPr>
          <w:rFonts w:ascii="Century" w:hAnsi="Century" w:cs="Century"/>
          <w:rtl w:val="true"/>
        </w:rPr>
        <w:t>כך ביחס לעבירת הסיוע לשוד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במקרה דנן בוצעה במשולב עם עבירה של פזיזות באש או בחומר לקיח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שהתבטאה בהפעלת זיקוקים כלפי רכב ובקרבתו של קורבן השוד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וכך במיוחד כאשר העבירות בוצעו על רקע לאומני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אידיאולוגי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כחלק מהתפרעות המונים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במהלך מבצע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שומר חומות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ראו 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ערדאת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והאסמכתאות 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; </w:t>
      </w:r>
      <w:hyperlink r:id="rId4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2201/23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והאסמכתאות שם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20.6.2023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cs="Century" w:ascii="Century" w:hAnsi="Century"/>
          <w:rtl w:val="true"/>
        </w:rPr>
        <w:t>);</w:t>
      </w:r>
      <w:r>
        <w:rPr>
          <w:rFonts w:cs="Century" w:ascii="Century" w:hAnsi="Century"/>
          <w:color w:val="FF0000"/>
          <w:rtl w:val="true"/>
        </w:rPr>
        <w:t xml:space="preserve">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לכך יש להוסיף כי המעשים המפורטים בכתב האישום בוצעו בחבורה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במרכז העיר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כלפי עוברי אורח תמימים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ותוך השמעת התבטאויות מפורשות בעלות אופי לאומני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גזעני כלפי הקורבנות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אין מדובר במעשים מזדמנים או ספונטניים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הם בוצעו לילה אחרי לילה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ומבלי שיהא בכך כדי לגרום לחבורה לחדול ממעשיה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בקבוקי התבערה הוכנו מבעוד מועד למטרה זו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בכל אחד מהאירועים חלק מבני החבורה עטו מסיכות על מנת למנוע אפשרות לזהותם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ומן האישום השני ניתן ללמוד כי הם הסתובבו ברחבי העיר מתוך כוונה לחפש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צרות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וניתן לשער שאף אין זה יד המקרה שנשאו עמם זיקוקים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מכל האמור לעיל עולה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מסכת האירועים המתוארת בכתב האישום מצדיקה אפוא ענישה מרתיעה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ערדאת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  <w:color w:val="FF0000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הדברים נכונים ביתר שאת ביחס לאסכאפי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לו יוחסו מעשי טרור לפי חוק המאבק בטרור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מאחר שהכין ויידה את בקבוקי התבערה לעבר רון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מתוך מניע לאומני</w:t>
      </w:r>
      <w:r>
        <w:rPr>
          <w:rFonts w:ascii="Century" w:hAnsi="Century" w:cs="Century"/>
          <w:color w:val="FF0000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או אידיאולוגי ובמטרה לעורר פחד או בהלה בציבור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באשר להגדרת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מעשה טרור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ראו </w:t>
      </w:r>
      <w:hyperlink r:id="rId4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המאבק בטרור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חוק המאבק בטרור מבטא תפיסה ולפיה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</w:t>
      </w:r>
      <w:r>
        <w:rPr>
          <w:rFonts w:ascii="Century" w:hAnsi="Century" w:cs="Century"/>
          <w:rtl w:val="true"/>
        </w:rPr>
        <w:t xml:space="preserve">חודן של עבירות אלו מצדיק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הדגשה מיוחדת הן של תכלית ההרתעה בענישה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והן של עיקרון הגמול</w:t>
      </w:r>
      <w:r>
        <w:rPr>
          <w:rFonts w:cs="Century" w:ascii="Century" w:hAnsi="Century"/>
          <w:rtl w:val="true"/>
        </w:rPr>
        <w:t>'" (</w:t>
      </w:r>
      <w:hyperlink r:id="rId4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1466/20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22.7.2020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ראו גם </w:t>
      </w:r>
      <w:hyperlink r:id="rId4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5633/22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28.11.2022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וקובע כי העונש המירבי בגין עבירה העולה לכדי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מעשה טרור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הינו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כפל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העונש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הקבוע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לאותה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יותר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>" (</w:t>
      </w:r>
      <w:hyperlink r:id="rId5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37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המאבק בטרור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לכך יש להוסיף כי הסיכון הרב שבמעשיו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אלה אף התממש בחלקו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כאשר </w:t>
      </w:r>
      <w:r>
        <w:rPr>
          <w:rFonts w:ascii="Century" w:hAnsi="Century" w:cs="Century"/>
          <w:rtl w:val="true"/>
        </w:rPr>
        <w:t>אחד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ascii="Century" w:hAnsi="Century" w:cs="Century"/>
          <w:rtl w:val="true"/>
        </w:rPr>
        <w:t>בקבוקי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התבערה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שהכין ויידה </w:t>
      </w:r>
      <w:r>
        <w:rPr>
          <w:rFonts w:ascii="Century" w:hAnsi="Century" w:cs="Century"/>
          <w:rtl w:val="true"/>
        </w:rPr>
        <w:t>פגע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>רון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והדליק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מלבושיו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באופן ש</w:t>
      </w:r>
      <w:r>
        <w:rPr>
          <w:rFonts w:ascii="Century" w:hAnsi="Century" w:cs="Century"/>
          <w:rtl w:val="true"/>
        </w:rPr>
        <w:t>רק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בדרך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ובעזרת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הנוכחים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במקום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נמנעה </w:t>
      </w:r>
      <w:r>
        <w:rPr>
          <w:rFonts w:ascii="Century" w:hAnsi="Century" w:cs="Century"/>
          <w:rtl w:val="true"/>
        </w:rPr>
        <w:t>תוצאה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חמורה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בהרבה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למשל </w:t>
      </w:r>
      <w:hyperlink r:id="rId5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2579/14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פרחאן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25.5.2015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כי הוא זה שהצית את הקטנוע שנשרף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גם חלקו במעשים המתוארים באישום השני הנו נכבד ביותר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הוא זה שכיוון 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ירה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את הזיקוקים לעבר הרכב והפעיל זיקוק נוסף בקרבתו של רן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color w:val="FF0000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  <w:color w:val="FF0000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color w:val="FF0000"/>
          <w:rtl w:val="true"/>
        </w:rPr>
        <w:tab/>
      </w:r>
      <w:r>
        <w:rPr>
          <w:rFonts w:ascii="Century" w:hAnsi="Century" w:cs="Century"/>
          <w:rtl w:val="true"/>
        </w:rPr>
        <w:t>בנוגע לעומר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כתב האישום המתוקן לא ייחס לו עבירות שעלו לכדי מעשה טרור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חולק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hyperlink r:id="rId5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37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המאבק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בטרור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לגביו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כפי שציין בית משפט קמא – בדומה לבית משפט זה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ערדאת</w:t>
      </w:r>
      <w:r>
        <w:rPr>
          <w:rFonts w:ascii="Century" w:hAnsi="Century" w:cs="Century"/>
          <w:rtl w:val="true"/>
        </w:rPr>
        <w:t xml:space="preserve"> –</w:t>
      </w:r>
      <w:r>
        <w:rPr>
          <w:rFonts w:ascii="Century" w:hAnsi="Century" w:cs="Century"/>
          <w:color w:val="FF0000"/>
          <w:rtl w:val="true"/>
        </w:rPr>
        <w:t xml:space="preserve"> </w:t>
      </w:r>
      <w:r>
        <w:rPr>
          <w:rFonts w:ascii="Century" w:hAnsi="Century" w:cs="Century"/>
          <w:rtl w:val="true"/>
        </w:rPr>
        <w:t>בחינת מכלול נסיבות העניין מלמדת כי מן המעשים המיוחסים לו עולה ניחוח גזעני ולאומני מובהק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בשים לב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להתבטאויות שהושמעו תוך כדי ביצועם כאמור בכתב האישום המתוקן שבו הודו המערערים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מאחר שמדובר בנסיבות הקשורות בביצוע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לקחתן במניין השיקולים בקביעת מתחם העונש ההולם בגדרי דל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 אמותיהן של העבירות שבגינן הורשע</w:t>
      </w:r>
      <w:r>
        <w:rPr>
          <w:rFonts w:ascii="Century" w:hAnsi="Century" w:cs="Century"/>
          <w:color w:val="FF0000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ערדאת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והאסמכתאות שם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  <w:color w:val="FF0000"/>
          <w:rtl w:val="true"/>
        </w:rPr>
        <w:tab/>
      </w: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המערערים טענו כי חרף כל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העונשים שנגזרו עליהם סוטים לחומרה מרף הענישה הנוהג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הצדדים תמכו טענותיהם בפסיקה המעידה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לשיטתם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מדיניות הענישה הנוהגת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זה בכה וזה בכה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משבחנתי את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הגעתי לכלל מסקנה כי הגם שהעונשים שהושתו על המערערים הנם על הצד הגבוה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הם אינם סוטים מרמת הענישה הנהוגה באופן המצדיק את התערבותנו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וכך בפרט בשים לב לחומרתה היתרה של הפרשה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השוו 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בשינויים המחויבים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</w:t>
      </w:r>
      <w:hyperlink r:id="rId5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7848/22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אנסארי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והאסמכתאות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2.5.2023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אנסארי</w:t>
      </w:r>
      <w:r>
        <w:rPr>
          <w:rFonts w:cs="Century" w:ascii="Century" w:hAnsi="Century"/>
          <w:rtl w:val="true"/>
        </w:rPr>
        <w:t xml:space="preserve">); </w:t>
      </w:r>
      <w:hyperlink r:id="rId5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18/22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27.7.2022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hyperlink r:id="rId5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292/22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חליל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29.5.2022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5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9723/16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26.10.2017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hyperlink r:id="rId5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4737/16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27.7.2016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;</w:t>
      </w:r>
      <w:r>
        <w:rPr>
          <w:rtl w:val="true"/>
        </w:rPr>
        <w:t xml:space="preserve"> </w:t>
      </w:r>
      <w:hyperlink r:id="rId5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2579/14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פרחאן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25.5.2015</w:t>
      </w:r>
      <w:r>
        <w:rPr>
          <w:rFonts w:cs="Century" w:ascii="Century" w:hAnsi="Century"/>
          <w:rtl w:val="true"/>
        </w:rPr>
        <w:t xml:space="preserve">); </w:t>
      </w:r>
      <w:hyperlink r:id="rId5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7643/11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7.4.2013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וכן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העונשים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ascii="Century" w:hAnsi="Century" w:cs="Century"/>
          <w:rtl w:val="true"/>
        </w:rPr>
        <w:t>נגזרו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השותפים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האחרים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ערדאת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למעשים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שיוחסו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להם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גם טענות המערערים כי עונשם נקבע מבלי שניתן משקל ראוי לכל נסיבות המקרה – דינן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עיון בגזר הדין מלמד כי בית משפט קמא שקל כדבעי את כל השיקולים שציינו המערערים בערעוריהם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לרבות נסיבותיהם המשפחתיות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גילם הצעיר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העדר עבר פלילי מצדם והודאותיהם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ניתן משקל גם להתרשמות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המבחן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ולפיה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המערערים</w:t>
      </w:r>
      <w:r>
        <w:rPr>
          <w:rFonts w:ascii="Century" w:hAnsi="Century" w:cs="Century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יש להוסיף כי </w:t>
      </w:r>
      <w:r>
        <w:rPr>
          <w:rFonts w:ascii="Century" w:hAnsi="Century" w:cs="Century"/>
          <w:rtl w:val="true"/>
        </w:rPr>
        <w:t>בעבירות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מסוג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המבוצעות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 רקע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אידיאולוגי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לאומני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גזעני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ככלל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להעדיף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שיקולי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ההרתעה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ושמירה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הציבור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וביטחונו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פני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שיקולים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אחרים הקשורים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>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אישיות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ושיקולי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שיקום</w:t>
      </w:r>
      <w:r>
        <w:rPr>
          <w:rFonts w:ascii="Century" w:hAnsi="Century" w:cs="Century"/>
          <w:color w:val="FF0000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למשל </w:t>
      </w:r>
      <w:hyperlink r:id="rId6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8114/22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ראזם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30.1.2023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6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5633/22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</w:t>
      </w:r>
      <w:r>
        <w:rPr>
          <w:rFonts w:ascii="Century" w:hAnsi="Century" w:cs="Century"/>
          <w:rtl w:val="true"/>
        </w:rPr>
        <w:t xml:space="preserve">קאות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28.11.2022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6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3793/18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45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והאסמכתאות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>)</w:t>
      </w:r>
      <w:r>
        <w:rPr>
          <w:rFonts w:cs="FrankRuehl" w:ascii="FrankRuehl" w:hAnsi="FrankRuehl"/>
          <w:sz w:val="28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וזה העיקר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משפט קמא ממילא העמיד את עונשם של המערערים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בתחתית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המתחם</w:t>
      </w:r>
      <w:r>
        <w:rPr>
          <w:rFonts w:ascii="Century" w:hAnsi="Century" w:cs="Century"/>
          <w:rtl w:val="true"/>
        </w:rPr>
        <w:t xml:space="preserve"> בגין כל אחד ואחד מהאישומים כנגדם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כך שדין טענות אלה להידחות ולו מן הטעם הזה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הוא הדין גם באשר לטענות אסכאפי ולפיהן היה מקום לראות בכל המעשים המפורטים בכתב האישום כאירוע אחד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קביעת מתחם ענישה אחד היה מוביל להקלה מסוימת בעונשו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כשלעצמי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נוטה אני להסכים כי מבחן הקשר ההדוק לא מתקיים במקרה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בדין נקבעו מתחמי ענישה נפרדים עבור כל אחד מהאישומים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המדובר במעשים שאינם קשורים זה בזה מבחינת סוג העבירות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אופן ביצוען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מקום הביצוע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מבחינת נפגעי העבירות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העבירות המתוארות באישומים השונים אינן מאופיינות בשיטתיות מסוימת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ביצועה של אחת מהן לא נועד לשרת את ביצועה של האחרת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ואף קשה לומר כי הן חלק מתוכנית עבריינית אחת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</w:t>
      </w:r>
      <w:hyperlink r:id="rId6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1261/15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דלאל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3.9.2015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ודוק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אין די בעובדה שהמעשים בוצעו יום אחרי יום ועל רקע אירועי שומר החומות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כשלעצמה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מנת לבסס את הטענות כי במקרה דנן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הייתה מחשבה פלילית אחת לביצוע אותה תכנית עבריינית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ושהאירוע העברייני התגלגל ונמשך יומיים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ואיני סבור אפוא כי נפל דופי בקביעתו של בית משפט קמא בנושא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השוו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אנסארי</w:t>
      </w:r>
      <w:r>
        <w:rPr>
          <w:rFonts w:cs="Century" w:ascii="Century" w:hAnsi="Century"/>
          <w:rtl w:val="true"/>
        </w:rPr>
        <w:t xml:space="preserve">; </w:t>
      </w:r>
      <w:hyperlink r:id="rId6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3982/22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27.10.2022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6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901/22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אסווד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24.02.2022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וכן לעניין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ערדאת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לא הועלתה טענה כנגד קביעת שני מתחמי ענישה נפרדים בגין האירועים מושא הפרשה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ואולם נקבע כי בשל נסיבותיה יש להורות על ריצוי במצטבר של העונשים שנקבעו בגין כל אחד מהאישומים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על כל פנים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משהגעתי למסקנה כי העונש שנגזר על אסכאפי הולם את חומרת מעשיו ואינו חורג ממדיניות הענישה הנוהגת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ממילא אין באופן סיווג המתחמים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כשלעצמו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כדי להצדיק את התערבותנו בגזר הדין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למשל</w:t>
      </w:r>
      <w:r>
        <w:rPr>
          <w:rFonts w:ascii="Century" w:hAnsi="Century" w:cs="Century"/>
          <w:rtl w:val="true"/>
        </w:rPr>
        <w:t xml:space="preserve"> </w:t>
      </w:r>
      <w:hyperlink r:id="rId6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2216/21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עשור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והאסמכתאות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19.12.2021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color w:val="FF0000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  <w:color w:val="FF0000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מצאנו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להקל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בעונשו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עומר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מטעמים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אחידות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הענישה</w:t>
      </w:r>
      <w:r>
        <w:rPr>
          <w:rFonts w:ascii="Century" w:hAnsi="Century" w:cs="Century"/>
          <w:rtl w:val="true"/>
        </w:rPr>
        <w:t xml:space="preserve"> בינו לבין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השותפים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הנוספים</w:t>
      </w:r>
      <w:r>
        <w:rPr>
          <w:rFonts w:ascii="Century" w:hAnsi="Century" w:cs="Century"/>
          <w:rtl w:val="true"/>
        </w:rPr>
        <w:t xml:space="preserve"> בפרשה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בשונה מהשותפים הנוספים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לעומר יוחס במסגרת האישום הראשון מעשה ספציפי של זריקת אבנים לעבר הנוכחים במקום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והדבר התבטא בכך שנזקפה לחובתו עבירה נוספת של ניסיון תקיפה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גם אם האבנים שהשליך </w:t>
      </w:r>
      <w:r>
        <w:rPr>
          <w:rFonts w:ascii="Century" w:hAnsi="Century" w:cs="Century"/>
          <w:rtl w:val="true"/>
        </w:rPr>
        <w:t>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פגעו באיש בסופו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בכך כדי לגרוע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ascii="Century" w:hAnsi="Century" w:cs="Century"/>
          <w:rtl w:val="true"/>
        </w:rPr>
        <w:t>חומרת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מעשיו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ואין אפוא מקום להקל בעונשו </w:t>
      </w:r>
      <w:r>
        <w:rPr>
          <w:rFonts w:ascii="Century" w:hAnsi="Century" w:cs="Century"/>
          <w:rtl w:val="true"/>
        </w:rPr>
        <w:t>באופן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</w:t>
      </w:r>
      <w:r>
        <w:rPr>
          <w:rFonts w:ascii="Century" w:hAnsi="Century" w:cs="Century"/>
          <w:rtl w:val="true"/>
        </w:rPr>
        <w:t>יאיין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עבירת ניסיון התקיפה שיוחסה לו בכתב האישום המתוקן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לכך יש להוסיף כי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ערדאת</w:t>
      </w:r>
      <w:r>
        <w:rPr>
          <w:rFonts w:ascii="Century" w:hAnsi="Century" w:cs="Century"/>
          <w:rtl w:val="true"/>
        </w:rPr>
        <w:t xml:space="preserve"> התקבל ערעור המדינה על קולת עונשם של השותפים הנוספים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ועונשיהם הועמדו בין </w:t>
      </w:r>
      <w:r>
        <w:rPr>
          <w:rFonts w:cs="Century" w:ascii="Century" w:hAnsi="Century"/>
        </w:rPr>
        <w:t>32-28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 מאסר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בשל הכלל לפיו ערכאת הערעור אינה נוטה למצות את מלוא חומרת הדין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ההדגשה הוספה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גם בכך יש כדי להסביר הבדל מסוים בענישה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שציין בא כוח המדינה בדיון לפנינו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בהינתן כל האמור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ובשים לב לכך שההבדל בענישה בין עומר לבין השותפים הנוספים נע בין </w:t>
      </w:r>
      <w:r>
        <w:rPr>
          <w:rFonts w:cs="Century" w:ascii="Century" w:hAnsi="Century"/>
        </w:rPr>
        <w:t>10-6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מצאתי כי עניין זה מקים עילה להתערבותנו בגזר הדין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אחר הדברים האלה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נתתי דעתי לטענותיו של אסכאפי בעניין רכיב הקנס שהושת עליו בגזר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לנוכח עמדת המדינה ולפנים משורת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אציע לחבריי לקבל את ערעורו אך במובן זה שרכיב המאסר חלף קנס יבוטל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סופו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דבר</w:t>
      </w:r>
      <w:r>
        <w:rPr>
          <w:rFonts w:cs="Century" w:ascii="Century" w:hAnsi="Century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 המשפט המחוזי נתן דעתו לכל השיקולים הצריכים לעניין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מצאנו כי נפל בגזר דינו פגם המצדיק את התערבותנו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הערעורים נדחים אפוא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בכפוף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לאמור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בפסקה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69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ע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ברון</w:t>
      </w:r>
      <w:r>
        <w:rPr>
          <w:rFonts w:cs="Miriam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bookmarkStart w:id="15" w:name="Start_Write"/>
      <w:bookmarkEnd w:id="15"/>
      <w:r>
        <w:rPr>
          <w:rFonts w:cs="Arial TUR;Arial" w:ascii="Arial TUR;Arial" w:hAnsi="Arial TUR;Arial"/>
          <w:sz w:val="22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ע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גרוסקופף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9"/>
        <w:gridCol w:w="2769"/>
        <w:gridCol w:w="2774"/>
      </w:tblGrid>
      <w:tr>
        <w:trPr/>
        <w:tc>
          <w:tcPr>
            <w:tcW w:w="2769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Century" w:cs="Century" w:ascii="Century" w:hAnsi="Century"/>
                <w:rtl w:val="true"/>
              </w:rPr>
              <w:t xml:space="preserve">   </w:t>
            </w:r>
          </w:p>
        </w:tc>
        <w:tc>
          <w:tcPr>
            <w:tcW w:w="2769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74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לפיכך 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16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15.8.2023</w:t>
      </w:r>
      <w:r>
        <w:rPr>
          <w:rFonts w:cs="Century" w:ascii="Century" w:hAnsi="Century"/>
          <w:rtl w:val="true"/>
        </w:rPr>
        <w:t xml:space="preserve">). </w:t>
      </w:r>
      <w:bookmarkEnd w:id="16"/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eastAsia="Arial TUR;Arial" w:cs="Arial TUR;Arial" w:ascii="Arial TUR;Arial" w:hAnsi="Arial TUR;Arial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color w:val="FFFFFF"/>
          <w:sz w:val="2"/>
          <w:szCs w:val="2"/>
        </w:rPr>
      </w:pPr>
      <w:r>
        <w:rPr>
          <w:rFonts w:cs="Arial TUR;Arial" w:ascii="Arial TUR;Arial" w:hAnsi="Arial TUR;Arial"/>
          <w:color w:val="FFFFFF"/>
          <w:sz w:val="2"/>
          <w:szCs w:val="2"/>
        </w:rPr>
        <w:t>5129371</w:t>
      </w:r>
    </w:p>
    <w:tbl>
      <w:tblPr>
        <w:bidiVisual w:val="true"/>
        <w:tblW w:w="831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70"/>
        <w:gridCol w:w="2771"/>
        <w:gridCol w:w="2771"/>
      </w:tblGrid>
      <w:tr>
        <w:trPr/>
        <w:tc>
          <w:tcPr>
            <w:tcW w:w="2770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71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71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1"/>
        <w:ind w:end="0"/>
        <w:jc w:val="both"/>
        <w:rPr>
          <w:szCs w:val="16"/>
        </w:rPr>
      </w:pPr>
      <w:r>
        <w:rPr>
          <w:rFonts w:eastAsia="Century" w:cs="Century" w:ascii="Century" w:hAnsi="Century"/>
          <w:rtl w:val="true"/>
        </w:rPr>
        <w:t xml:space="preserve"> </w:t>
      </w: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22068940</w:t>
      </w:r>
      <w:r>
        <w:rPr>
          <w:sz w:val="16"/>
          <w:rtl w:val="true"/>
        </w:rPr>
        <w:t>_</w:t>
      </w:r>
      <w:r>
        <w:rPr>
          <w:sz w:val="16"/>
        </w:rPr>
        <w:t>E06.docx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7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Ruller381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54678313-6894/22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69"/>
      <w:footerReference w:type="default" r:id="rId7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6894/22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אדם אסכאפי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Arial TUR;Arial" w:hAnsi="Arial TUR;Arial" w:cs="Arial TUR;Arial"/>
    </w:rPr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83953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152" TargetMode="External"/><Relationship Id="rId7" Type="http://schemas.openxmlformats.org/officeDocument/2006/relationships/hyperlink" Target="http://www.nevo.co.il/law/70301/329.a.2" TargetMode="External"/><Relationship Id="rId8" Type="http://schemas.openxmlformats.org/officeDocument/2006/relationships/hyperlink" Target="http://www.nevo.co.il/law/70301/329.a.3" TargetMode="External"/><Relationship Id="rId9" Type="http://schemas.openxmlformats.org/officeDocument/2006/relationships/hyperlink" Target="http://www.nevo.co.il/law/70301/338.a.3" TargetMode="External"/><Relationship Id="rId10" Type="http://schemas.openxmlformats.org/officeDocument/2006/relationships/hyperlink" Target="http://www.nevo.co.il/law/70301/379" TargetMode="External"/><Relationship Id="rId11" Type="http://schemas.openxmlformats.org/officeDocument/2006/relationships/hyperlink" Target="http://www.nevo.co.il/law/70301/402.b" TargetMode="External"/><Relationship Id="rId12" Type="http://schemas.openxmlformats.org/officeDocument/2006/relationships/hyperlink" Target="http://www.nevo.co.il/law/70301/448.a" TargetMode="External"/><Relationship Id="rId13" Type="http://schemas.openxmlformats.org/officeDocument/2006/relationships/hyperlink" Target="http://www.nevo.co.il/law/141771" TargetMode="External"/><Relationship Id="rId14" Type="http://schemas.openxmlformats.org/officeDocument/2006/relationships/hyperlink" Target="http://www.nevo.co.il/law/141771/2.a" TargetMode="External"/><Relationship Id="rId15" Type="http://schemas.openxmlformats.org/officeDocument/2006/relationships/hyperlink" Target="http://www.nevo.co.il/law/141771/30.a" TargetMode="External"/><Relationship Id="rId16" Type="http://schemas.openxmlformats.org/officeDocument/2006/relationships/hyperlink" Target="http://www.nevo.co.il/law/141771/37" TargetMode="External"/><Relationship Id="rId17" Type="http://schemas.openxmlformats.org/officeDocument/2006/relationships/hyperlink" Target="http://www.nevo.co.il/law/141771/37.a" TargetMode="External"/><Relationship Id="rId18" Type="http://schemas.openxmlformats.org/officeDocument/2006/relationships/hyperlink" Target="http://www.nevo.co.il/law/141771/37.a" TargetMode="External"/><Relationship Id="rId19" Type="http://schemas.openxmlformats.org/officeDocument/2006/relationships/hyperlink" Target="http://www.nevo.co.il/case/27839537" TargetMode="External"/><Relationship Id="rId20" Type="http://schemas.openxmlformats.org/officeDocument/2006/relationships/hyperlink" Target="http://www.nevo.co.il/case/27866933" TargetMode="External"/><Relationship Id="rId21" Type="http://schemas.openxmlformats.org/officeDocument/2006/relationships/hyperlink" Target="http://www.nevo.co.il/case/28752891" TargetMode="External"/><Relationship Id="rId22" Type="http://schemas.openxmlformats.org/officeDocument/2006/relationships/hyperlink" Target="http://www.nevo.co.il/law/70301/152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48.a" TargetMode="External"/><Relationship Id="rId26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law/141771/30.a" TargetMode="External"/><Relationship Id="rId28" Type="http://schemas.openxmlformats.org/officeDocument/2006/relationships/hyperlink" Target="http://www.nevo.co.il/law/141771" TargetMode="External"/><Relationship Id="rId29" Type="http://schemas.openxmlformats.org/officeDocument/2006/relationships/hyperlink" Target="http://www.nevo.co.il/law/70301/29" TargetMode="External"/><Relationship Id="rId30" Type="http://schemas.openxmlformats.org/officeDocument/2006/relationships/hyperlink" Target="http://www.nevo.co.il/law/70301/329.a.2" TargetMode="External"/><Relationship Id="rId31" Type="http://schemas.openxmlformats.org/officeDocument/2006/relationships/hyperlink" Target="http://www.nevo.co.il/law/70301/329.a.3" TargetMode="External"/><Relationship Id="rId32" Type="http://schemas.openxmlformats.org/officeDocument/2006/relationships/hyperlink" Target="http://www.nevo.co.il/law/70301/29" TargetMode="External"/><Relationship Id="rId33" Type="http://schemas.openxmlformats.org/officeDocument/2006/relationships/hyperlink" Target="http://www.nevo.co.il/law/141771/37" TargetMode="External"/><Relationship Id="rId34" Type="http://schemas.openxmlformats.org/officeDocument/2006/relationships/hyperlink" Target="http://www.nevo.co.il/law/70301/379" TargetMode="External"/><Relationship Id="rId35" Type="http://schemas.openxmlformats.org/officeDocument/2006/relationships/hyperlink" Target="http://www.nevo.co.il/law/70301/29" TargetMode="External"/><Relationship Id="rId36" Type="http://schemas.openxmlformats.org/officeDocument/2006/relationships/hyperlink" Target="http://www.nevo.co.il/law/70301/402.b" TargetMode="External"/><Relationship Id="rId37" Type="http://schemas.openxmlformats.org/officeDocument/2006/relationships/hyperlink" Target="http://www.nevo.co.il/law/70301/31" TargetMode="External"/><Relationship Id="rId38" Type="http://schemas.openxmlformats.org/officeDocument/2006/relationships/hyperlink" Target="http://www.nevo.co.il/law/70301/338.a.3" TargetMode="External"/><Relationship Id="rId39" Type="http://schemas.openxmlformats.org/officeDocument/2006/relationships/hyperlink" Target="http://www.nevo.co.il/law/70301/29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28912789" TargetMode="External"/><Relationship Id="rId42" Type="http://schemas.openxmlformats.org/officeDocument/2006/relationships/hyperlink" Target="http://www.nevo.co.il/case/23506710" TargetMode="External"/><Relationship Id="rId43" Type="http://schemas.openxmlformats.org/officeDocument/2006/relationships/hyperlink" Target="http://www.nevo.co.il/case/28243256" TargetMode="External"/><Relationship Id="rId44" Type="http://schemas.openxmlformats.org/officeDocument/2006/relationships/hyperlink" Target="http://www.nevo.co.il/case/24263086" TargetMode="External"/><Relationship Id="rId45" Type="http://schemas.openxmlformats.org/officeDocument/2006/relationships/hyperlink" Target="http://www.nevo.co.il/case/24263086" TargetMode="External"/><Relationship Id="rId46" Type="http://schemas.openxmlformats.org/officeDocument/2006/relationships/hyperlink" Target="http://www.nevo.co.il/case/29490950" TargetMode="External"/><Relationship Id="rId47" Type="http://schemas.openxmlformats.org/officeDocument/2006/relationships/hyperlink" Target="http://www.nevo.co.il/law/141771/2.a" TargetMode="External"/><Relationship Id="rId48" Type="http://schemas.openxmlformats.org/officeDocument/2006/relationships/hyperlink" Target="http://www.nevo.co.il/case/26489415" TargetMode="External"/><Relationship Id="rId49" Type="http://schemas.openxmlformats.org/officeDocument/2006/relationships/hyperlink" Target="http://www.nevo.co.il/case/28889052" TargetMode="External"/><Relationship Id="rId50" Type="http://schemas.openxmlformats.org/officeDocument/2006/relationships/hyperlink" Target="http://www.nevo.co.il/law/141771/37.a" TargetMode="External"/><Relationship Id="rId51" Type="http://schemas.openxmlformats.org/officeDocument/2006/relationships/hyperlink" Target="http://www.nevo.co.il/case/13104258" TargetMode="External"/><Relationship Id="rId52" Type="http://schemas.openxmlformats.org/officeDocument/2006/relationships/hyperlink" Target="http://www.nevo.co.il/law/141771/37.a" TargetMode="External"/><Relationship Id="rId53" Type="http://schemas.openxmlformats.org/officeDocument/2006/relationships/hyperlink" Target="http://www.nevo.co.il/case/29145070" TargetMode="External"/><Relationship Id="rId54" Type="http://schemas.openxmlformats.org/officeDocument/2006/relationships/hyperlink" Target="http://www.nevo.co.il/case/28217264" TargetMode="External"/><Relationship Id="rId55" Type="http://schemas.openxmlformats.org/officeDocument/2006/relationships/hyperlink" Target="http://www.nevo.co.il/case/28243256" TargetMode="External"/><Relationship Id="rId56" Type="http://schemas.openxmlformats.org/officeDocument/2006/relationships/hyperlink" Target="http://www.nevo.co.il/case/21771420" TargetMode="External"/><Relationship Id="rId57" Type="http://schemas.openxmlformats.org/officeDocument/2006/relationships/hyperlink" Target="http://www.nevo.co.il/case/21477511" TargetMode="External"/><Relationship Id="rId58" Type="http://schemas.openxmlformats.org/officeDocument/2006/relationships/hyperlink" Target="http://www.nevo.co.il/case/13104258" TargetMode="External"/><Relationship Id="rId59" Type="http://schemas.openxmlformats.org/officeDocument/2006/relationships/hyperlink" Target="http://www.nevo.co.il/case/5603159" TargetMode="External"/><Relationship Id="rId60" Type="http://schemas.openxmlformats.org/officeDocument/2006/relationships/hyperlink" Target="http://www.nevo.co.il/case/29173557" TargetMode="External"/><Relationship Id="rId61" Type="http://schemas.openxmlformats.org/officeDocument/2006/relationships/hyperlink" Target="http://www.nevo.co.il/case/28889052" TargetMode="External"/><Relationship Id="rId62" Type="http://schemas.openxmlformats.org/officeDocument/2006/relationships/hyperlink" Target="http://www.nevo.co.il/case/24263086" TargetMode="External"/><Relationship Id="rId63" Type="http://schemas.openxmlformats.org/officeDocument/2006/relationships/hyperlink" Target="http://www.nevo.co.il/case/20033641" TargetMode="External"/><Relationship Id="rId64" Type="http://schemas.openxmlformats.org/officeDocument/2006/relationships/hyperlink" Target="http://www.nevo.co.il/case/28681545" TargetMode="External"/><Relationship Id="rId65" Type="http://schemas.openxmlformats.org/officeDocument/2006/relationships/hyperlink" Target="http://www.nevo.co.il/case/28296934" TargetMode="External"/><Relationship Id="rId66" Type="http://schemas.openxmlformats.org/officeDocument/2006/relationships/hyperlink" Target="http://www.nevo.co.il/case/27508057" TargetMode="External"/><Relationship Id="rId67" Type="http://schemas.openxmlformats.org/officeDocument/2006/relationships/hyperlink" Target="https://supreme.court.gov.il/" TargetMode="External"/><Relationship Id="rId68" Type="http://schemas.openxmlformats.org/officeDocument/2006/relationships/hyperlink" Target="http://www.nevo.co.il/advertisements/nevo-100.doc" TargetMode="External"/><Relationship Id="rId69" Type="http://schemas.openxmlformats.org/officeDocument/2006/relationships/header" Target="header1.xml"/><Relationship Id="rId70" Type="http://schemas.openxmlformats.org/officeDocument/2006/relationships/footer" Target="footer1.xm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<Relationship Id="rId7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2023-08-21T05:28:00Z</dcterms:created>
  <dc:creator>h4</dc:creator>
  <dc:description/>
  <cp:keywords/>
  <dc:language>en-IL</dc:language>
  <cp:lastModifiedBy>h1</cp:lastModifiedBy>
  <cp:lastPrinted>2023-08-15T12:02:00Z</cp:lastPrinted>
  <dcterms:modified xsi:type="dcterms:W3CDTF">2023-08-21T05:28:00Z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אדם אסכאפי;אדם עומר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ישראל;המתלונן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27839537:2;27866933;28752891;28912789;23506710;28243256:2;24263086:3;29490950;26489415;28889052:2;13104258:2;29145070;28217264;21771420;21477511;5603159;29173557;20033641;28681545;28296934;27508057</vt:lpwstr>
  </property>
  <property fmtid="{D5CDD505-2E9C-101B-9397-08002B2CF9AE}" pid="9" name="CITY">
    <vt:lpwstr/>
  </property>
  <property fmtid="{D5CDD505-2E9C-101B-9397-08002B2CF9AE}" pid="10" name="DATE">
    <vt:lpwstr>20230815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עמית;ע' ברון;ע' גרוסקופף</vt:lpwstr>
  </property>
  <property fmtid="{D5CDD505-2E9C-101B-9397-08002B2CF9AE}" pid="14" name="LAWLISTTMP1">
    <vt:lpwstr>70301/152;029:6;448.a;329.a.2;329.a.3;379;402.b;031;338.a.3</vt:lpwstr>
  </property>
  <property fmtid="{D5CDD505-2E9C-101B-9397-08002B2CF9AE}" pid="15" name="LAWLISTTMP2">
    <vt:lpwstr>141771/030.a;037;002.a;037.a:2</vt:lpwstr>
  </property>
  <property fmtid="{D5CDD505-2E9C-101B-9397-08002B2CF9AE}" pid="16" name="LAWYER">
    <vt:lpwstr>חאלד מחאג'נה;רוסלאן מחאג'נה;זוהר ארבל;עודד ציון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>עונשין</vt:lpwstr>
  </property>
  <property fmtid="{D5CDD505-2E9C-101B-9397-08002B2CF9AE}" pid="34" name="NOSE17">
    <vt:lpwstr>עונשין</vt:lpwstr>
  </property>
  <property fmtid="{D5CDD505-2E9C-101B-9397-08002B2CF9AE}" pid="35" name="NOSE18">
    <vt:lpwstr>עונשין</vt:lpwstr>
  </property>
  <property fmtid="{D5CDD505-2E9C-101B-9397-08002B2CF9AE}" pid="36" name="NOSE19">
    <vt:lpwstr/>
  </property>
  <property fmtid="{D5CDD505-2E9C-101B-9397-08002B2CF9AE}" pid="37" name="NOSE1ID">
    <vt:lpwstr>77;77;77;77;77;77;77;77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>ענישה</vt:lpwstr>
  </property>
  <property fmtid="{D5CDD505-2E9C-101B-9397-08002B2CF9AE}" pid="45" name="NOSE27">
    <vt:lpwstr>ענישה</vt:lpwstr>
  </property>
  <property fmtid="{D5CDD505-2E9C-101B-9397-08002B2CF9AE}" pid="46" name="NOSE28">
    <vt:lpwstr>ענישה</vt:lpwstr>
  </property>
  <property fmtid="{D5CDD505-2E9C-101B-9397-08002B2CF9AE}" pid="47" name="NOSE29">
    <vt:lpwstr/>
  </property>
  <property fmtid="{D5CDD505-2E9C-101B-9397-08002B2CF9AE}" pid="48" name="NOSE2ID">
    <vt:lpwstr>1446;1446;1446;1446;1446;1446;1446;1446</vt:lpwstr>
  </property>
  <property fmtid="{D5CDD505-2E9C-101B-9397-08002B2CF9AE}" pid="49" name="NOSE31">
    <vt:lpwstr>מדיניות ענישה: עבירות אלימות על רקע לאומני‏</vt:lpwstr>
  </property>
  <property fmtid="{D5CDD505-2E9C-101B-9397-08002B2CF9AE}" pid="50" name="NOSE310">
    <vt:lpwstr/>
  </property>
  <property fmtid="{D5CDD505-2E9C-101B-9397-08002B2CF9AE}" pid="51" name="NOSE32">
    <vt:lpwstr>מדיניות ענישה: עבירות אלימות על רקע אידיאולוגי</vt:lpwstr>
  </property>
  <property fmtid="{D5CDD505-2E9C-101B-9397-08002B2CF9AE}" pid="52" name="NOSE33">
    <vt:lpwstr>מדיניות ענישה: התערבות ערכאת ערעור</vt:lpwstr>
  </property>
  <property fmtid="{D5CDD505-2E9C-101B-9397-08002B2CF9AE}" pid="53" name="NOSE34">
    <vt:lpwstr>מדיניות ענישה: מעשה טרור</vt:lpwstr>
  </property>
  <property fmtid="{D5CDD505-2E9C-101B-9397-08002B2CF9AE}" pid="54" name="NOSE35">
    <vt:lpwstr>מדיניות ענישה: יידוי בקבוקי תבערה</vt:lpwstr>
  </property>
  <property fmtid="{D5CDD505-2E9C-101B-9397-08002B2CF9AE}" pid="55" name="NOSE36">
    <vt:lpwstr>מדיניות ענישה: יידוי אבנים</vt:lpwstr>
  </property>
  <property fmtid="{D5CDD505-2E9C-101B-9397-08002B2CF9AE}" pid="56" name="NOSE37">
    <vt:lpwstr>מדיניות ענישה: התפרעות</vt:lpwstr>
  </property>
  <property fmtid="{D5CDD505-2E9C-101B-9397-08002B2CF9AE}" pid="57" name="NOSE38">
    <vt:lpwstr>שיקולים</vt:lpwstr>
  </property>
  <property fmtid="{D5CDD505-2E9C-101B-9397-08002B2CF9AE}" pid="58" name="NOSE39">
    <vt:lpwstr/>
  </property>
  <property fmtid="{D5CDD505-2E9C-101B-9397-08002B2CF9AE}" pid="59" name="NOSE3ID">
    <vt:lpwstr>16899;17645;8982;18497;15301;16102;19469;16896</vt:lpwstr>
  </property>
  <property fmtid="{D5CDD505-2E9C-101B-9397-08002B2CF9AE}" pid="60" name="PADIDATE">
    <vt:lpwstr>20230816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6894;6976</vt:lpwstr>
  </property>
  <property fmtid="{D5CDD505-2E9C-101B-9397-08002B2CF9AE}" pid="66" name="PROCYEAR">
    <vt:lpwstr>22;22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410120230815</vt:lpwstr>
  </property>
  <property fmtid="{D5CDD505-2E9C-101B-9397-08002B2CF9AE}" pid="70" name="TYPE_N_DATE">
    <vt:lpwstr>41020230815</vt:lpwstr>
  </property>
  <property fmtid="{D5CDD505-2E9C-101B-9397-08002B2CF9AE}" pid="71" name="VOLUME">
    <vt:lpwstr/>
  </property>
  <property fmtid="{D5CDD505-2E9C-101B-9397-08002B2CF9AE}" pid="72" name="WORDNUMPAGES">
    <vt:lpwstr>14</vt:lpwstr>
  </property>
</Properties>
</file>