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6898/17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פינקלשטיין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אמיר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47825-01-16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29.6.2017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25.12.2018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חמדאן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גוש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המכוונות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סלידתה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התופעה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הכרוכות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מצלקים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וצלקות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המכוונות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סלידתה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התופעה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כשנתיים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בביתה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מבצרה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הותירו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צלקות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עמוקות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מפגיעתו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המפורט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המכביד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מלמדים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מסוכנותו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להרחיקו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פינקלשטיין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47825-01-16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29.6.2017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הורשע על פי הודאתו בשתי עבירות של ביצוע מעשה מגונה בקטינה בת משפחה</w:t>
      </w:r>
      <w:r>
        <w:rPr>
          <w:rtl w:val="true"/>
        </w:rPr>
        <w:t xml:space="preserve">; </w:t>
      </w:r>
      <w:r>
        <w:rPr>
          <w:rtl w:val="true"/>
        </w:rPr>
        <w:t>ריבוי מעשי סדום בקטינה בת משפחה</w:t>
      </w:r>
      <w:r>
        <w:rPr>
          <w:rtl w:val="true"/>
        </w:rPr>
        <w:t xml:space="preserve">; </w:t>
      </w:r>
      <w:r>
        <w:rPr>
          <w:rtl w:val="true"/>
        </w:rPr>
        <w:t>תקיפת קטינה על ידי אחראי</w:t>
      </w:r>
      <w:r>
        <w:rPr>
          <w:rtl w:val="true"/>
        </w:rPr>
        <w:t xml:space="preserve">. </w:t>
      </w:r>
      <w:r>
        <w:rPr>
          <w:rtl w:val="true"/>
        </w:rPr>
        <w:t>עבירות אלה בוצעו כלפי בתו הקטינה פ</w:t>
      </w:r>
      <w:r>
        <w:rPr>
          <w:rtl w:val="true"/>
        </w:rPr>
        <w:t xml:space="preserve">', </w:t>
      </w:r>
      <w:r>
        <w:rPr>
          <w:rtl w:val="true"/>
        </w:rPr>
        <w:t xml:space="preserve">שהייתה בין הגילאים </w:t>
      </w:r>
      <w:r>
        <w:rPr/>
        <w:t>14-12</w:t>
      </w:r>
      <w:r>
        <w:rPr>
          <w:rtl w:val="true"/>
        </w:rPr>
        <w:t xml:space="preserve"> </w:t>
      </w:r>
      <w:r>
        <w:rPr>
          <w:rtl w:val="true"/>
        </w:rPr>
        <w:t>וכלפי בתו הקטינה נ</w:t>
      </w:r>
      <w:r>
        <w:rPr>
          <w:rtl w:val="true"/>
        </w:rPr>
        <w:t xml:space="preserve">' </w:t>
      </w:r>
      <w:r>
        <w:rPr>
          <w:rtl w:val="true"/>
        </w:rPr>
        <w:t xml:space="preserve">שהייתה בת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במועד ביצוע העבירות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במועד שאינו ידוע במדויק</w:t>
      </w:r>
      <w:r>
        <w:rPr>
          <w:rtl w:val="true"/>
        </w:rPr>
        <w:t xml:space="preserve">, </w:t>
      </w:r>
      <w:r>
        <w:rPr>
          <w:rtl w:val="true"/>
        </w:rPr>
        <w:t xml:space="preserve">בשנת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בעת שפ</w:t>
      </w:r>
      <w:r>
        <w:rPr>
          <w:rtl w:val="true"/>
        </w:rPr>
        <w:t xml:space="preserve">' </w:t>
      </w:r>
      <w:r>
        <w:rPr>
          <w:rtl w:val="true"/>
        </w:rPr>
        <w:t xml:space="preserve">הייתה כבת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נכנס המערער לחדרה בשעות הלילה</w:t>
      </w:r>
      <w:r>
        <w:rPr>
          <w:rtl w:val="true"/>
        </w:rPr>
        <w:t xml:space="preserve">, </w:t>
      </w:r>
      <w:r>
        <w:rPr>
          <w:rtl w:val="true"/>
        </w:rPr>
        <w:t>ניגש למיטתה</w:t>
      </w:r>
      <w:r>
        <w:rPr>
          <w:rtl w:val="true"/>
        </w:rPr>
        <w:t xml:space="preserve">, </w:t>
      </w:r>
      <w:r>
        <w:rPr>
          <w:rtl w:val="true"/>
        </w:rPr>
        <w:t>העיר אותה והחל לגעת בגופה ובחזהּ</w:t>
      </w:r>
      <w:r>
        <w:rPr>
          <w:rtl w:val="true"/>
        </w:rPr>
        <w:t xml:space="preserve">. </w:t>
      </w:r>
      <w:r>
        <w:rPr>
          <w:rtl w:val="true"/>
        </w:rPr>
        <w:t>לאחר ששמע שאשתו התעוררה</w:t>
      </w:r>
      <w:r>
        <w:rPr>
          <w:rtl w:val="true"/>
        </w:rPr>
        <w:t xml:space="preserve">, </w:t>
      </w:r>
      <w:r>
        <w:rPr>
          <w:rtl w:val="true"/>
        </w:rPr>
        <w:t>הניח המערער לפ</w:t>
      </w:r>
      <w:r>
        <w:rPr>
          <w:rtl w:val="true"/>
        </w:rPr>
        <w:t xml:space="preserve">' </w:t>
      </w:r>
      <w:r>
        <w:rPr>
          <w:rtl w:val="true"/>
        </w:rPr>
        <w:t>ועזב את חדרה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5:30</w:t>
      </w:r>
      <w:r>
        <w:rPr>
          <w:rtl w:val="true"/>
        </w:rPr>
        <w:t xml:space="preserve"> </w:t>
      </w:r>
      <w:r>
        <w:rPr>
          <w:rtl w:val="true"/>
        </w:rPr>
        <w:t>לפנות בוקר</w:t>
      </w:r>
      <w:r>
        <w:rPr>
          <w:rtl w:val="true"/>
        </w:rPr>
        <w:t xml:space="preserve">, </w:t>
      </w:r>
      <w:r>
        <w:rPr>
          <w:rtl w:val="true"/>
        </w:rPr>
        <w:t>שב המערער לחדרה של פ</w:t>
      </w:r>
      <w:r>
        <w:rPr>
          <w:rtl w:val="true"/>
        </w:rPr>
        <w:t xml:space="preserve">' </w:t>
      </w:r>
      <w:r>
        <w:rPr>
          <w:rtl w:val="true"/>
        </w:rPr>
        <w:t>ופעם נוספת העיר אותה ונגע בחזהּ לשם סיפוק מיני</w:t>
      </w:r>
      <w:r>
        <w:rPr>
          <w:rtl w:val="true"/>
        </w:rPr>
        <w:t xml:space="preserve">. </w:t>
      </w:r>
      <w:r>
        <w:rPr>
          <w:rtl w:val="true"/>
        </w:rPr>
        <w:t xml:space="preserve">בגין מעשים אלה הורשע המערער בשני אישומים של ביצוע מעשה מגונה בקטין חסר ישע על ידי אחראי לפי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בנסיבות </w:t>
      </w:r>
      <w:hyperlink r:id="rId1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hyperlink r:id="rId1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העובדות המתוארות באישום השלישי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בין השנים </w:t>
      </w:r>
      <w:r>
        <w:rPr/>
        <w:t>2015-2013</w:t>
      </w:r>
      <w:r>
        <w:rPr>
          <w:rtl w:val="true"/>
        </w:rPr>
        <w:t xml:space="preserve">, </w:t>
      </w:r>
      <w:r>
        <w:rPr>
          <w:rtl w:val="true"/>
        </w:rPr>
        <w:t>במועדים רבים שאינם ידועים במדויק</w:t>
      </w:r>
      <w:r>
        <w:rPr>
          <w:rtl w:val="true"/>
        </w:rPr>
        <w:t xml:space="preserve">, </w:t>
      </w:r>
      <w:r>
        <w:rPr>
          <w:rtl w:val="true"/>
        </w:rPr>
        <w:t>נהג המערער להיכנס לחדרה של פ</w:t>
      </w:r>
      <w:r>
        <w:rPr>
          <w:rtl w:val="true"/>
        </w:rPr>
        <w:t xml:space="preserve">', </w:t>
      </w:r>
      <w:r>
        <w:rPr>
          <w:rtl w:val="true"/>
        </w:rPr>
        <w:t>להובילה לחדר השינה שלו</w:t>
      </w:r>
      <w:r>
        <w:rPr>
          <w:rtl w:val="true"/>
        </w:rPr>
        <w:t xml:space="preserve">, </w:t>
      </w:r>
      <w:r>
        <w:rPr>
          <w:rtl w:val="true"/>
        </w:rPr>
        <w:t>לאחר שאשתו יצאה לעבודתה</w:t>
      </w:r>
      <w:r>
        <w:rPr>
          <w:rtl w:val="true"/>
        </w:rPr>
        <w:t xml:space="preserve">, </w:t>
      </w:r>
      <w:r>
        <w:rPr>
          <w:rtl w:val="true"/>
        </w:rPr>
        <w:t>ולהפשיטה בכוח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דחף המערער את פ</w:t>
      </w:r>
      <w:r>
        <w:rPr>
          <w:rtl w:val="true"/>
        </w:rPr>
        <w:t xml:space="preserve">' </w:t>
      </w:r>
      <w:r>
        <w:rPr>
          <w:rtl w:val="true"/>
        </w:rPr>
        <w:t>על מיטתו</w:t>
      </w:r>
      <w:r>
        <w:rPr>
          <w:rtl w:val="true"/>
        </w:rPr>
        <w:t xml:space="preserve">, </w:t>
      </w:r>
      <w:r>
        <w:rPr>
          <w:rtl w:val="true"/>
        </w:rPr>
        <w:t>כך ששכבה על בטנה</w:t>
      </w:r>
      <w:r>
        <w:rPr>
          <w:rtl w:val="true"/>
        </w:rPr>
        <w:t xml:space="preserve">, </w:t>
      </w:r>
      <w:r>
        <w:rPr>
          <w:rtl w:val="true"/>
        </w:rPr>
        <w:t>והחדיר בכוח את איבר מינו לפי הטבעת שלה</w:t>
      </w:r>
      <w:r>
        <w:rPr>
          <w:rtl w:val="true"/>
        </w:rPr>
        <w:t xml:space="preserve">. </w:t>
      </w:r>
      <w:r>
        <w:rPr>
          <w:rtl w:val="true"/>
        </w:rPr>
        <w:t>בחלק מהמקרים הכה המערער את פ</w:t>
      </w:r>
      <w:r>
        <w:rPr>
          <w:rtl w:val="true"/>
        </w:rPr>
        <w:t xml:space="preserve">' </w:t>
      </w:r>
      <w:r>
        <w:rPr>
          <w:rtl w:val="true"/>
        </w:rPr>
        <w:t>וסטר על פניה על מנת להתגבר על התנגדותה</w:t>
      </w:r>
      <w:r>
        <w:rPr>
          <w:rtl w:val="true"/>
        </w:rPr>
        <w:t xml:space="preserve">. </w:t>
      </w:r>
      <w:r>
        <w:rPr>
          <w:rtl w:val="true"/>
        </w:rPr>
        <w:t xml:space="preserve">בגין מעשים אלה הורשע המערער בביצוע מעשי סדום בקטינה מתחת לגיל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ביחד עם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הורשע המערער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בשני אישומים של גרימת חבלה חמורה</w:t>
      </w:r>
      <w:r>
        <w:rPr>
          <w:rtl w:val="true"/>
        </w:rPr>
        <w:t xml:space="preserve">. </w:t>
      </w:r>
      <w:r>
        <w:rPr>
          <w:rtl w:val="true"/>
        </w:rPr>
        <w:t>על פי פרטי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במהלך שנת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נטל כסא מברזל והכה באמצעותו את פ</w:t>
      </w:r>
      <w:r>
        <w:rPr>
          <w:rtl w:val="true"/>
        </w:rPr>
        <w:t xml:space="preserve">' </w:t>
      </w:r>
      <w:r>
        <w:rPr>
          <w:rtl w:val="true"/>
        </w:rPr>
        <w:t>על ידיה</w:t>
      </w:r>
      <w:r>
        <w:rPr>
          <w:rtl w:val="true"/>
        </w:rPr>
        <w:t xml:space="preserve">, </w:t>
      </w:r>
      <w:r>
        <w:rPr>
          <w:rtl w:val="true"/>
        </w:rPr>
        <w:t>כאשר כתוצאה מכך כאבו ידיה והיא התקשתה להזיזן</w:t>
      </w:r>
      <w:r>
        <w:rPr>
          <w:rtl w:val="true"/>
        </w:rPr>
        <w:t xml:space="preserve">, </w:t>
      </w:r>
      <w:r>
        <w:rPr>
          <w:rtl w:val="true"/>
        </w:rPr>
        <w:t>ובכך שהכה את נ</w:t>
      </w:r>
      <w:r>
        <w:rPr>
          <w:rtl w:val="true"/>
        </w:rPr>
        <w:t xml:space="preserve">' </w:t>
      </w:r>
      <w:r>
        <w:rPr>
          <w:rtl w:val="true"/>
        </w:rPr>
        <w:t>ברגלה ובראשה וכתוצאה מכך פגע ראשה ברצפה והיא איבדה את הכרתה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הרשעתו בעבירות המתוארות</w:t>
      </w:r>
      <w:r>
        <w:rPr>
          <w:rtl w:val="true"/>
        </w:rPr>
        <w:t xml:space="preserve">, </w:t>
      </w:r>
      <w:r>
        <w:rPr>
          <w:rtl w:val="true"/>
        </w:rPr>
        <w:t>נדרש בית המשפט המחוזי לגזירת דינו של המערער</w:t>
      </w:r>
      <w:r>
        <w:rPr>
          <w:rtl w:val="true"/>
        </w:rPr>
        <w:t xml:space="preserve">. </w:t>
      </w:r>
      <w:r>
        <w:rPr>
          <w:rtl w:val="true"/>
        </w:rPr>
        <w:t>בבואו לעשות כן עמדו לפני בית המשפט המחוזי המרשם הפלילי של המערער</w:t>
      </w:r>
      <w:r>
        <w:rPr>
          <w:rtl w:val="true"/>
        </w:rPr>
        <w:t xml:space="preserve">, </w:t>
      </w:r>
      <w:r>
        <w:rPr>
          <w:rtl w:val="true"/>
        </w:rPr>
        <w:t>תסקיר נפגעת עבירה לגבי פ</w:t>
      </w:r>
      <w:r>
        <w:rPr>
          <w:rtl w:val="true"/>
        </w:rPr>
        <w:t xml:space="preserve">', </w:t>
      </w:r>
      <w:r>
        <w:rPr>
          <w:rtl w:val="true"/>
        </w:rPr>
        <w:t>מסמכים רפואיים הנוגעים לחבלתה של נ</w:t>
      </w:r>
      <w:r>
        <w:rPr>
          <w:rtl w:val="true"/>
        </w:rPr>
        <w:t xml:space="preserve">' </w:t>
      </w:r>
      <w:r>
        <w:rPr>
          <w:rtl w:val="true"/>
        </w:rPr>
        <w:t>ותסקיר שירות מבחן על אודות המערער</w:t>
      </w:r>
      <w:r>
        <w:rPr>
          <w:rtl w:val="true"/>
        </w:rPr>
        <w:t xml:space="preserve">. </w:t>
      </w:r>
      <w:r>
        <w:rPr>
          <w:rtl w:val="true"/>
        </w:rPr>
        <w:t>תסקיר נפגעת העבירה העלה כי פ</w:t>
      </w:r>
      <w:r>
        <w:rPr>
          <w:rtl w:val="true"/>
        </w:rPr>
        <w:t xml:space="preserve">' </w:t>
      </w:r>
      <w:r>
        <w:rPr>
          <w:rtl w:val="true"/>
        </w:rPr>
        <w:t>סבלה בתקופה הראשונה לאחר חשיפת הפגיעה מקשיי שינה</w:t>
      </w:r>
      <w:r>
        <w:rPr>
          <w:rtl w:val="true"/>
        </w:rPr>
        <w:t xml:space="preserve">, </w:t>
      </w:r>
      <w:r>
        <w:rPr>
          <w:rtl w:val="true"/>
        </w:rPr>
        <w:t>קשיים בוויסות הרגשי ובמתן אמון באחרים</w:t>
      </w:r>
      <w:r>
        <w:rPr>
          <w:rtl w:val="true"/>
        </w:rPr>
        <w:t xml:space="preserve">. </w:t>
      </w:r>
      <w:r>
        <w:rPr>
          <w:rtl w:val="true"/>
        </w:rPr>
        <w:t>מורכבות יחסיה של פ</w:t>
      </w:r>
      <w:r>
        <w:rPr>
          <w:rtl w:val="true"/>
        </w:rPr>
        <w:t xml:space="preserve">' </w:t>
      </w:r>
      <w:r>
        <w:rPr>
          <w:rtl w:val="true"/>
        </w:rPr>
        <w:t>עם אמה ועם משפחתה היוו קושי נוסף בהתמודדותה של פ</w:t>
      </w:r>
      <w:r>
        <w:rPr>
          <w:rtl w:val="true"/>
        </w:rPr>
        <w:t xml:space="preserve">'. </w:t>
      </w:r>
      <w:r>
        <w:rPr>
          <w:rtl w:val="true"/>
        </w:rPr>
        <w:t>עורכת התסקיר סברה כי לפ</w:t>
      </w:r>
      <w:r>
        <w:rPr>
          <w:rtl w:val="true"/>
        </w:rPr>
        <w:t xml:space="preserve">' </w:t>
      </w:r>
      <w:r>
        <w:rPr>
          <w:rtl w:val="true"/>
        </w:rPr>
        <w:t>יידרשו שנים רבות של טיפול כדי להתמודד עם הפגיעה שחוותה ולשקם את חייה</w:t>
      </w:r>
      <w:r>
        <w:rPr>
          <w:rtl w:val="true"/>
        </w:rPr>
        <w:t xml:space="preserve">. </w:t>
      </w:r>
      <w:r>
        <w:rPr>
          <w:rtl w:val="true"/>
        </w:rPr>
        <w:t>מתסקיר שירות המבחן עלה כי המערער</w:t>
      </w:r>
      <w:r>
        <w:rPr>
          <w:rtl w:val="true"/>
        </w:rPr>
        <w:t xml:space="preserve">, </w:t>
      </w:r>
      <w:r>
        <w:rPr>
          <w:rtl w:val="true"/>
        </w:rPr>
        <w:t>נשוי ואב לשמונה</w:t>
      </w:r>
      <w:r>
        <w:rPr>
          <w:rtl w:val="true"/>
        </w:rPr>
        <w:t xml:space="preserve">, </w:t>
      </w:r>
      <w:r>
        <w:rPr>
          <w:rtl w:val="true"/>
        </w:rPr>
        <w:t>הוא בן לאב אלכוהוליסט</w:t>
      </w:r>
      <w:r>
        <w:rPr>
          <w:rtl w:val="true"/>
        </w:rPr>
        <w:t xml:space="preserve">, </w:t>
      </w:r>
      <w:r>
        <w:rPr>
          <w:rtl w:val="true"/>
        </w:rPr>
        <w:t>שהתנהל באופן אלים כלפי כל בני הבית</w:t>
      </w:r>
      <w:r>
        <w:rPr>
          <w:rtl w:val="true"/>
        </w:rPr>
        <w:t xml:space="preserve">. </w:t>
      </w:r>
      <w:r>
        <w:rPr>
          <w:rtl w:val="true"/>
        </w:rPr>
        <w:t>המערער נמצא בקשר עם אחיותיו</w:t>
      </w:r>
      <w:r>
        <w:rPr>
          <w:rtl w:val="true"/>
        </w:rPr>
        <w:t xml:space="preserve">, </w:t>
      </w:r>
      <w:r>
        <w:rPr>
          <w:rtl w:val="true"/>
        </w:rPr>
        <w:t>אך הקשר עם אשתו נותק</w:t>
      </w:r>
      <w:r>
        <w:rPr>
          <w:rtl w:val="true"/>
        </w:rPr>
        <w:t xml:space="preserve">. </w:t>
      </w:r>
      <w:r>
        <w:rPr>
          <w:rtl w:val="true"/>
        </w:rPr>
        <w:t>על פי התסקיר</w:t>
      </w:r>
      <w:r>
        <w:rPr>
          <w:rtl w:val="true"/>
        </w:rPr>
        <w:t xml:space="preserve">, </w:t>
      </w:r>
      <w:r>
        <w:rPr>
          <w:rtl w:val="true"/>
        </w:rPr>
        <w:t>תחילה לא לקח המערער אחריות על מעשיו והאשים את פ</w:t>
      </w:r>
      <w:r>
        <w:rPr>
          <w:rtl w:val="true"/>
        </w:rPr>
        <w:t xml:space="preserve">', </w:t>
      </w:r>
      <w:r>
        <w:rPr>
          <w:rtl w:val="true"/>
        </w:rPr>
        <w:t>רשויות הרווחה ושתייתו לשכרה</w:t>
      </w:r>
      <w:r>
        <w:rPr>
          <w:rtl w:val="true"/>
        </w:rPr>
        <w:t xml:space="preserve">. </w:t>
      </w:r>
      <w:r>
        <w:rPr>
          <w:rtl w:val="true"/>
        </w:rPr>
        <w:t>בהמשך אישר כי ידע שמעשיו אסורים אך התקשה לווסת את דחפיו</w:t>
      </w:r>
      <w:r>
        <w:rPr>
          <w:rtl w:val="true"/>
        </w:rPr>
        <w:t xml:space="preserve">. </w:t>
      </w:r>
      <w:r>
        <w:rPr>
          <w:rtl w:val="true"/>
        </w:rPr>
        <w:t>המערער לא הביע כל אמפתיה לבנותיו והתקשה להתייחס לנזקים שגרם להן</w:t>
      </w:r>
      <w:r>
        <w:rPr>
          <w:rtl w:val="true"/>
        </w:rPr>
        <w:t xml:space="preserve">. </w:t>
      </w:r>
      <w:r>
        <w:rPr>
          <w:rtl w:val="true"/>
        </w:rPr>
        <w:t>הוא גם שלל כל צורך במעורבות טיפולית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המערער הוא אדם בעל אישיות נרקיסיסטית ואנטי</w:t>
      </w:r>
      <w:r>
        <w:rPr>
          <w:rtl w:val="true"/>
        </w:rPr>
        <w:t>-</w:t>
      </w:r>
      <w:r>
        <w:rPr>
          <w:rtl w:val="true"/>
        </w:rPr>
        <w:t>סוציאלית</w:t>
      </w:r>
      <w:r>
        <w:rPr>
          <w:rtl w:val="true"/>
        </w:rPr>
        <w:t xml:space="preserve">, </w:t>
      </w:r>
      <w:r>
        <w:rPr>
          <w:rtl w:val="true"/>
        </w:rPr>
        <w:t>המרוכז בעצמו ובסיפוק צרכיו</w:t>
      </w:r>
      <w:r>
        <w:rPr>
          <w:rtl w:val="true"/>
        </w:rPr>
        <w:t xml:space="preserve">, </w:t>
      </w:r>
      <w:r>
        <w:rPr>
          <w:rtl w:val="true"/>
        </w:rPr>
        <w:t>וכי קיים סיכון להישנותה של התנהגות פוגענית בעתיד מצדו</w:t>
      </w:r>
      <w:r>
        <w:rPr>
          <w:rtl w:val="true"/>
        </w:rPr>
        <w:t xml:space="preserve">. </w:t>
      </w:r>
      <w:r>
        <w:rPr>
          <w:rtl w:val="true"/>
        </w:rPr>
        <w:t>נוכח כל אלה</w:t>
      </w:r>
      <w:r>
        <w:rPr>
          <w:rtl w:val="true"/>
        </w:rPr>
        <w:t xml:space="preserve">, </w:t>
      </w:r>
      <w:r>
        <w:rPr>
          <w:rtl w:val="true"/>
        </w:rPr>
        <w:t>מסקנתו של שירות המבחן הייתה כי נדרשת בעניינו של המערער ענישה ברורה ומציבת גבולות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לעניין גזר הדין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כי יש לראות את כלל עבירות המין שבוצעו בפ</w:t>
      </w:r>
      <w:r>
        <w:rPr>
          <w:rtl w:val="true"/>
        </w:rPr>
        <w:t xml:space="preserve">' </w:t>
      </w:r>
      <w:r>
        <w:rPr>
          <w:rtl w:val="true"/>
        </w:rPr>
        <w:t>כאירוע אחד ובשתי עבירות האלימות כאירוע שני</w:t>
      </w:r>
      <w:r>
        <w:rPr>
          <w:rtl w:val="true"/>
        </w:rPr>
        <w:t xml:space="preserve">. </w:t>
      </w:r>
      <w:r>
        <w:rPr>
          <w:rtl w:val="true"/>
        </w:rPr>
        <w:t>נוכח מדיניות הענישה הנוהגת בעבירות מין בקטינים</w:t>
      </w:r>
      <w:r>
        <w:rPr>
          <w:rtl w:val="true"/>
        </w:rPr>
        <w:t xml:space="preserve">, </w:t>
      </w:r>
      <w:r>
        <w:rPr>
          <w:rtl w:val="true"/>
        </w:rPr>
        <w:t>נסיבות ביצוע העבירה והנזק שנגרם לפ</w:t>
      </w:r>
      <w:r>
        <w:rPr>
          <w:rtl w:val="true"/>
        </w:rPr>
        <w:t xml:space="preserve">', </w:t>
      </w:r>
      <w:r>
        <w:rPr>
          <w:rtl w:val="true"/>
        </w:rPr>
        <w:t xml:space="preserve">קבע בית המשפט כי מתחם הענישה ההולם נע בין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 xml:space="preserve">בעבירות האלימות נקבע כי מתחם הענישה עומד על </w:t>
      </w:r>
      <w:r>
        <w:rPr/>
        <w:t>3-1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בבואו לקבוע את העונש ההולם למערער ציין בית המשפט כשיקולים לחומרא את עברו הפלילי</w:t>
      </w:r>
      <w:r>
        <w:rPr>
          <w:rtl w:val="true"/>
        </w:rPr>
        <w:t xml:space="preserve">, </w:t>
      </w:r>
      <w:r>
        <w:rPr>
          <w:rtl w:val="true"/>
        </w:rPr>
        <w:t>חומרת המעשים והצטברותם וכן נתן משקל ניכר לתסקיר השלילי של שירות המבחן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ניתן משקל להודייתו של המערער</w:t>
      </w:r>
      <w:r>
        <w:rPr>
          <w:rtl w:val="true"/>
        </w:rPr>
        <w:t xml:space="preserve">, </w:t>
      </w:r>
      <w:r>
        <w:rPr>
          <w:rtl w:val="true"/>
        </w:rPr>
        <w:t>אשר חסכה מפ</w:t>
      </w:r>
      <w:r>
        <w:rPr>
          <w:rtl w:val="true"/>
        </w:rPr>
        <w:t xml:space="preserve">' </w:t>
      </w:r>
      <w:r>
        <w:rPr>
          <w:rtl w:val="true"/>
        </w:rPr>
        <w:t>את הצורך להעיד</w:t>
      </w:r>
      <w:r>
        <w:rPr>
          <w:rtl w:val="true"/>
        </w:rPr>
        <w:t xml:space="preserve">, </w:t>
      </w:r>
      <w:r>
        <w:rPr>
          <w:rtl w:val="true"/>
        </w:rPr>
        <w:t>ואת נסיבות חייו האישיות</w:t>
      </w:r>
      <w:r>
        <w:rPr>
          <w:rtl w:val="true"/>
        </w:rPr>
        <w:t xml:space="preserve">. </w:t>
      </w:r>
      <w:r>
        <w:rPr>
          <w:rtl w:val="true"/>
        </w:rPr>
        <w:t>על אף שנקבעו מתחמי ענישה שונים לעבירות המין ולעבירות האלימות</w:t>
      </w:r>
      <w:r>
        <w:rPr>
          <w:rtl w:val="true"/>
        </w:rPr>
        <w:t xml:space="preserve">, </w:t>
      </w:r>
      <w:r>
        <w:rPr>
          <w:rtl w:val="true"/>
        </w:rPr>
        <w:t>מצא לנכון בית המשפט להשית על הנאשם עונש אחד כולל</w:t>
      </w:r>
      <w:r>
        <w:rPr>
          <w:rtl w:val="true"/>
        </w:rPr>
        <w:t xml:space="preserve">, </w:t>
      </w:r>
      <w:r>
        <w:rPr>
          <w:rtl w:val="true"/>
        </w:rPr>
        <w:t xml:space="preserve">בהתאם להוראת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ולהעמידו על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 xml:space="preserve">כן הושתו על המערער עונש מאסר על תנאי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כשהתנאי הוא שלא יעבור כל עבירת מין או אלימות מסוג פשע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; </w:t>
      </w:r>
      <w:r>
        <w:rPr>
          <w:rtl w:val="true"/>
        </w:rPr>
        <w:t xml:space="preserve">עונש מאסר על תנאי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כשהתנאי הוא שלא יעבור כל עבירת מין או אלימות מסוג עוון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; </w:t>
      </w:r>
      <w:r>
        <w:rPr>
          <w:rtl w:val="true"/>
        </w:rPr>
        <w:t xml:space="preserve">ופיצויים בסך של </w:t>
      </w:r>
      <w:r>
        <w:rPr/>
        <w:t>120,000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לפ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לנ</w:t>
      </w:r>
      <w:r>
        <w:rPr>
          <w:rtl w:val="true"/>
        </w:rPr>
        <w:t>'.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בערעור שלפנינו טוען המערער כי היה על בית המשפט המחוזי לקבוע כי כל האישומים בהם הודה מהווים אירוע אחד לצורך קביעת מתחם הענישה ההולם</w:t>
      </w:r>
      <w:r>
        <w:rPr>
          <w:rtl w:val="true"/>
        </w:rPr>
        <w:t xml:space="preserve">. </w:t>
      </w:r>
      <w:r>
        <w:rPr>
          <w:rtl w:val="true"/>
        </w:rPr>
        <w:t>עוד טען המערער כי שגה בית המשפט המחוזי כאשר לא התייחס לנסיבות חייו הקשות בעת קביעת מתחמי הענישה ההולמים</w:t>
      </w:r>
      <w:r>
        <w:rPr>
          <w:rtl w:val="true"/>
        </w:rPr>
        <w:t xml:space="preserve">, </w:t>
      </w:r>
      <w:r>
        <w:rPr>
          <w:rtl w:val="true"/>
        </w:rPr>
        <w:t>אלא רק כנסיבות לקולא בעת גזירת העונש המתאים בתוך המתחמים</w:t>
      </w:r>
      <w:r>
        <w:rPr>
          <w:rtl w:val="true"/>
        </w:rPr>
        <w:t xml:space="preserve">. </w:t>
      </w:r>
      <w:r>
        <w:rPr>
          <w:rtl w:val="true"/>
        </w:rPr>
        <w:t>עוד העלה המערער טענות נגד המשקל הרב שנתן בית המשפט המחוזי לתסקיר שירות המבחן ולעברו הפלילי הלא מכביד בעת קביעת העונש בתוך מתחם הענישה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 xml:space="preserve">), </w:t>
      </w:r>
      <w:r>
        <w:rPr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ולעמדתה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עיון בגזר דינו של בית המשפט המחוזי ובנימוקי הערעור</w:t>
      </w:r>
      <w:r>
        <w:rPr>
          <w:rtl w:val="true"/>
        </w:rPr>
        <w:t xml:space="preserve">, </w:t>
      </w:r>
      <w:r>
        <w:rPr>
          <w:rtl w:val="true"/>
        </w:rPr>
        <w:t>ולאחר שמיעת הצדדים בדיון לפנינו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דין הערעור 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הלכה מושרשת היא כי ערכאת הערעור אינה מתערבת בחומרת העונש שנקבע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 בהם ניכרת סטייה של ממש ממדיניות הענישה המקובלת בעבירות דומות</w:t>
      </w:r>
      <w:r>
        <w:rPr>
          <w:rtl w:val="true"/>
        </w:rPr>
        <w:t xml:space="preserve">, </w:t>
      </w:r>
      <w:r>
        <w:rPr>
          <w:rtl w:val="true"/>
        </w:rPr>
        <w:t xml:space="preserve">או כאשר דבק פגם מהותי בגזר הדין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489/18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9.12.2018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3393/15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זרקוא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8.12.2016</w:t>
      </w:r>
      <w:r>
        <w:rPr>
          <w:rtl w:val="true"/>
        </w:rPr>
        <w:t xml:space="preserve">)). </w:t>
      </w:r>
      <w:r>
        <w:rPr>
          <w:rtl w:val="true"/>
        </w:rPr>
        <w:t>המקרה שלפנינו רחוק מלהימנות על מקרים חריגים אלה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זה עמד לא אחת על החומרה היתרה הטמונה בביצוע עבירות מין</w:t>
      </w:r>
      <w:r>
        <w:rPr>
          <w:rtl w:val="true"/>
        </w:rPr>
        <w:t xml:space="preserve">, </w:t>
      </w:r>
      <w:r>
        <w:rPr>
          <w:rtl w:val="true"/>
        </w:rPr>
        <w:t>ובפרט בעבירות מין בתוך המשפחה</w:t>
      </w:r>
      <w:r>
        <w:rPr>
          <w:rtl w:val="true"/>
        </w:rPr>
        <w:t xml:space="preserve">, </w:t>
      </w:r>
      <w:r>
        <w:rPr>
          <w:rtl w:val="true"/>
        </w:rPr>
        <w:t>הכרוכות בניצול פערי כוחות וקרבה בין הפוגע לנפגע</w:t>
      </w:r>
      <w:r>
        <w:rPr>
          <w:rtl w:val="true"/>
        </w:rPr>
        <w:t xml:space="preserve">. </w:t>
      </w:r>
      <w:r>
        <w:rPr>
          <w:rtl w:val="true"/>
        </w:rPr>
        <w:t xml:space="preserve">מעשים אלה מצלקים את נפשם של הנפגעים וצלקות אלה משפיעות על תפקודם לכל אורך חייהם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7433/15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17.5.2016</w:t>
      </w:r>
      <w:r>
        <w:rPr>
          <w:rtl w:val="true"/>
        </w:rPr>
        <w:t xml:space="preserve">)). </w:t>
      </w:r>
      <w:r>
        <w:rPr>
          <w:rtl w:val="true"/>
        </w:rPr>
        <w:t>על כן חזר ושנה בית משפט זה כי נדרשת ענישה מחמירה ומרתיעה במקרים של עבירות מין בתוך המשפחה המכוונות כלפי קטינים</w:t>
      </w:r>
      <w:r>
        <w:rPr>
          <w:rtl w:val="true"/>
        </w:rPr>
        <w:t xml:space="preserve">. </w:t>
      </w:r>
      <w:r>
        <w:rPr>
          <w:rtl w:val="true"/>
        </w:rPr>
        <w:t xml:space="preserve">ענישה שתשקף את סלידתה העמוקה של החברה ממעשים אלה ואת האינטרס הציבורי הרב במיגור התופעה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489/18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9.12.2018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>המערער ביצע מעשי סדום מספר פעמים מדי שבוע בבתו פ</w:t>
      </w:r>
      <w:r>
        <w:rPr>
          <w:rtl w:val="true"/>
        </w:rPr>
        <w:t xml:space="preserve">' </w:t>
      </w:r>
      <w:r>
        <w:rPr>
          <w:rtl w:val="true"/>
        </w:rPr>
        <w:t>הרכה בשנים במשך תקופה של כשנתיים</w:t>
      </w:r>
      <w:r>
        <w:rPr>
          <w:rtl w:val="true"/>
        </w:rPr>
        <w:t xml:space="preserve">. </w:t>
      </w:r>
      <w:r>
        <w:rPr>
          <w:rtl w:val="true"/>
        </w:rPr>
        <w:t>מעשים אלה בוצעו במקום שבו הייתה אמורה פ</w:t>
      </w:r>
      <w:r>
        <w:rPr>
          <w:rtl w:val="true"/>
        </w:rPr>
        <w:t xml:space="preserve">' </w:t>
      </w:r>
      <w:r>
        <w:rPr>
          <w:rtl w:val="true"/>
        </w:rPr>
        <w:t xml:space="preserve">להרגיש בטוחה ביותר </w:t>
      </w:r>
      <w:r>
        <w:rPr>
          <w:rtl w:val="true"/>
        </w:rPr>
        <w:t>–</w:t>
      </w:r>
      <w:r>
        <w:rPr>
          <w:rtl w:val="true"/>
        </w:rPr>
        <w:t xml:space="preserve"> בחיק משפחתה</w:t>
      </w:r>
      <w:r>
        <w:rPr>
          <w:rtl w:val="true"/>
        </w:rPr>
        <w:t xml:space="preserve">, </w:t>
      </w:r>
      <w:r>
        <w:rPr>
          <w:rtl w:val="true"/>
        </w:rPr>
        <w:t>בביתה</w:t>
      </w:r>
      <w:r>
        <w:rPr>
          <w:rtl w:val="true"/>
        </w:rPr>
        <w:t>-</w:t>
      </w:r>
      <w:r>
        <w:rPr>
          <w:rtl w:val="true"/>
        </w:rPr>
        <w:t>מבצרה</w:t>
      </w:r>
      <w:r>
        <w:rPr>
          <w:rtl w:val="true"/>
        </w:rPr>
        <w:t xml:space="preserve">. </w:t>
      </w:r>
      <w:r>
        <w:rPr>
          <w:rtl w:val="true"/>
        </w:rPr>
        <w:t>כפי שעולה מתסקיר נפגעת העבירה שהוגש בעניינה של פ</w:t>
      </w:r>
      <w:r>
        <w:rPr>
          <w:rtl w:val="true"/>
        </w:rPr>
        <w:t xml:space="preserve">', </w:t>
      </w:r>
      <w:r>
        <w:rPr>
          <w:rtl w:val="true"/>
        </w:rPr>
        <w:t>מעשיו החמורים הותירו בה צלקות עמוקות</w:t>
      </w:r>
      <w:r>
        <w:rPr>
          <w:rtl w:val="true"/>
        </w:rPr>
        <w:t xml:space="preserve">, </w:t>
      </w:r>
      <w:r>
        <w:rPr>
          <w:rtl w:val="true"/>
        </w:rPr>
        <w:t>ואת הנזק שנגרם כתוצאה מפגיעתו הקשה של המערער ניתן יהיה לאמוד רק בחלוף הזמן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להלום את טענת המערער כי היה על בית המשפט המחוזי ליתן משקל רב יותר לנסיבות חייו האישיות</w:t>
      </w:r>
      <w:r>
        <w:rPr>
          <w:rtl w:val="true"/>
        </w:rPr>
        <w:t xml:space="preserve">. </w:t>
      </w:r>
      <w:r>
        <w:rPr>
          <w:rtl w:val="true"/>
        </w:rPr>
        <w:t>בגזר דינו המפורט בית המשפט נתן דעתו לנסיבות חייו של המערער ואיננו מוצאים כל מקום להתערב במשקל שנתן להן בקביעת עונשו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בפרט נוכח ההלכה על פיה בעבירות מין בקטינים במשפחה יש לבכר שיקולי גמול והרתעה על פני התחשבות בנסיבותיו האישיות של הנאשם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10.1.2017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7661/14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4.1.2016</w:t>
      </w:r>
      <w:r>
        <w:rPr>
          <w:rtl w:val="true"/>
        </w:rPr>
        <w:t xml:space="preserve">)).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תסקיר שירות המבחן השלילי ועברו הפלילי המכביד של המערער</w:t>
      </w:r>
      <w:r>
        <w:rPr>
          <w:rtl w:val="true"/>
        </w:rPr>
        <w:t xml:space="preserve">, </w:t>
      </w:r>
      <w:r>
        <w:rPr>
          <w:rtl w:val="true"/>
        </w:rPr>
        <w:t>מלמדים אף הם על מסוכנותו הרבה</w:t>
      </w:r>
      <w:r>
        <w:rPr>
          <w:rtl w:val="true"/>
        </w:rPr>
        <w:t xml:space="preserve">. </w:t>
      </w:r>
      <w:r>
        <w:rPr>
          <w:rtl w:val="true"/>
        </w:rPr>
        <w:t>למערער הרשעות רבות עוד משחר נעוריו</w:t>
      </w:r>
      <w:r>
        <w:rPr>
          <w:rtl w:val="true"/>
        </w:rPr>
        <w:t xml:space="preserve">. </w:t>
      </w:r>
      <w:r>
        <w:rPr>
          <w:rtl w:val="true"/>
        </w:rPr>
        <w:t xml:space="preserve">הוא הורשע במהלך השנים בעבירות נשק בגינן אף ריצה מאסר בפועל בן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הוא הורשע בעבירות אלימות</w:t>
      </w:r>
      <w:r>
        <w:rPr>
          <w:rtl w:val="true"/>
        </w:rPr>
        <w:t xml:space="preserve">, </w:t>
      </w:r>
      <w:r>
        <w:rPr>
          <w:rtl w:val="true"/>
        </w:rPr>
        <w:t xml:space="preserve">רכוש ותעבורה בגינן ריצה עונש מאסר בפועל נוסף בן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בהיותו נער אף נקבע ללא הרשעתו בדין כי ביצע עבירת מעשה סדום</w:t>
      </w:r>
      <w:r>
        <w:rPr>
          <w:rtl w:val="true"/>
        </w:rPr>
        <w:t xml:space="preserve">. </w:t>
      </w:r>
      <w:r>
        <w:rPr>
          <w:rtl w:val="true"/>
        </w:rPr>
        <w:t>נסיבות אלו מלמדות אפוא על הצורך להרחיקו מהחברה לתקופה משמעותית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אין כל מקום להקל בעונש המאסר שהטיל בית המשפט המחוזי על המערער</w:t>
      </w:r>
      <w:r>
        <w:rPr>
          <w:rtl w:val="true"/>
        </w:rPr>
        <w:t xml:space="preserve">, </w:t>
      </w:r>
      <w:r>
        <w:rPr>
          <w:rtl w:val="true"/>
        </w:rPr>
        <w:t>אשר אינו מחמיר עמו כלל ואף מקל עליו במידת מה</w:t>
      </w:r>
      <w:r>
        <w:rPr>
          <w:rtl w:val="true"/>
        </w:rPr>
        <w:t xml:space="preserve">, </w:t>
      </w:r>
      <w:r>
        <w:rPr>
          <w:rtl w:val="true"/>
        </w:rPr>
        <w:t>ודין הערעור 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31.1.2019</w:t>
      </w:r>
      <w:r>
        <w:rPr>
          <w:rtl w:val="true"/>
        </w:rPr>
        <w:t xml:space="preserve">).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17068980</w:t>
      </w:r>
      <w:r>
        <w:rPr>
          <w:sz w:val="16"/>
          <w:rtl w:val="true"/>
        </w:rPr>
        <w:t>_</w:t>
      </w:r>
      <w:r>
        <w:rPr>
          <w:sz w:val="16"/>
        </w:rPr>
        <w:t>N04.docx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54678313-6898/17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6898/17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90642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7.b" TargetMode="External"/><Relationship Id="rId7" Type="http://schemas.openxmlformats.org/officeDocument/2006/relationships/hyperlink" Target="http://www.nevo.co.il/law/70301/351.a" TargetMode="External"/><Relationship Id="rId8" Type="http://schemas.openxmlformats.org/officeDocument/2006/relationships/hyperlink" Target="http://www.nevo.co.il/law/70301/351.c.2" TargetMode="External"/><Relationship Id="rId9" Type="http://schemas.openxmlformats.org/officeDocument/2006/relationships/hyperlink" Target="http://www.nevo.co.il/law/70301/40jc.b" TargetMode="External"/><Relationship Id="rId10" Type="http://schemas.openxmlformats.org/officeDocument/2006/relationships/hyperlink" Target="http://www.nevo.co.il/case/20906428" TargetMode="External"/><Relationship Id="rId11" Type="http://schemas.openxmlformats.org/officeDocument/2006/relationships/hyperlink" Target="http://www.nevo.co.il/law/70301/351.c.2" TargetMode="External"/><Relationship Id="rId12" Type="http://schemas.openxmlformats.org/officeDocument/2006/relationships/hyperlink" Target="http://www.nevo.co.il/law/70301/345.b.1" TargetMode="External"/><Relationship Id="rId13" Type="http://schemas.openxmlformats.org/officeDocument/2006/relationships/hyperlink" Target="http://www.nevo.co.il/law/70301/345.a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51.a" TargetMode="External"/><Relationship Id="rId16" Type="http://schemas.openxmlformats.org/officeDocument/2006/relationships/hyperlink" Target="http://www.nevo.co.il/law/70301/347.b" TargetMode="External"/><Relationship Id="rId17" Type="http://schemas.openxmlformats.org/officeDocument/2006/relationships/hyperlink" Target="http://www.nevo.co.il/law/70301/345.b.1" TargetMode="External"/><Relationship Id="rId18" Type="http://schemas.openxmlformats.org/officeDocument/2006/relationships/hyperlink" Target="http://www.nevo.co.il/law/70301/345.a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jc.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13093721" TargetMode="External"/><Relationship Id="rId23" Type="http://schemas.openxmlformats.org/officeDocument/2006/relationships/hyperlink" Target="http://www.nevo.co.il/case/23568373" TargetMode="External"/><Relationship Id="rId24" Type="http://schemas.openxmlformats.org/officeDocument/2006/relationships/hyperlink" Target="http://www.nevo.co.il/case/20291363" TargetMode="External"/><Relationship Id="rId25" Type="http://schemas.openxmlformats.org/officeDocument/2006/relationships/hyperlink" Target="http://www.nevo.co.il/case/20687417" TargetMode="External"/><Relationship Id="rId26" Type="http://schemas.openxmlformats.org/officeDocument/2006/relationships/hyperlink" Target="http://www.nevo.co.il/case/23568373" TargetMode="External"/><Relationship Id="rId27" Type="http://schemas.openxmlformats.org/officeDocument/2006/relationships/hyperlink" Target="http://www.nevo.co.il/case/20156812" TargetMode="External"/><Relationship Id="rId28" Type="http://schemas.openxmlformats.org/officeDocument/2006/relationships/hyperlink" Target="http://www.nevo.co.il/case/20857048" TargetMode="External"/><Relationship Id="rId29" Type="http://schemas.openxmlformats.org/officeDocument/2006/relationships/hyperlink" Target="http://supreme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2019-02-03T11:42:00Z</dcterms:created>
  <dc:creator>h3</dc:creator>
  <dc:description/>
  <cp:keywords/>
  <dc:language>en-IL</dc:language>
  <cp:lastModifiedBy>orly</cp:lastModifiedBy>
  <cp:lastPrinted>2019-01-31T09:04:00Z</cp:lastPrinted>
  <dcterms:modified xsi:type="dcterms:W3CDTF">2019-02-03T11:42:00Z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20906428:2;13093721;23568373:2;20291363;20687417;20156812;20857048</vt:lpwstr>
  </property>
  <property fmtid="{D5CDD505-2E9C-101B-9397-08002B2CF9AE}" pid="9" name="CITY">
    <vt:lpwstr/>
  </property>
  <property fmtid="{D5CDD505-2E9C-101B-9397-08002B2CF9AE}" pid="10" name="DATE">
    <vt:lpwstr>20190131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הנדל;נ' סולברג;ד' מינץ</vt:lpwstr>
  </property>
  <property fmtid="{D5CDD505-2E9C-101B-9397-08002B2CF9AE}" pid="14" name="LAWLISTTMP1">
    <vt:lpwstr>70301/351.c.2;345.b.1:2;345.a.1:2;351.a;347.b;40jc.b</vt:lpwstr>
  </property>
  <property fmtid="{D5CDD505-2E9C-101B-9397-08002B2CF9AE}" pid="15" name="LAWYER">
    <vt:lpwstr>אופיר טישלר;פאדי חמדאן;ברכה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504;1446;1446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מין במשפחה</vt:lpwstr>
  </property>
  <property fmtid="{D5CDD505-2E9C-101B-9397-08002B2CF9AE}" pid="51" name="NOSE33">
    <vt:lpwstr>מדיניות ענישה: עבירות מין בקטינים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17039;16241;16970</vt:lpwstr>
  </property>
  <property fmtid="{D5CDD505-2E9C-101B-9397-08002B2CF9AE}" pid="59" name="PADIDATE">
    <vt:lpwstr>20190203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6898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410120190131</vt:lpwstr>
  </property>
  <property fmtid="{D5CDD505-2E9C-101B-9397-08002B2CF9AE}" pid="69" name="TYPE_N_DATE">
    <vt:lpwstr>41020190131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