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6909/21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2" w:name="FirstAppellant"/>
            <w:bookmarkEnd w:id="2"/>
            <w:r>
              <w:rPr>
                <w:rFonts w:ascii="David;Malgun Gothic Semilight" w:hAnsi="David;Malgun Gothic Semilight"/>
                <w:rtl w:val="true"/>
              </w:rPr>
              <w:t>המערערים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כטייר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עודה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שרחביל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עודה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תייר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עינאש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הישאם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סדה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אברהים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קזמאר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6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סעיד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עודה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7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שמלי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8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הד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פריג</w:t>
            </w:r>
            <w:r>
              <w:rPr>
                <w:rtl w:val="true"/>
              </w:rPr>
              <w:t>'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9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אן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10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בלאלו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אמין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אבר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עראר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לואי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מגארי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איימן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אבר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בלאלו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16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סרייפי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17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ברמוחה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18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מוהנד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עיראקי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19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מוסנה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אלשער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20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אושר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סיבוני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מוראד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בחירה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חמדאללה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עראר</w:t>
            </w:r>
          </w:p>
        </w:tc>
      </w:tr>
    </w:tbl>
    <w:p>
      <w:pPr>
        <w:pStyle w:val="Ruller31"/>
        <w:ind w:end="0"/>
        <w:jc w:val="start"/>
        <w:rPr>
          <w:sz w:val="6"/>
          <w:szCs w:val="12"/>
        </w:rPr>
      </w:pPr>
      <w:r>
        <w:rPr>
          <w:sz w:val="6"/>
          <w:szCs w:val="1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6"/>
          <w:szCs w:val="12"/>
        </w:rPr>
      </w:pPr>
      <w:r>
        <w:rPr>
          <w:sz w:val="6"/>
          <w:szCs w:val="12"/>
          <w:rtl w:val="true"/>
        </w:rPr>
      </w:r>
    </w:p>
    <w:p>
      <w:pPr>
        <w:pStyle w:val="Ruller31"/>
        <w:ind w:end="0"/>
        <w:jc w:val="start"/>
        <w:rPr>
          <w:sz w:val="6"/>
          <w:szCs w:val="12"/>
        </w:rPr>
      </w:pPr>
      <w:r>
        <w:rPr>
          <w:sz w:val="6"/>
          <w:szCs w:val="1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המשיב</w:t>
            </w:r>
            <w:r>
              <w:rPr>
                <w:rFonts w:ascii="David;Malgun Gothic Semilight" w:hAnsi="David;Malgun Gothic Semilight"/>
                <w:rtl w:val="true"/>
              </w:rPr>
              <w:t>ה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6"/>
          <w:szCs w:val="12"/>
        </w:rPr>
      </w:pPr>
      <w:r>
        <w:rPr>
          <w:sz w:val="6"/>
          <w:szCs w:val="12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 xml:space="preserve">ערעור על </w:t>
            </w: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 xml:space="preserve">החלטתו </w:t>
            </w: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 xml:space="preserve">של בית המשפט המחוזי </w:t>
            </w: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>תל אביב</w:t>
            </w:r>
            <w:r>
              <w:rPr>
                <w:rFonts w:cs="Century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 xml:space="preserve">יפו מיום </w:t>
            </w:r>
            <w:r>
              <w:rPr>
                <w:rFonts w:cs="Century" w:ascii="Century" w:hAnsi="Century"/>
                <w:b/>
                <w:szCs w:val="24"/>
              </w:rPr>
              <w:t>12.10.2021</w:t>
            </w:r>
            <w:r>
              <w:rPr>
                <w:rFonts w:cs="Century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ascii="Century" w:hAnsi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Century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ascii="Century" w:hAnsi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Century" w:ascii="Century" w:hAnsi="Century"/>
                  <w:b/>
                  <w:color w:val="0000FF"/>
                  <w:szCs w:val="24"/>
                  <w:u w:val="single"/>
                </w:rPr>
                <w:t>27442-01-18</w:t>
              </w:r>
            </w:hyperlink>
            <w:r>
              <w:rPr>
                <w:rFonts w:cs="Century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>אשר ניתנה על ידי כב</w:t>
            </w:r>
            <w:r>
              <w:rPr>
                <w:rFonts w:cs="Century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>השופטים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לוי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ארי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וי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טופף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;</w:t>
            </w:r>
          </w:p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Century"/>
                <w:b/>
                <w:b/>
                <w:szCs w:val="24"/>
                <w:rtl w:val="true"/>
              </w:rPr>
              <w:t xml:space="preserve">תגובה מטעם המשיבה מיום </w:t>
            </w:r>
            <w:r>
              <w:rPr>
                <w:rFonts w:cs="Century" w:ascii="Century" w:hAnsi="Century"/>
                <w:b/>
                <w:szCs w:val="24"/>
              </w:rPr>
              <w:t>9.11.2021</w:t>
            </w:r>
          </w:p>
        </w:tc>
      </w:tr>
    </w:tbl>
    <w:p>
      <w:pPr>
        <w:pStyle w:val="Ruller31"/>
        <w:ind w:end="0"/>
        <w:jc w:val="start"/>
        <w:rPr>
          <w:sz w:val="6"/>
          <w:szCs w:val="12"/>
        </w:rPr>
      </w:pPr>
      <w:r>
        <w:rPr>
          <w:sz w:val="6"/>
          <w:szCs w:val="1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 xml:space="preserve">בשם המערערים </w:t>
            </w:r>
            <w:r>
              <w:rPr>
                <w:rFonts w:cs="David;Malgun Gothic Semilight" w:ascii="David;Malgun Gothic Semilight" w:hAnsi="David;Malgun Gothic Semilight"/>
              </w:rPr>
              <w:t>1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rtl w:val="true"/>
              </w:rPr>
              <w:t>ו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-</w:t>
            </w:r>
            <w:r>
              <w:rPr>
                <w:rFonts w:cs="David;Malgun Gothic Semilight" w:ascii="David;Malgun Gothic Semilight" w:hAnsi="David;Malgun Gothic Semilight"/>
              </w:rPr>
              <w:t>3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 xml:space="preserve">בשם המערער </w:t>
            </w:r>
            <w:r>
              <w:rPr>
                <w:rFonts w:cs="David;Malgun Gothic Semilight" w:ascii="David;Malgun Gothic Semilight" w:hAnsi="David;Malgun Gothic Semilight"/>
              </w:rPr>
              <w:t>2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רצון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דרחי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 xml:space="preserve">בשם המערער </w:t>
            </w:r>
            <w:r>
              <w:rPr>
                <w:rFonts w:cs="David;Malgun Gothic Semilight" w:ascii="David;Malgun Gothic Semilight" w:hAnsi="David;Malgun Gothic Semilight"/>
              </w:rPr>
              <w:t>4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ענבר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 xml:space="preserve">בשם המערער </w:t>
            </w:r>
            <w:r>
              <w:rPr>
                <w:rFonts w:cs="David;Malgun Gothic Semilight" w:ascii="David;Malgun Gothic Semilight" w:hAnsi="David;Malgun Gothic Semilight"/>
              </w:rPr>
              <w:t>5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ווליד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כבוב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 xml:space="preserve">בשם המערער </w:t>
            </w:r>
            <w:r>
              <w:rPr>
                <w:rFonts w:cs="David;Malgun Gothic Semilight" w:ascii="David;Malgun Gothic Semilight" w:hAnsi="David;Malgun Gothic Semilight"/>
              </w:rPr>
              <w:t>6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חצרוני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 xml:space="preserve">בשם המערערים </w:t>
            </w:r>
            <w:r>
              <w:rPr>
                <w:rFonts w:cs="David;Malgun Gothic Semilight" w:ascii="David;Malgun Gothic Semilight" w:hAnsi="David;Malgun Gothic Semilight"/>
              </w:rPr>
              <w:t>7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rtl w:val="true"/>
              </w:rPr>
              <w:t>ו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-</w:t>
            </w:r>
            <w:r>
              <w:rPr>
                <w:rFonts w:cs="David;Malgun Gothic Semilight" w:ascii="David;Malgun Gothic Semilight" w:hAnsi="David;Malgun Gothic Semilight"/>
              </w:rPr>
              <w:t>21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קהן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 xml:space="preserve">בשם המערער </w:t>
            </w:r>
            <w:r>
              <w:rPr>
                <w:rFonts w:cs="David;Malgun Gothic Semilight" w:ascii="David;Malgun Gothic Semilight" w:hAnsi="David;Malgun Gothic Semilight"/>
              </w:rPr>
              <w:t>8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 xml:space="preserve">: 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 xml:space="preserve">בשם המערער </w:t>
            </w:r>
            <w:r>
              <w:rPr>
                <w:rFonts w:cs="David;Malgun Gothic Semilight" w:ascii="David;Malgun Gothic Semilight" w:hAnsi="David;Malgun Gothic Semilight"/>
              </w:rPr>
              <w:t>9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 xml:space="preserve">בשם המערער </w:t>
            </w:r>
            <w:r>
              <w:rPr>
                <w:rFonts w:cs="David;Malgun Gothic Semilight" w:ascii="David;Malgun Gothic Semilight" w:hAnsi="David;Malgun Gothic Semilight"/>
              </w:rPr>
              <w:t>10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 xml:space="preserve">בשם המערערים </w:t>
            </w:r>
            <w:r>
              <w:rPr>
                <w:rFonts w:cs="David;Malgun Gothic Semilight" w:ascii="David;Malgun Gothic Semilight" w:hAnsi="David;Malgun Gothic Semilight"/>
              </w:rPr>
              <w:t>11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rtl w:val="true"/>
              </w:rPr>
              <w:t>ו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-</w:t>
            </w:r>
            <w:r>
              <w:rPr>
                <w:rFonts w:cs="David;Malgun Gothic Semilight" w:ascii="David;Malgun Gothic Semilight" w:hAnsi="David;Malgun Gothic Semilight"/>
              </w:rPr>
              <w:t>14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יוחאי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 xml:space="preserve">בשם המערער </w:t>
            </w:r>
            <w:r>
              <w:rPr>
                <w:rFonts w:cs="David;Malgun Gothic Semilight" w:ascii="David;Malgun Gothic Semilight" w:hAnsi="David;Malgun Gothic Semilight"/>
              </w:rPr>
              <w:t>12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אנואר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 xml:space="preserve">בשם המערער </w:t>
            </w:r>
            <w:r>
              <w:rPr>
                <w:rFonts w:cs="David;Malgun Gothic Semilight" w:ascii="David;Malgun Gothic Semilight" w:hAnsi="David;Malgun Gothic Semilight"/>
              </w:rPr>
              <w:t>13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 xml:space="preserve">: 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 xml:space="preserve">בשם המערער </w:t>
            </w:r>
            <w:r>
              <w:rPr>
                <w:rFonts w:cs="David;Malgun Gothic Semilight" w:ascii="David;Malgun Gothic Semilight" w:hAnsi="David;Malgun Gothic Semilight"/>
              </w:rPr>
              <w:t>15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שורר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 xml:space="preserve">בשם המערער </w:t>
            </w:r>
            <w:r>
              <w:rPr>
                <w:rFonts w:cs="David;Malgun Gothic Semilight" w:ascii="David;Malgun Gothic Semilight" w:hAnsi="David;Malgun Gothic Semilight"/>
              </w:rPr>
              <w:t>16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ליבאי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 xml:space="preserve">בשם המערער </w:t>
            </w:r>
            <w:r>
              <w:rPr>
                <w:rFonts w:cs="David;Malgun Gothic Semilight" w:ascii="David;Malgun Gothic Semilight" w:hAnsi="David;Malgun Gothic Semilight"/>
              </w:rPr>
              <w:t>17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אלחדד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 xml:space="preserve">בשם המערער </w:t>
            </w:r>
            <w:r>
              <w:rPr>
                <w:rFonts w:cs="David;Malgun Gothic Semilight" w:ascii="David;Malgun Gothic Semilight" w:hAnsi="David;Malgun Gothic Semilight"/>
              </w:rPr>
              <w:t>18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נאטור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 xml:space="preserve">בשם המערער </w:t>
            </w:r>
            <w:r>
              <w:rPr>
                <w:rFonts w:cs="David;Malgun Gothic Semilight" w:ascii="David;Malgun Gothic Semilight" w:hAnsi="David;Malgun Gothic Semilight"/>
              </w:rPr>
              <w:t>19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עינב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יתח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 xml:space="preserve">בשם המערער </w:t>
            </w:r>
            <w:r>
              <w:rPr>
                <w:rFonts w:cs="David;Malgun Gothic Semilight" w:ascii="David;Malgun Gothic Semilight" w:hAnsi="David;Malgun Gothic Semilight"/>
              </w:rPr>
              <w:t>20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 xml:space="preserve">בשם המערער </w:t>
            </w:r>
            <w:r>
              <w:rPr>
                <w:rFonts w:cs="David;Malgun Gothic Semilight" w:ascii="David;Malgun Gothic Semilight" w:hAnsi="David;Malgun Gothic Semilight"/>
              </w:rPr>
              <w:t>22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טובים</w:t>
            </w:r>
          </w:p>
        </w:tc>
      </w:tr>
    </w:tbl>
    <w:p>
      <w:pPr>
        <w:pStyle w:val="Ruller31"/>
        <w:ind w:end="0"/>
        <w:jc w:val="start"/>
        <w:rPr>
          <w:sz w:val="6"/>
          <w:szCs w:val="12"/>
        </w:rPr>
      </w:pPr>
      <w:r>
        <w:rPr>
          <w:sz w:val="6"/>
          <w:szCs w:val="12"/>
          <w:rtl w:val="true"/>
        </w:rPr>
      </w:r>
    </w:p>
    <w:p>
      <w:pPr>
        <w:pStyle w:val="Ruller31"/>
        <w:ind w:end="0"/>
        <w:jc w:val="start"/>
        <w:rPr>
          <w:sz w:val="6"/>
          <w:szCs w:val="12"/>
        </w:rPr>
      </w:pPr>
      <w:r>
        <w:rPr>
          <w:sz w:val="6"/>
          <w:szCs w:val="1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3" w:name="FirstLawyer"/>
            <w:bookmarkEnd w:id="3"/>
            <w:r>
              <w:rPr>
                <w:rFonts w:ascii="David;Malgun Gothic Semilight" w:hAnsi="David;Malgun Gothic Semilight"/>
                <w:rtl w:val="true"/>
              </w:rPr>
              <w:t xml:space="preserve">בשם </w:t>
            </w:r>
            <w:r>
              <w:rPr>
                <w:rFonts w:ascii="David;Malgun Gothic Semilight" w:hAnsi="David;Malgun Gothic Semilight"/>
                <w:rtl w:val="true"/>
              </w:rPr>
              <w:t>המשיב</w:t>
            </w:r>
            <w:r>
              <w:rPr>
                <w:rFonts w:ascii="David;Malgun Gothic Semilight" w:hAnsi="David;Malgun Gothic Semilight"/>
                <w:rtl w:val="true"/>
              </w:rPr>
              <w:t>ה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חתוקה</w:t>
            </w:r>
          </w:p>
        </w:tc>
      </w:tr>
    </w:tbl>
    <w:p>
      <w:pPr>
        <w:pStyle w:val="Ruller31"/>
        <w:ind w:end="0"/>
        <w:jc w:val="start"/>
        <w:rPr>
          <w:sz w:val="6"/>
          <w:szCs w:val="12"/>
        </w:rPr>
      </w:pPr>
      <w:r>
        <w:rPr>
          <w:sz w:val="6"/>
          <w:szCs w:val="12"/>
          <w:rtl w:val="true"/>
        </w:rPr>
      </w:r>
    </w:p>
    <w:p>
      <w:pPr>
        <w:pStyle w:val="Ruller31"/>
        <w:ind w:end="0"/>
        <w:jc w:val="start"/>
        <w:rPr>
          <w:sz w:val="6"/>
          <w:szCs w:val="12"/>
        </w:rPr>
      </w:pPr>
      <w:r>
        <w:rPr>
          <w:sz w:val="6"/>
          <w:szCs w:val="12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bookmarkStart w:id="4" w:name="Links_Start"/>
      <w:bookmarkEnd w:id="4"/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ספרות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>:</w:t>
      </w:r>
    </w:p>
    <w:p>
      <w:pPr>
        <w:pStyle w:val="Ruller31"/>
        <w:spacing w:lineRule="exact" w:line="240" w:before="0" w:after="120"/>
        <w:ind w:hanging="283" w:start="283" w:end="0"/>
        <w:jc w:val="both"/>
        <w:rPr/>
      </w:pPr>
      <w:r>
        <w:rPr>
          <w:rFonts w:ascii="FrankRuehl;Times New Roman" w:hAnsi="FrankRuehl;Times New Roman"/>
          <w:color w:val="000000"/>
          <w:spacing w:val="0"/>
          <w:sz w:val="24"/>
          <w:sz w:val="24"/>
          <w:szCs w:val="24"/>
          <w:rtl w:val="true"/>
        </w:rPr>
        <w:t xml:space="preserve">יגאל מרזל   </w:t>
      </w:r>
      <w:r>
        <w:rPr>
          <w:rFonts w:ascii="FrankRuehl;Times New Roman" w:hAnsi="FrankRuehl;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דיני פסלות שופט </w:t>
      </w:r>
      <w:r>
        <w:rPr>
          <w:rFonts w:ascii="FrankRuehl;Times New Roman" w:hAnsi="FrankRuehl;Times New Roman"/>
          <w:color w:val="000000"/>
          <w:spacing w:val="0"/>
          <w:sz w:val="24"/>
          <w:sz w:val="24"/>
          <w:szCs w:val="24"/>
          <w:rtl w:val="true"/>
        </w:rPr>
        <w:t xml:space="preserve">   </w:t>
      </w:r>
      <w:r>
        <w:rPr>
          <w:rFonts w:cs="FrankRuehl;Times New Roman" w:ascii="FrankRuehl;Times New Roman" w:hAnsi="FrankRuehl;Times New Roman"/>
          <w:color w:val="000000"/>
          <w:spacing w:val="0"/>
          <w:sz w:val="24"/>
          <w:szCs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00"/>
          <w:spacing w:val="0"/>
          <w:sz w:val="24"/>
          <w:szCs w:val="24"/>
        </w:rPr>
        <w:t>2003</w:t>
      </w:r>
      <w:r>
        <w:rPr>
          <w:rFonts w:cs="FrankRuehl;Times New Roman" w:ascii="FrankRuehl;Times New Roman" w:hAnsi="FrankRuehl;Times New Roman"/>
          <w:color w:val="000000"/>
          <w:spacing w:val="0"/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>
          <w:rFonts w:ascii="FrankRuehl;Times New Roman" w:hAnsi="FrankRuehl;Times New Roman" w:cs="FrankRuehl;Times New Roman"/>
          <w:color w:val="000000"/>
          <w:spacing w:val="0"/>
          <w:sz w:val="6"/>
          <w:szCs w:val="12"/>
        </w:rPr>
      </w:pPr>
      <w:r>
        <w:rPr>
          <w:rFonts w:cs="FrankRuehl;Times New Roman" w:ascii="FrankRuehl;Times New Roman" w:hAnsi="FrankRuehl;Times New Roman"/>
          <w:color w:val="000000"/>
          <w:spacing w:val="0"/>
          <w:sz w:val="6"/>
          <w:szCs w:val="12"/>
          <w:rtl w:val="true"/>
        </w:rPr>
      </w:r>
      <w:bookmarkStart w:id="5" w:name="Links_End"/>
      <w:bookmarkStart w:id="6" w:name="Links_End"/>
      <w:bookmarkEnd w:id="6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bookmarkStart w:id="7" w:name="LawTable"/>
      <w:bookmarkEnd w:id="7"/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נוסח משולב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1982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74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74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ג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6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146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</w:rPr>
      </w:pPr>
      <w:hyperlink r:id="rId7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 xml:space="preserve">חוק בתי המשפט 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נוסח משולב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ד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1984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77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</w:p>
    <w:p>
      <w:pPr>
        <w:pStyle w:val="Ruller31"/>
        <w:ind w:end="0"/>
        <w:jc w:val="start"/>
        <w:rPr>
          <w:rFonts w:ascii="FrankRuehl;Times New Roman" w:hAnsi="FrankRuehl;Times New Roman" w:cs="FrankRuehl;Times New Roman"/>
          <w:color w:val="0000FF"/>
          <w:spacing w:val="0"/>
          <w:sz w:val="6"/>
          <w:szCs w:val="12"/>
        </w:rPr>
      </w:pPr>
      <w:r>
        <w:rPr>
          <w:rFonts w:cs="FrankRuehl;Times New Roman" w:ascii="FrankRuehl;Times New Roman" w:hAnsi="FrankRuehl;Times New Roman"/>
          <w:color w:val="0000FF"/>
          <w:spacing w:val="0"/>
          <w:sz w:val="6"/>
          <w:szCs w:val="12"/>
          <w:rtl w:val="true"/>
        </w:rPr>
      </w:r>
      <w:bookmarkStart w:id="8" w:name="LawTable_End"/>
      <w:bookmarkStart w:id="9" w:name="LawTable_End"/>
      <w:bookmarkEnd w:id="9"/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0" w:name="ABSTRACT_START"/>
      <w:bookmarkEnd w:id="10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ערעור על החלטת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שלא לפסול עצמו מלדון בעניינם של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טענות המערערים אינן מקימות חשש ממשי למשוא פנים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מבלי להביע עמדה עקרונית באשר לאפשרות שתקום עילת פסלות נגד כל חברי ההרכב כאחד בשל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מסה קריטית מצטברת</w:t>
      </w:r>
      <w:r>
        <w:rPr>
          <w:rFonts w:cs="Times New Roman" w:ascii="Times New Roman" w:hAnsi="Times New Roman"/>
          <w:spacing w:val="0"/>
          <w:szCs w:val="26"/>
          <w:rtl w:val="true"/>
        </w:rPr>
        <w:t>", "</w:t>
      </w:r>
      <w:r>
        <w:rPr>
          <w:rFonts w:ascii="Times New Roman" w:hAnsi="Times New Roman" w:cs="Times New Roman"/>
          <w:spacing w:val="0"/>
          <w:szCs w:val="26"/>
          <w:rtl w:val="true"/>
        </w:rPr>
        <w:t>מסה קריטית מצטברת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כזו לא הוכחה 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אין מקום להורות על פסילת מי מחברי ההרכב מטעמים של מראית פני הצדק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פסלות שופט – חשש ממשי למשוא פנים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פסלות שופט – עילות הפסלות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החלטת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שלא לפסול עצמו מלדון בעניינם של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 המערערים הוגש כתב אישום בו מיוחסות למערערים או לחלקם עבירות שונות ובהן 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חטיפה וסחיטה באיומים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במסגרת פרשה הנוגעת לארגון פשיעה שפעל במרכז הארץ החל משנת </w:t>
      </w:r>
      <w:r>
        <w:rPr>
          <w:rFonts w:cs="Times New Roman" w:ascii="Times New Roman" w:hAnsi="Times New Roman"/>
          <w:spacing w:val="0"/>
          <w:sz w:val="24"/>
          <w:szCs w:val="26"/>
        </w:rPr>
        <w:t>2015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ואשר בראשו עמד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הנשיאה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חיות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לשופט לוי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שהמותב דן בעבר בפרשה עובדתית הקשורה לזו שבמוקד כתב האישום אינה מקימה כשלעצמה עילת פסלות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בדיון הפלילי קורה שאותו עד מעורב בשורה של משפטים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הנשמעים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אותו שופט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כל צורך ואף אין כל אפשרות מעשית להבטיח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בכל אחד בין המשפטים ישב שופט שונה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מעין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לבחון בכל מקרה לגופו אם הוכח חשש ממשי למשוא פנים מצד המותב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בחינת הקשר הענייני בין שני ההליכים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משך הזמן שחלף מהדיון בהליך הקודם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והמידה שבה האירועים מההליך הקודם זכורים למותב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שההליך הקודם הסתיים בהרשעת הנאשמים על פי הודאתם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וללא קביעות מהימנוּת בנוגע למי מהמעורבים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תפחת הנטייה לקבוע שמתעורר חשש ממשי למשוא פנים באשר להליך שבו מועלית טענת הפסלות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כלל דומה נקבע לגבי תרחיש שבו המותב עיין בחומרים בלתי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קבילים או חסויים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עצם העיון אינו מקים עילת פסלות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ויש לבחון בכל מקרה לגופו אם מתקיים חשש ממשי למשוא פנים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לצורך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להראות כי המותב נחשף 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מסה קריטית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 ראיות בלתי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קבילות שממנה לא יוכל להשתחרר בבואו לדון בהליך ויש לפרט את החומר שאליו נחשף המותב ולהבהיר באיזה אופן צפוי המידע להשפיע על שיקול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 המערערים מבוססות על העובדה שבהליך קודם השופט לוי שמע עדות של עֵד המדינה שצפוי להעיד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ונחשף לחומרים הנוגעים לסיכון שנשקף לעֵד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שלא הוכח שהמידע שאליו נחשף עשוי להשפיע עליו עד כדי יצירת חשש כלשהו למשוא פנים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כל שכן חשש ממשי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העובדה שהשופט תיאר את 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בהתאמה לאמור בכתב האישום </w:t>
      </w:r>
      <w:r>
        <w:rPr>
          <w:rFonts w:cs="Times New Roman" w:ascii="Times New Roman" w:hAnsi="Times New Roman"/>
          <w:spacing w:val="0"/>
          <w:szCs w:val="26"/>
          <w:rtl w:val="true"/>
        </w:rPr>
        <w:t>("</w:t>
      </w:r>
      <w:r>
        <w:rPr>
          <w:rFonts w:ascii="Times New Roman" w:hAnsi="Times New Roman" w:cs="Times New Roman"/>
          <w:spacing w:val="0"/>
          <w:szCs w:val="26"/>
          <w:rtl w:val="true"/>
        </w:rPr>
        <w:t>עבריין בכיר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") </w:t>
      </w:r>
      <w:r>
        <w:rPr>
          <w:rFonts w:ascii="Times New Roman" w:hAnsi="Times New Roman" w:cs="Times New Roman"/>
          <w:spacing w:val="0"/>
          <w:szCs w:val="26"/>
          <w:rtl w:val="true"/>
        </w:rPr>
        <w:t>איננה מעידה על חשש ממשי למשוא פנים בנוגע להליך הנוכחי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  <w:tab/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לשופטת בן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מעבר לכך שהמערערים הסכימו לסטות מנקודת המוצא שלפיה בקשה לעיון בחומרי חקירה תובא במידת האפשר בפני שופט שאינו דן באישום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העניין אינן מצדיקות את פסילתה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נקודת המוצא היא כי היחשפות המותב לחומרים הקשורים לתיק במסגרת הליך קודם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איננה מקימה כשלעצמה עילת פסלות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השופטת בן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ארי דנה בשתי בקשות במסגרת הליך העיון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הראשונה עניינה אופן סידור רשימת החומרים שהועברה להגנה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סיכום חומרי החקירה כמכלול אכן הועמד לעיון השופטת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היא לא נדרשה ליתן לגביו הכרעה מהותית כלשהי והוא נבחן לצורך הכרעה בטענה שהעלתה ההגנה בעניין היבטים טכניים של ניווט במאגר חומרי החקירה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החומר שהוגש במסגרת בקשת העיון הראשונה אינו עולה כדי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מסה קריטית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המצדיקה את פסילתה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הבקשה השנייה עסקה בחומרי חקירה הנוגעים לעד המדינה ולמעורבים נוספים בפרשה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השופטת נחשפה למידע מודיעיני הרלוונטי להליך העיקרי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שהחלטותיה בהליך העיון ניתנו כשנה טרם מינויה להרכב שדן בהליך העיקרי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השופטת ציינה כי החלטות אלו ניתנו במהלך תפקידה כשופטת תורנית וכי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זו עברו תחת ידי מאות רבות של בקשות ודיונים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שהחומר הנטען אף אינו נטוע בזיכרוני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אלו מפחיתות את ההסתברות שהחומר שאליו נחשפה השופטת הליך העיון ישפיע על התנהלותה בהליך העיקרי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בשונה ממקרים אחרים שבהם המותב הדן בהליך העיקרי נחשף לחומרים בלתי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קבילים בעניינו של נאשם בזמן שההליך העיקרי מתנהל או בסמוך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אין ממש בטענה שהתייחסות השופטת לקיומן של ראיות לכאורה בעניינם של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מעידה על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נעילת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דעתה בנושא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כי קיימת הצדקה לפסילת השופטת בן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ארי מלדון בהליך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לשופט טופף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מדובר בשיהוי גרידא בהעלאת הטענה אלא בהצהרה מפורשת של המערערים כי הם מסכימים לכך שהשופט טופף ידון בהליך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למרות שדן קודם לכן בחלק מהליכי המעצר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לא נמצא כי החומר שאליו נחשף השופט טופף בהליכי המעצר עשוי להצדיק פסילתו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להיקף החומר שעמד לעיונו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לטיב ההכרעות שנדרש ליתן במסגרת הליכי המעצר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ולחלוף הזמן מאז שניתנו החלטותיו בהליכים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לטענה לעילת פסלות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מצטברת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 כל חברי ההרכב כאחד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נדרשות נסיבות יוצאות דופן על מנת שיהיה מקום לפסילת הרכב שלם בשל עילת פסלות מעין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 לא הצביעו על נסיבות יוצאות דופן מסוג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וכל טענתם נטועה בסברה שבמהלך הדיון בהליך עלולים שופטי ההרכב לחלוק זה עם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במודע או שלא במודע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המידע הבלתי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קביל שאליו נחשפו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שבמצטבר תיווצר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מסה קריטית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כי הטענות שהועלו מקימות חשש אובייקטיבי ממשי למשוא פנים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העשוי להצדיק פסילת שופט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כל שכן שלושה שופטים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ומבלי להביע עמדה עקרונית באשר לאפשרות שתקום עילת פסלות נגד כל חברי ההרכב כאחד בשל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מסה קריטית מצטברת</w:t>
      </w:r>
      <w:r>
        <w:rPr>
          <w:rFonts w:cs="Times New Roman" w:ascii="Times New Roman" w:hAnsi="Times New Roman"/>
          <w:spacing w:val="0"/>
          <w:szCs w:val="26"/>
          <w:rtl w:val="true"/>
        </w:rPr>
        <w:t>", "</w:t>
      </w:r>
      <w:r>
        <w:rPr>
          <w:rFonts w:ascii="Times New Roman" w:hAnsi="Times New Roman" w:cs="Times New Roman"/>
          <w:spacing w:val="0"/>
          <w:szCs w:val="26"/>
          <w:rtl w:val="true"/>
        </w:rPr>
        <w:t>מסה קריטית מצטברת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כזו לא הוכחה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אין מקום להורות על פסילת מי מחברי ההרכב מחמת מראית פני הצדק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31"/>
        <w:ind w:end="0"/>
        <w:jc w:val="start"/>
        <w:rPr>
          <w:rFonts w:ascii="Times New Roman" w:hAnsi="Times New Roman" w:cs="Times New Roman"/>
          <w:spacing w:val="0"/>
          <w:sz w:val="6"/>
          <w:szCs w:val="12"/>
        </w:rPr>
      </w:pPr>
      <w:r>
        <w:rPr>
          <w:rFonts w:cs="Times New Roman"/>
          <w:spacing w:val="0"/>
          <w:sz w:val="6"/>
          <w:szCs w:val="12"/>
          <w:rtl w:val="true"/>
        </w:rPr>
      </w:r>
      <w:bookmarkStart w:id="11" w:name="ABSTRACT_END"/>
      <w:bookmarkStart w:id="12" w:name="ABSTRACT_END"/>
      <w:bookmarkEnd w:id="12"/>
    </w:p>
    <w:p>
      <w:pPr>
        <w:pStyle w:val="Ruller31"/>
        <w:ind w:end="0"/>
        <w:jc w:val="start"/>
        <w:rPr>
          <w:sz w:val="6"/>
          <w:szCs w:val="12"/>
        </w:rPr>
      </w:pPr>
      <w:r>
        <w:rPr>
          <w:sz w:val="6"/>
          <w:szCs w:val="1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Start w:id="14" w:name="BeginProtocol"/>
            <w:bookmarkStart w:id="15" w:name="secretary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ערעור על החלטתו של בית המשפט המחוזי בתל אביב</w:t>
      </w:r>
      <w:r>
        <w:rPr>
          <w:rFonts w:ascii="FrankRuehl;Times New Roman" w:hAnsi="FrankRuehl;Times New Roman"/>
          <w:color w:val="000000"/>
          <w:sz w:val="28"/>
          <w:rtl w:val="true"/>
        </w:rPr>
        <w:t>-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 xml:space="preserve">יפו </w:t>
      </w:r>
      <w:r>
        <w:rPr>
          <w:rFonts w:ascii="FrankRuehl;Times New Roman" w:hAnsi="FrankRuehl;Times New Roman"/>
          <w:color w:val="000000"/>
          <w:sz w:val="28"/>
          <w:rtl w:val="true"/>
        </w:rPr>
        <w:t>(</w:t>
      </w:r>
      <w:r>
        <w:rPr>
          <w:rFonts w:ascii="Century" w:hAnsi="Century" w:cs="Century"/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ארי</w:t>
      </w:r>
      <w:r>
        <w:rPr>
          <w:rFonts w:ascii="Century" w:hAnsi="Century" w:cs="Century"/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טופף</w:t>
      </w:r>
      <w:r>
        <w:rPr>
          <w:rFonts w:ascii="FrankRuehl;Times New Roman" w:hAnsi="FrankRuehl;Times New Roman"/>
          <w:color w:val="000000"/>
          <w:sz w:val="28"/>
          <w:rtl w:val="true"/>
        </w:rPr>
        <w:t xml:space="preserve">)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 xml:space="preserve">מיום </w:t>
      </w:r>
      <w:r>
        <w:rPr>
          <w:rFonts w:ascii="FrankRuehl;Times New Roman" w:hAnsi="FrankRuehl;Times New Roman"/>
          <w:color w:val="000000"/>
          <w:sz w:val="28"/>
        </w:rPr>
        <w:t>12.10.2021</w:t>
      </w:r>
      <w:r>
        <w:rPr>
          <w:rFonts w:ascii="FrankRuehl;Times New Roman" w:hAnsi="FrankRuehl;Times New Roman"/>
          <w:color w:val="000000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ב</w:t>
      </w:r>
      <w:hyperlink r:id="rId9"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תפ</w:t>
        </w:r>
        <w:r>
          <w:rPr>
            <w:rStyle w:val="Hyperlink"/>
            <w:rFonts w:ascii="FrankRuehl;Times New Roman" w:hAnsi="FrankRuehl;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 xml:space="preserve">ח </w:t>
        </w:r>
        <w:r>
          <w:rPr>
            <w:rStyle w:val="Hyperlink"/>
            <w:rFonts w:ascii="FrankRuehl;Times New Roman" w:hAnsi="FrankRuehl;Times New Roman"/>
            <w:color w:val="0000FF"/>
            <w:sz w:val="28"/>
            <w:u w:val="single"/>
          </w:rPr>
          <w:t>27442-01-18</w:t>
        </w:r>
      </w:hyperlink>
      <w:r>
        <w:rPr>
          <w:rFonts w:ascii="FrankRuehl;Times New Roman" w:hAnsi="FrankRuehl;Times New Roman"/>
          <w:color w:val="000000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שלא לפסול עצמו מלדון בעניינם של המערער</w:t>
      </w:r>
      <w:r>
        <w:rPr>
          <w:rtl w:val="true"/>
        </w:rPr>
        <w:t>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הפסלות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נגד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המערערים</w:t>
      </w:r>
      <w:r>
        <w:rPr>
          <w:rFonts w:ascii="FrankRuehl;Times New Roman" w:hAnsi="FrankRuehl;Times New Roman"/>
          <w:color w:val="000000"/>
          <w:sz w:val="28"/>
          <w:rtl w:val="true"/>
        </w:rPr>
        <w:t xml:space="preserve">, </w:t>
      </w:r>
      <w:r>
        <w:rPr>
          <w:rFonts w:ascii="FrankRuehl;Times New Roman" w:hAnsi="FrankRuehl;Times New Roman"/>
          <w:color w:val="000000"/>
          <w:sz w:val="28"/>
        </w:rPr>
        <w:t>22</w:t>
      </w:r>
      <w:r>
        <w:rPr>
          <w:rFonts w:ascii="FrankRuehl;Times New Roman" w:hAnsi="FrankRuehl;Times New Roman"/>
          <w:color w:val="000000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במספר</w:t>
      </w:r>
      <w:r>
        <w:rPr>
          <w:rFonts w:ascii="FrankRuehl;Times New Roman" w:hAnsi="FrankRuehl;Times New Roman"/>
          <w:color w:val="000000"/>
          <w:sz w:val="28"/>
          <w:rtl w:val="true"/>
        </w:rPr>
        <w:t xml:space="preserve">,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הוגש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כתב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אישום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המקיף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</w:rPr>
        <w:t>30</w:t>
      </w:r>
      <w:r>
        <w:rPr>
          <w:rFonts w:ascii="FrankRuehl;Times New Roman" w:hAnsi="FrankRuehl;Times New Roman"/>
          <w:color w:val="000000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אישומים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ובו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מנויים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כ</w:t>
      </w:r>
      <w:r>
        <w:rPr>
          <w:rFonts w:ascii="FrankRuehl;Times New Roman" w:hAnsi="FrankRuehl;Times New Roman"/>
          <w:color w:val="000000"/>
          <w:sz w:val="28"/>
          <w:rtl w:val="true"/>
        </w:rPr>
        <w:t>-</w:t>
      </w:r>
      <w:r>
        <w:rPr>
          <w:rFonts w:ascii="FrankRuehl;Times New Roman" w:hAnsi="FrankRuehl;Times New Roman"/>
          <w:color w:val="000000"/>
          <w:sz w:val="28"/>
        </w:rPr>
        <w:t>600</w:t>
      </w:r>
      <w:r>
        <w:rPr>
          <w:rFonts w:ascii="FrankRuehl;Times New Roman" w:hAnsi="FrankRuehl;Times New Roman"/>
          <w:color w:val="000000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עדי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תביעה</w:t>
      </w:r>
      <w:r>
        <w:rPr>
          <w:rFonts w:ascii="FrankRuehl;Times New Roman" w:hAnsi="FrankRuehl;Times New Roman"/>
          <w:color w:val="000000"/>
          <w:sz w:val="28"/>
          <w:rtl w:val="true"/>
        </w:rPr>
        <w:t xml:space="preserve">.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כתב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האישום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הוגש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נגד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חלק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מהמערערים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ביום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</w:rPr>
        <w:t>11.1.2018</w:t>
      </w:r>
      <w:r>
        <w:rPr>
          <w:rFonts w:ascii="FrankRuehl;Times New Roman" w:hAnsi="FrankRuehl;Times New Roman"/>
          <w:color w:val="000000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ותוקן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מאז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מספר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פעמים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לבקשת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התביעה</w:t>
      </w:r>
      <w:r>
        <w:rPr>
          <w:rFonts w:ascii="FrankRuehl;Times New Roman" w:hAnsi="FrankRuehl;Times New Roman"/>
          <w:color w:val="000000"/>
          <w:sz w:val="28"/>
          <w:rtl w:val="true"/>
        </w:rPr>
        <w:t xml:space="preserve">.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בכתב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האישום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הנוכחי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מיוחסות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למערערים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או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לחלקם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עבירות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שונות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–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ובהן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רצח</w:t>
      </w:r>
      <w:r>
        <w:rPr>
          <w:rFonts w:ascii="FrankRuehl;Times New Roman" w:hAnsi="FrankRuehl;Times New Roman"/>
          <w:color w:val="000000"/>
          <w:sz w:val="28"/>
          <w:rtl w:val="true"/>
        </w:rPr>
        <w:t xml:space="preserve">,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חטיפה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וסחיטה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באיומים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–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tl w:val="true"/>
        </w:rPr>
        <w:t xml:space="preserve">במסגרת פרשה הנוגעת לארגון פשיעה שפעל במרכז הארץ החל משנת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ואשר בראשו</w:t>
      </w:r>
      <w:r>
        <w:rPr>
          <w:rtl w:val="true"/>
        </w:rPr>
        <w:t xml:space="preserve">, </w:t>
      </w:r>
      <w:r>
        <w:rPr>
          <w:rtl w:val="true"/>
        </w:rPr>
        <w:t>כך לפי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עמד המערער </w:t>
      </w:r>
      <w:r>
        <w:rPr/>
        <w:t>1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22.1.2018</w:t>
      </w:r>
      <w:r>
        <w:rPr>
          <w:rtl w:val="true"/>
        </w:rPr>
        <w:t xml:space="preserve"> </w:t>
      </w:r>
      <w:r>
        <w:rPr>
          <w:rtl w:val="true"/>
        </w:rPr>
        <w:t>התקיים דיון הקראה</w:t>
      </w:r>
      <w:r>
        <w:rPr>
          <w:rtl w:val="true"/>
        </w:rPr>
        <w:t xml:space="preserve">, </w:t>
      </w:r>
      <w:r>
        <w:rPr>
          <w:rtl w:val="true"/>
        </w:rPr>
        <w:t xml:space="preserve">אך טרם נמסר מענה לכתב האישום ושמיעת הראיות טרם החלה </w:t>
      </w:r>
      <w:r>
        <w:rPr>
          <w:rtl w:val="true"/>
        </w:rPr>
        <w:t>(</w:t>
      </w:r>
      <w:r>
        <w:rPr>
          <w:rtl w:val="true"/>
        </w:rPr>
        <w:t xml:space="preserve">לפירוט בדבר השתלשלות העניינים בהליך ראו </w:t>
      </w:r>
      <w:hyperlink r:id="rId10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8459/20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21-18</w:t>
      </w:r>
      <w:r>
        <w:rPr>
          <w:rtl w:val="true"/>
        </w:rPr>
        <w:t xml:space="preserve"> (</w:t>
      </w:r>
      <w:r>
        <w:rPr/>
        <w:t>28.1.2021</w:t>
      </w:r>
      <w:r>
        <w:rPr>
          <w:rtl w:val="true"/>
        </w:rPr>
        <w:t xml:space="preserve">)). </w:t>
      </w:r>
      <w:r>
        <w:rPr>
          <w:rtl w:val="true"/>
        </w:rPr>
        <w:t>לאורך ניהול ההליך בוצעו מספר שינויים בזהות חברי המותב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26.12.2019</w:t>
      </w:r>
      <w:r>
        <w:rPr>
          <w:rtl w:val="true"/>
        </w:rPr>
        <w:t xml:space="preserve"> </w:t>
      </w:r>
      <w:r>
        <w:rPr>
          <w:rtl w:val="true"/>
        </w:rPr>
        <w:t xml:space="preserve">הוחלט כי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 יכהן בהרכב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9.2.2021</w:t>
      </w:r>
      <w:r>
        <w:rPr>
          <w:rtl w:val="true"/>
        </w:rPr>
        <w:t xml:space="preserve"> </w:t>
      </w:r>
      <w:r>
        <w:rPr>
          <w:rtl w:val="true"/>
        </w:rPr>
        <w:t xml:space="preserve">הוחלפו שני שופטי ההרכב האחרים ותחתם מונו 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בפתח הדיון שהתקיים ביום </w:t>
      </w:r>
      <w:r>
        <w:rPr/>
        <w:t>16.2.2021</w:t>
      </w:r>
      <w:r>
        <w:rPr>
          <w:rtl w:val="true"/>
        </w:rPr>
        <w:t xml:space="preserve"> </w:t>
      </w:r>
      <w:r>
        <w:rPr>
          <w:rtl w:val="true"/>
        </w:rPr>
        <w:t xml:space="preserve">ציין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לפרוטוקול כי כל אחד משלושת חברי ההרכב דן בעבר בהליך או בהליכים קודמים הקשורים באופן זה או אחר להליך הנוכחי</w:t>
      </w:r>
      <w:r>
        <w:rPr>
          <w:rtl w:val="true"/>
        </w:rPr>
        <w:t xml:space="preserve">. </w:t>
      </w:r>
      <w:r>
        <w:rPr>
          <w:rtl w:val="true"/>
        </w:rPr>
        <w:t>בתגובה ציינו באי</w:t>
      </w:r>
      <w:r>
        <w:rPr>
          <w:rtl w:val="true"/>
        </w:rPr>
        <w:t>-</w:t>
      </w:r>
      <w:r>
        <w:rPr>
          <w:rtl w:val="true"/>
        </w:rPr>
        <w:t>כוחם של חלק מהמערערים כי בכוונתם לבקש את פסילת חברי ההרכב</w:t>
      </w:r>
      <w:r>
        <w:rPr>
          <w:rtl w:val="true"/>
        </w:rPr>
        <w:t xml:space="preserve">. </w:t>
      </w:r>
      <w:r>
        <w:rPr>
          <w:rtl w:val="true"/>
        </w:rPr>
        <w:t xml:space="preserve">בקשת הפסלות הוגשה ביום </w:t>
      </w:r>
      <w:r>
        <w:rPr/>
        <w:t>11.3.2021</w:t>
      </w:r>
      <w:r>
        <w:rPr>
          <w:rtl w:val="true"/>
        </w:rPr>
        <w:t xml:space="preserve">, </w:t>
      </w:r>
      <w:r>
        <w:rPr>
          <w:rtl w:val="true"/>
        </w:rPr>
        <w:t xml:space="preserve">ונטען בה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cs="Century"/>
          <w:sz w:val="22"/>
          <w:sz w:val="22"/>
          <w:rtl w:val="true"/>
        </w:rPr>
        <w:t xml:space="preserve"> מחברי ההרכב נחשף 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מסה קריטית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של חומרים בלתי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קבילים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עוד נטען 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יש להתייחס למסה הקריטית המעוררת משוא פנים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באופן מצרפי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כמכלול המידע שאליו נחשפו שופטי ההרכב בנפרד</w:t>
      </w:r>
      <w:r>
        <w:rPr>
          <w:rFonts w:cs="Century" w:ascii="Century" w:hAnsi="Century"/>
          <w:sz w:val="22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 xml:space="preserve">דיון בבקשת הפסלות התקיים ביום </w:t>
      </w:r>
      <w:r>
        <w:rPr/>
        <w:t>5.10.2021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לאחר מספר דחיות שנבעו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מהליך גישור שהתקיים במקביל אך לא נשא פרי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לוי</w:t>
      </w:r>
      <w:r>
        <w:rPr>
          <w:rtl w:val="true"/>
        </w:rPr>
        <w:t xml:space="preserve">: </w:t>
      </w:r>
      <w:r>
        <w:rPr>
          <w:rtl w:val="true"/>
        </w:rPr>
        <w:t xml:space="preserve">בבקשת הפסלות צוין כי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דן בהליך שעסק בפרשה </w:t>
      </w:r>
      <w:r>
        <w:rPr>
          <w:rtl w:val="true"/>
        </w:rPr>
        <w:t>"</w:t>
      </w:r>
      <w:r>
        <w:rPr>
          <w:rtl w:val="true"/>
        </w:rPr>
        <w:t>מקבילה</w:t>
      </w:r>
      <w:r>
        <w:rPr>
          <w:rtl w:val="true"/>
        </w:rPr>
        <w:t xml:space="preserve">" </w:t>
      </w:r>
      <w:r>
        <w:rPr>
          <w:rtl w:val="true"/>
        </w:rPr>
        <w:t xml:space="preserve">לאירועים שבבסיס אחד האישומים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58213-03-18</w:t>
        </w:r>
      </w:hyperlink>
      <w:r>
        <w:rPr>
          <w:rtl w:val="true"/>
        </w:rPr>
        <w:t xml:space="preserve">;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הנשק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ושמע ביום </w:t>
      </w:r>
      <w:r>
        <w:rPr/>
        <w:t>15.7.2019</w:t>
      </w:r>
      <w:r>
        <w:rPr>
          <w:rtl w:val="true"/>
        </w:rPr>
        <w:t xml:space="preserve"> </w:t>
      </w:r>
      <w:r>
        <w:rPr>
          <w:rtl w:val="true"/>
        </w:rPr>
        <w:t xml:space="preserve">את עדותו של עֵד מדינה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 xml:space="preserve">שהוא העֵד </w:t>
      </w:r>
      <w:r>
        <w:rPr>
          <w:rtl w:val="true"/>
        </w:rPr>
        <w:t>"</w:t>
      </w:r>
      <w:r>
        <w:rPr>
          <w:rtl w:val="true"/>
        </w:rPr>
        <w:t>העיקרי</w:t>
      </w:r>
      <w:r>
        <w:rPr>
          <w:rtl w:val="true"/>
        </w:rPr>
        <w:t xml:space="preserve">" </w:t>
      </w:r>
      <w:r>
        <w:rPr>
          <w:rtl w:val="true"/>
        </w:rPr>
        <w:t>בהליך הנוכחי</w:t>
      </w:r>
      <w:r>
        <w:rPr>
          <w:rtl w:val="true"/>
        </w:rPr>
        <w:t xml:space="preserve">. </w:t>
      </w:r>
      <w:r>
        <w:rPr>
          <w:rtl w:val="true"/>
        </w:rPr>
        <w:t xml:space="preserve">המערערים הוסיפו כי ביום </w:t>
      </w:r>
      <w:r>
        <w:rPr/>
        <w:t>26.6.2019</w:t>
      </w:r>
      <w:r>
        <w:rPr>
          <w:rtl w:val="true"/>
        </w:rPr>
        <w:t xml:space="preserve">, </w:t>
      </w:r>
      <w:r>
        <w:rPr>
          <w:rtl w:val="true"/>
        </w:rPr>
        <w:t>טרם שמיעת העדות בתיק הנשק</w:t>
      </w:r>
      <w:r>
        <w:rPr>
          <w:rtl w:val="true"/>
        </w:rPr>
        <w:t xml:space="preserve">, </w:t>
      </w:r>
      <w:r>
        <w:rPr>
          <w:rtl w:val="true"/>
        </w:rPr>
        <w:t xml:space="preserve">נעתר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לבקשת המשיבה לשמיעת העדות בדלתיים סגורות עקב סיכון שנשקף לא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לטענת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במסגרת זו עיין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במעמד צד אחד בחומר סודי ושמע עדויות מטעם אנשי הרשות להגנת עדים </w:t>
      </w:r>
      <w:r>
        <w:rPr>
          <w:rtl w:val="true"/>
        </w:rPr>
        <w:t>–</w:t>
      </w:r>
      <w:r>
        <w:rPr>
          <w:rtl w:val="true"/>
        </w:rPr>
        <w:t xml:space="preserve"> והחומר שאליו נחשף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 פניו רלוונטי לנאשמים בתיק זה</w:t>
      </w:r>
      <w:r>
        <w:rPr>
          <w:rtl w:val="true"/>
        </w:rPr>
        <w:t xml:space="preserve">, </w:t>
      </w:r>
      <w:r>
        <w:rPr>
          <w:rtl w:val="true"/>
        </w:rPr>
        <w:t>ומשחיר את פניהם כמסוכנים לעד המדינה</w:t>
      </w:r>
      <w:r>
        <w:rPr>
          <w:rtl w:val="true"/>
        </w:rPr>
        <w:t xml:space="preserve">". </w:t>
      </w:r>
      <w:r>
        <w:rPr>
          <w:rtl w:val="true"/>
        </w:rPr>
        <w:t xml:space="preserve">באשר לחומר שאליו נחשף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בעניין הסיכון הנשקף לא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טענה באת</w:t>
      </w:r>
      <w:r>
        <w:rPr>
          <w:rtl w:val="true"/>
        </w:rPr>
        <w:t>-</w:t>
      </w:r>
      <w:r>
        <w:rPr>
          <w:rtl w:val="true"/>
        </w:rPr>
        <w:t xml:space="preserve">כוח המערערים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במהלך הדיון מיום </w:t>
      </w:r>
      <w:r>
        <w:rPr/>
        <w:t>5.10.2021</w:t>
      </w:r>
      <w:r>
        <w:rPr>
          <w:rtl w:val="true"/>
        </w:rPr>
        <w:t xml:space="preserve">, </w:t>
      </w:r>
      <w:r>
        <w:rPr>
          <w:rtl w:val="true"/>
        </w:rPr>
        <w:t>בשם המערערים כולם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אנחנו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יכולים</w:t>
      </w:r>
      <w:r>
        <w:rPr>
          <w:rtl w:val="true"/>
        </w:rPr>
        <w:t xml:space="preserve"> </w:t>
      </w:r>
      <w:r>
        <w:rPr>
          <w:rtl w:val="true"/>
        </w:rPr>
        <w:t>להעריך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כמה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נחשף</w:t>
      </w:r>
      <w:r>
        <w:rPr>
          <w:rtl w:val="true"/>
        </w:rPr>
        <w:t xml:space="preserve"> </w:t>
      </w:r>
      <w:r>
        <w:rPr>
          <w:rtl w:val="true"/>
        </w:rPr>
        <w:t>לחומר</w:t>
      </w:r>
      <w:r>
        <w:rPr>
          <w:rtl w:val="true"/>
        </w:rPr>
        <w:t xml:space="preserve"> </w:t>
      </w:r>
      <w:r>
        <w:rPr>
          <w:rtl w:val="true"/>
        </w:rPr>
        <w:t>ומה</w:t>
      </w:r>
      <w:r>
        <w:rPr>
          <w:rtl w:val="true"/>
        </w:rPr>
        <w:t xml:space="preserve"> </w:t>
      </w:r>
      <w:r>
        <w:rPr>
          <w:rtl w:val="true"/>
        </w:rPr>
        <w:t>כתוב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", </w:t>
      </w:r>
      <w:r>
        <w:rPr>
          <w:rtl w:val="true"/>
        </w:rPr>
        <w:t xml:space="preserve">אך לשיטתה עצם העובדה שהשופט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נעתר לבקשה לשמיעת העדות בדלתיים סגורות מעידה כי החומר היה </w:t>
      </w:r>
      <w:r>
        <w:rPr>
          <w:rtl w:val="true"/>
        </w:rPr>
        <w:t>"</w:t>
      </w:r>
      <w:r>
        <w:rPr>
          <w:rtl w:val="true"/>
        </w:rPr>
        <w:t>משכנע</w:t>
      </w:r>
      <w:r>
        <w:rPr>
          <w:rtl w:val="true"/>
        </w:rPr>
        <w:t xml:space="preserve">" </w:t>
      </w:r>
      <w:r>
        <w:rPr>
          <w:rtl w:val="true"/>
        </w:rPr>
        <w:t xml:space="preserve">בעיניו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148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9-7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לתוכן עדותו של 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טענו המערערים כי עצם קיום הדיון בדלתיים סגורות</w:t>
      </w:r>
      <w:r>
        <w:rPr>
          <w:rtl w:val="true"/>
        </w:rPr>
        <w:t xml:space="preserve">, </w:t>
      </w:r>
      <w:r>
        <w:rPr>
          <w:rtl w:val="true"/>
        </w:rPr>
        <w:t>ללא נוכחות הנאשמים ובנוכחות שניים מהסניגורים בלבד</w:t>
      </w:r>
      <w:r>
        <w:rPr>
          <w:rtl w:val="true"/>
        </w:rPr>
        <w:t xml:space="preserve">, </w:t>
      </w:r>
      <w:r>
        <w:rPr>
          <w:rtl w:val="true"/>
        </w:rPr>
        <w:t>מעורר חשש כי בית המשפט נחשף לחומרים המשחירים את המערערים ואת באי כוחם</w:t>
      </w:r>
      <w:r>
        <w:rPr>
          <w:rtl w:val="true"/>
        </w:rPr>
        <w:t xml:space="preserve">. </w:t>
      </w:r>
      <w:r>
        <w:rPr>
          <w:rtl w:val="true"/>
        </w:rPr>
        <w:t>כן צוין כי פרוטוקול עדותו של 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הועבר להגנה כשהוא מושחר בחלקו כך שלא ניתן לעמוד על מלוא המידע שנחשף במסגרת העדות</w:t>
      </w:r>
      <w:r>
        <w:rPr>
          <w:rtl w:val="true"/>
        </w:rPr>
        <w:t xml:space="preserve">. </w:t>
      </w:r>
      <w:r>
        <w:rPr>
          <w:rtl w:val="true"/>
        </w:rPr>
        <w:t>במהלך הדיון טענה באת</w:t>
      </w:r>
      <w:r>
        <w:rPr>
          <w:rtl w:val="true"/>
        </w:rPr>
        <w:t>-</w:t>
      </w:r>
      <w:r>
        <w:rPr>
          <w:rtl w:val="true"/>
        </w:rPr>
        <w:t xml:space="preserve">כוח המערערים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כי א</w:t>
      </w:r>
      <w:r>
        <w:rPr>
          <w:rtl w:val="true"/>
        </w:rPr>
        <w:t>.</w:t>
      </w:r>
      <w:r>
        <w:rPr>
          <w:rtl w:val="true"/>
        </w:rPr>
        <w:t xml:space="preserve">א פירט על קשר שנוצר בינו ובין אחד הנאשמים בבית הסוהר </w:t>
      </w:r>
      <w:r>
        <w:rPr>
          <w:rtl w:val="true"/>
        </w:rPr>
        <w:t>"</w:t>
      </w:r>
      <w:r>
        <w:rPr>
          <w:rtl w:val="true"/>
        </w:rPr>
        <w:t>וכיצד גויס לארגון הפשיעה</w:t>
      </w:r>
      <w:r>
        <w:rPr>
          <w:rtl w:val="true"/>
        </w:rPr>
        <w:t xml:space="preserve">"; </w:t>
      </w:r>
      <w:r>
        <w:rPr>
          <w:rtl w:val="true"/>
        </w:rPr>
        <w:t>ייחס לחלק מהמערערים מעשה רצח שלא הוזכר בכתב האישום</w:t>
      </w:r>
      <w:r>
        <w:rPr>
          <w:rtl w:val="true"/>
        </w:rPr>
        <w:t xml:space="preserve">; </w:t>
      </w:r>
      <w:r>
        <w:rPr>
          <w:rtl w:val="true"/>
        </w:rPr>
        <w:t>וטען שחלק מעורכי הדין המייצגים בהליך דנן ניסו להשפיע עליו</w:t>
      </w:r>
      <w:r>
        <w:rPr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 xml:space="preserve">המערערים ציינו כי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אמנם לא קבע קביעות מהימנוּת בעניינו של 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שכן לאחר שמיעת העדות הודו הנאשמים בתיק הנשק בכתב אישום מתוקן</w:t>
      </w:r>
      <w:r>
        <w:rPr>
          <w:rtl w:val="true"/>
        </w:rPr>
        <w:t xml:space="preserve">, </w:t>
      </w:r>
      <w:r>
        <w:rPr>
          <w:rtl w:val="true"/>
        </w:rPr>
        <w:t>אך לגישתם העובדה שא</w:t>
      </w:r>
      <w:r>
        <w:rPr>
          <w:rtl w:val="true"/>
        </w:rPr>
        <w:t>.</w:t>
      </w:r>
      <w:r>
        <w:rPr>
          <w:rtl w:val="true"/>
        </w:rPr>
        <w:t xml:space="preserve">א לא נחקר בחקירה נגדית </w:t>
      </w:r>
      <w:r>
        <w:rPr>
          <w:rtl w:val="true"/>
        </w:rPr>
        <w:t>"</w:t>
      </w:r>
      <w:r>
        <w:rPr>
          <w:rtl w:val="true"/>
        </w:rPr>
        <w:t>עלולה ליצור</w:t>
      </w:r>
      <w:r>
        <w:rPr>
          <w:rtl w:val="true"/>
        </w:rPr>
        <w:t xml:space="preserve">, </w:t>
      </w:r>
      <w:r>
        <w:rPr>
          <w:rtl w:val="true"/>
        </w:rPr>
        <w:t>על פניו</w:t>
      </w:r>
      <w:r>
        <w:rPr>
          <w:rtl w:val="true"/>
        </w:rPr>
        <w:t xml:space="preserve">, </w:t>
      </w:r>
      <w:r>
        <w:rPr>
          <w:rtl w:val="true"/>
        </w:rPr>
        <w:t>רושם כי מדובר בעדות אמת</w:t>
      </w:r>
      <w:r>
        <w:rPr>
          <w:rtl w:val="true"/>
        </w:rPr>
        <w:t xml:space="preserve">, </w:t>
      </w:r>
      <w:r>
        <w:rPr>
          <w:rtl w:val="true"/>
        </w:rPr>
        <w:t>ולעורר חשש למשוא פנים</w:t>
      </w:r>
      <w:r>
        <w:rPr>
          <w:rtl w:val="true"/>
        </w:rPr>
        <w:t>".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 xml:space="preserve">עוד נטען במהלך הדיון כי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 כינה את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בגזר הדין </w:t>
      </w:r>
      <w:r>
        <w:rPr>
          <w:rtl w:val="true"/>
        </w:rPr>
        <w:t>"</w:t>
      </w:r>
      <w:r>
        <w:rPr>
          <w:rtl w:val="true"/>
        </w:rPr>
        <w:t>עבריין בכיר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ועובדה זו מעידה על גיבוש עמדה ביחס למערער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149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30-29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כמו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כוח המערערים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ציין </w:t>
      </w:r>
      <w:r>
        <w:rPr>
          <w:rtl w:val="true"/>
        </w:rPr>
        <w:t>כי הוא נכח בדיון שבמהלכו נשמעה עדותו של א</w:t>
      </w:r>
      <w:r>
        <w:rPr>
          <w:rtl w:val="true"/>
        </w:rPr>
        <w:t>.</w:t>
      </w:r>
      <w:r>
        <w:rPr>
          <w:rtl w:val="true"/>
        </w:rPr>
        <w:t xml:space="preserve">א וכי להתרשמותו </w:t>
      </w:r>
      <w:r>
        <w:rPr>
          <w:rtl w:val="true"/>
        </w:rPr>
        <w:t>–</w:t>
      </w:r>
      <w:r>
        <w:rPr>
          <w:rtl w:val="true"/>
        </w:rPr>
        <w:t xml:space="preserve"> אילו סבר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 שא</w:t>
      </w:r>
      <w:r>
        <w:rPr>
          <w:rtl w:val="true"/>
        </w:rPr>
        <w:t>.</w:t>
      </w:r>
      <w:r>
        <w:rPr>
          <w:rtl w:val="true"/>
        </w:rPr>
        <w:t>א משקר</w:t>
      </w:r>
      <w:r>
        <w:rPr>
          <w:rtl w:val="true"/>
        </w:rPr>
        <w:t xml:space="preserve">, </w:t>
      </w:r>
      <w:r>
        <w:rPr>
          <w:rtl w:val="true"/>
        </w:rPr>
        <w:t xml:space="preserve">הוא לא היה מאשר את הסדר הטיעון </w:t>
      </w:r>
      <w:r>
        <w:rPr>
          <w:rtl w:val="true"/>
        </w:rPr>
        <w:t>(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155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25-24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לשופטת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ארי</w:t>
      </w:r>
      <w:r>
        <w:rPr>
          <w:rFonts w:cs="Century" w:ascii="Century" w:hAnsi="Century"/>
          <w:sz w:val="22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צוין כי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דנה בבקשת המערערים לעיון בחומר חקירה לפי</w:t>
      </w:r>
      <w:r>
        <w:rPr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hyperlink r:id="rId14"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23642-12-19</w:t>
        </w:r>
      </w:hyperlink>
      <w:r>
        <w:rPr>
          <w:rtl w:val="true"/>
        </w:rPr>
        <w:t xml:space="preserve">;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העיון</w:t>
      </w:r>
      <w:r>
        <w:rPr>
          <w:rFonts w:ascii="Century" w:hAnsi="Century" w:cs="Century"/>
          <w:sz w:val="22"/>
          <w:sz w:val="22"/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tl w:val="true"/>
        </w:rPr>
        <w:t xml:space="preserve">). </w:t>
      </w:r>
      <w:r>
        <w:rPr>
          <w:rtl w:val="true"/>
        </w:rPr>
        <w:t xml:space="preserve">הליך העיון נותב בתחילה לשופט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שגיא</w:t>
      </w:r>
      <w:r>
        <w:rPr>
          <w:rtl w:val="true"/>
        </w:rPr>
        <w:t xml:space="preserve">, </w:t>
      </w:r>
      <w:r>
        <w:rPr>
          <w:rtl w:val="true"/>
        </w:rPr>
        <w:t xml:space="preserve">אשר לא כיהן באותה העת בהרכב </w:t>
      </w:r>
      <w:r>
        <w:rPr>
          <w:rtl w:val="true"/>
        </w:rPr>
        <w:t>–</w:t>
      </w:r>
      <w:r>
        <w:rPr>
          <w:rtl w:val="true"/>
        </w:rPr>
        <w:t xml:space="preserve"> אך לאחר שמונה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שגיא</w:t>
      </w:r>
      <w:r>
        <w:rPr>
          <w:rtl w:val="true"/>
        </w:rPr>
        <w:t xml:space="preserve"> להרכב הדן בהליך העיקרי הודיעה המשיבה</w:t>
      </w:r>
      <w:r>
        <w:rPr>
          <w:rtl w:val="true"/>
        </w:rPr>
        <w:t xml:space="preserve">, </w:t>
      </w:r>
      <w:r>
        <w:rPr>
          <w:rtl w:val="true"/>
        </w:rPr>
        <w:t xml:space="preserve">בתגובתה מיום </w:t>
      </w:r>
      <w:r>
        <w:rPr/>
        <w:t>30.12.2019</w:t>
      </w:r>
      <w:r>
        <w:rPr>
          <w:rtl w:val="true"/>
        </w:rPr>
        <w:t xml:space="preserve"> </w:t>
      </w:r>
      <w:r>
        <w:rPr>
          <w:rtl w:val="true"/>
        </w:rPr>
        <w:t>לבקשת העיון</w:t>
      </w:r>
      <w:r>
        <w:rPr>
          <w:rtl w:val="true"/>
        </w:rPr>
        <w:t xml:space="preserve">, </w:t>
      </w:r>
      <w:r>
        <w:rPr>
          <w:rtl w:val="true"/>
        </w:rPr>
        <w:t>כי עדיף שהבקשה לא תידון בפני שופט שדן בהליך</w:t>
      </w:r>
      <w:r>
        <w:rPr>
          <w:rtl w:val="true"/>
        </w:rPr>
        <w:t xml:space="preserve">. </w:t>
      </w:r>
      <w:r>
        <w:rPr>
          <w:rtl w:val="true"/>
        </w:rPr>
        <w:t xml:space="preserve">על רקע זה הורה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שגיא</w:t>
      </w:r>
      <w:r>
        <w:rPr>
          <w:rtl w:val="true"/>
        </w:rPr>
        <w:t xml:space="preserve"> ביום </w:t>
      </w:r>
      <w:r>
        <w:rPr/>
        <w:t>31.12.2019</w:t>
      </w:r>
      <w:r>
        <w:rPr>
          <w:rtl w:val="true"/>
        </w:rPr>
        <w:t xml:space="preserve"> </w:t>
      </w:r>
      <w:r>
        <w:rPr>
          <w:rtl w:val="true"/>
        </w:rPr>
        <w:t xml:space="preserve">על העברת הליך העיון לטיפולה של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ינואר</w:t>
      </w:r>
      <w:r>
        <w:rPr>
          <w:rtl w:val="true"/>
        </w:rPr>
        <w:t>-</w:t>
      </w:r>
      <w:r>
        <w:rPr>
          <w:rtl w:val="true"/>
        </w:rPr>
        <w:t>פברואר</w:t>
      </w:r>
      <w:r>
        <w:rPr>
          <w:rFonts w:eastAsia="Arial TUR;Arial" w:cs="Arial TUR;Arial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ושבעקבותיהם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בימים</w:t>
      </w:r>
      <w:r>
        <w:rPr>
          <w:rFonts w:eastAsia="Arial TUR;Arial" w:cs="Arial TUR;Arial"/>
          <w:rtl w:val="true"/>
        </w:rPr>
        <w:t xml:space="preserve"> </w:t>
      </w:r>
      <w:r>
        <w:rPr/>
        <w:t>23.1.2020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12.3.2020</w:t>
      </w:r>
      <w:r>
        <w:rPr>
          <w:rtl w:val="true"/>
        </w:rPr>
        <w:t xml:space="preserve">, </w:t>
      </w:r>
      <w:r>
        <w:rPr>
          <w:rtl w:val="true"/>
        </w:rPr>
        <w:t>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מפליל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" </w:t>
      </w:r>
      <w:r>
        <w:rPr>
          <w:rtl w:val="true"/>
        </w:rPr>
        <w:t>שחלקו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קביל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והאזנות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והאזינה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" </w:t>
      </w:r>
      <w:r>
        <w:rPr>
          <w:rtl w:val="true"/>
        </w:rPr>
        <w:t>שבמסגרתו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כחשודים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12.3.2020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המערערים</w:t>
      </w:r>
      <w:r>
        <w:rPr>
          <w:rtl w:val="true"/>
        </w:rPr>
        <w:t xml:space="preserve">],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". </w:t>
      </w:r>
      <w:r>
        <w:rPr>
          <w:rtl w:val="true"/>
        </w:rPr>
        <w:t>לגישתם</w:t>
      </w:r>
      <w:r>
        <w:rPr>
          <w:rtl w:val="true"/>
        </w:rPr>
        <w:t xml:space="preserve">, </w:t>
      </w:r>
      <w:r>
        <w:rPr>
          <w:rtl w:val="true"/>
        </w:rPr>
        <w:t>אמירה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>".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tl w:val="true"/>
        </w:rPr>
        <w:t xml:space="preserve">במהלך הדיון מיום </w:t>
      </w:r>
      <w:r>
        <w:rPr/>
        <w:t>5.10.2021</w:t>
      </w:r>
      <w:r>
        <w:rPr>
          <w:rtl w:val="true"/>
        </w:rPr>
        <w:t xml:space="preserve"> </w:t>
      </w:r>
      <w:r>
        <w:rPr>
          <w:rtl w:val="true"/>
        </w:rPr>
        <w:t>ציינה באת</w:t>
      </w:r>
      <w:r>
        <w:rPr>
          <w:rtl w:val="true"/>
        </w:rPr>
        <w:t>-</w:t>
      </w:r>
      <w:r>
        <w:rPr>
          <w:rtl w:val="true"/>
        </w:rPr>
        <w:t xml:space="preserve">כוח המערערים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כי אומנם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 xml:space="preserve">כוחם של כל המערערים הצהירו עוד ביום </w:t>
      </w:r>
      <w:r>
        <w:rPr/>
        <w:t>11.10.2018</w:t>
      </w:r>
      <w:r>
        <w:rPr>
          <w:rtl w:val="true"/>
        </w:rPr>
        <w:t xml:space="preserve"> </w:t>
      </w:r>
      <w:r>
        <w:rPr>
          <w:rtl w:val="true"/>
        </w:rPr>
        <w:t>כי מקובל עליהם ש</w:t>
      </w:r>
      <w:r>
        <w:rPr>
          <w:rtl w:val="true"/>
        </w:rPr>
        <w:t>"</w:t>
      </w:r>
      <w:r>
        <w:rPr>
          <w:rtl w:val="true"/>
        </w:rPr>
        <w:t xml:space="preserve">כל הדיון בנושאי בקשות לפי סעיף </w:t>
      </w:r>
      <w:r>
        <w:rPr/>
        <w:t>74</w:t>
      </w:r>
      <w:r>
        <w:rPr>
          <w:rtl w:val="true"/>
        </w:rPr>
        <w:t xml:space="preserve"> </w:t>
      </w:r>
      <w:r>
        <w:rPr>
          <w:rtl w:val="true"/>
        </w:rPr>
        <w:t>יידונו בפני ההרכב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הדיון מיום </w:t>
      </w:r>
      <w:r>
        <w:rPr/>
        <w:t>11.10.2018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בעת שניתנה ההסכמה לא ידעו באי</w:t>
      </w:r>
      <w:r>
        <w:rPr>
          <w:rtl w:val="true"/>
        </w:rPr>
        <w:t>-</w:t>
      </w:r>
      <w:r>
        <w:rPr>
          <w:rtl w:val="true"/>
        </w:rPr>
        <w:t>כוח המערערים אילו חומרים תציג המשיבה למותב שידון בבקשות</w:t>
      </w:r>
      <w:r>
        <w:rPr>
          <w:rtl w:val="true"/>
        </w:rPr>
        <w:t xml:space="preserve">, </w:t>
      </w:r>
      <w:r>
        <w:rPr>
          <w:rtl w:val="true"/>
        </w:rPr>
        <w:t>ויש לייחס משקל לעובדה שהמשיבה ידעה את טיב החומרים בעת שטענה כי ראוי שהליך העיון יידון לפני מותב שאינו דן בהליך העיקרי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טופף</w:t>
      </w:r>
      <w:r>
        <w:rPr>
          <w:rtl w:val="true"/>
        </w:rPr>
        <w:t xml:space="preserve">: </w:t>
      </w:r>
      <w:r>
        <w:rPr>
          <w:rtl w:val="true"/>
        </w:rPr>
        <w:t xml:space="preserve">נטען כי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 דן בחלק מהליכי המעצר עד תום ההליכים של שלושה מהמערערים </w:t>
      </w:r>
      <w:r>
        <w:rPr>
          <w:rtl w:val="true"/>
        </w:rPr>
        <w:t>(</w:t>
      </w:r>
      <w:r>
        <w:rPr>
          <w:rtl w:val="true"/>
        </w:rPr>
        <w:t xml:space="preserve">המערערים </w:t>
      </w:r>
      <w:r>
        <w:rPr/>
        <w:t>2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), </w:t>
      </w:r>
      <w:r>
        <w:rPr>
          <w:rtl w:val="true"/>
        </w:rPr>
        <w:t>ובתוך כך נחשף ל</w:t>
      </w:r>
      <w:r>
        <w:rPr>
          <w:rtl w:val="true"/>
        </w:rPr>
        <w:t>"</w:t>
      </w:r>
      <w:r>
        <w:rPr>
          <w:rtl w:val="true"/>
        </w:rPr>
        <w:t>מסה קריטית</w:t>
      </w:r>
      <w:r>
        <w:rPr>
          <w:rtl w:val="true"/>
        </w:rPr>
        <w:t xml:space="preserve">" </w:t>
      </w:r>
      <w:r>
        <w:rPr>
          <w:rtl w:val="true"/>
        </w:rPr>
        <w:t>של ראיות בלתי</w:t>
      </w:r>
      <w:r>
        <w:rPr>
          <w:rtl w:val="true"/>
        </w:rPr>
        <w:t>-</w:t>
      </w:r>
      <w:r>
        <w:rPr>
          <w:rtl w:val="true"/>
        </w:rPr>
        <w:t>קבילות המצדיקה את פסילתו</w:t>
      </w:r>
      <w:r>
        <w:rPr>
          <w:rtl w:val="true"/>
        </w:rPr>
        <w:t xml:space="preserve">. </w:t>
      </w:r>
      <w:r>
        <w:rPr>
          <w:rtl w:val="true"/>
        </w:rPr>
        <w:t xml:space="preserve">המערערים הבהירו כי הם לא ביקשו את פסילתו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טופף</w:t>
      </w:r>
      <w:r>
        <w:rPr>
          <w:rtl w:val="true"/>
        </w:rPr>
        <w:t xml:space="preserve"> בעת שמונה לדון בהליך ביום </w:t>
      </w:r>
      <w:r>
        <w:rPr/>
        <w:t>26.12.2019</w:t>
      </w:r>
      <w:r>
        <w:rPr>
          <w:rtl w:val="true"/>
        </w:rPr>
        <w:t>, "</w:t>
      </w:r>
      <w:r>
        <w:rPr>
          <w:rtl w:val="true"/>
        </w:rPr>
        <w:t>אף ש</w:t>
      </w:r>
      <w:r>
        <w:rPr>
          <w:rtl w:val="true"/>
        </w:rPr>
        <w:t>[</w:t>
      </w:r>
      <w:r>
        <w:rPr>
          <w:rtl w:val="true"/>
        </w:rPr>
        <w:t>ההגנה</w:t>
      </w:r>
      <w:r>
        <w:rPr>
          <w:rtl w:val="true"/>
        </w:rPr>
        <w:t xml:space="preserve">] </w:t>
      </w:r>
      <w:r>
        <w:rPr>
          <w:rtl w:val="true"/>
        </w:rPr>
        <w:t>היתה מודעת לישיבתו בהליכי המעצר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אך לטענתם אין מקום לדחות את בקשתם מחמת שיהוי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שכן המועד להעלאת טענת פסלות בהתאם </w:t>
      </w:r>
      <w:hyperlink r:id="rId15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הוא </w:t>
      </w:r>
      <w:r>
        <w:rPr>
          <w:rtl w:val="true"/>
        </w:rPr>
        <w:t>"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תחילת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ולפני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ובהינתן העובדה שטרם נשמעה התשובה לכתב האישום </w:t>
      </w:r>
      <w:r>
        <w:rPr>
          <w:rtl w:val="true"/>
        </w:rPr>
        <w:t>"</w:t>
      </w:r>
      <w:r>
        <w:rPr>
          <w:rtl w:val="true"/>
        </w:rPr>
        <w:t>ולא נטענה כל טענה אחרת</w:t>
      </w:r>
      <w:r>
        <w:rPr>
          <w:rtl w:val="true"/>
        </w:rPr>
        <w:t xml:space="preserve">", </w:t>
      </w:r>
      <w:r>
        <w:rPr>
          <w:rtl w:val="true"/>
        </w:rPr>
        <w:t>הרי שלא חלף המועד להעלאת טענת הפסלות</w:t>
      </w:r>
      <w:r>
        <w:rPr>
          <w:rtl w:val="true"/>
        </w:rPr>
        <w:t xml:space="preserve">. </w:t>
      </w:r>
      <w:r>
        <w:rPr>
          <w:rtl w:val="true"/>
        </w:rPr>
        <w:t xml:space="preserve">נוסף על כך טענו המערערים כי לאחרונה נוצרה עילת פסלות </w:t>
      </w:r>
      <w:r>
        <w:rPr>
          <w:rtl w:val="true"/>
        </w:rPr>
        <w:t>"</w:t>
      </w:r>
      <w:r>
        <w:rPr>
          <w:rtl w:val="true"/>
        </w:rPr>
        <w:t>חדשה ונוספת</w:t>
      </w:r>
      <w:r>
        <w:rPr>
          <w:rtl w:val="true"/>
        </w:rPr>
        <w:t xml:space="preserve">" </w:t>
      </w:r>
      <w:r>
        <w:rPr>
          <w:rtl w:val="true"/>
        </w:rPr>
        <w:t xml:space="preserve">בעניינו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, </w:t>
      </w:r>
      <w:r>
        <w:rPr>
          <w:rtl w:val="true"/>
        </w:rPr>
        <w:t>בעקבות שינוי המותב שהוביל לכך שהוא יושב בהרכב לצד שני שופטים שנחשפו אף הם לחומרים בלתי</w:t>
      </w:r>
      <w:r>
        <w:rPr>
          <w:rtl w:val="true"/>
        </w:rPr>
        <w:t>-</w:t>
      </w:r>
      <w:r>
        <w:rPr>
          <w:rtl w:val="true"/>
        </w:rPr>
        <w:t>קבילים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על רקע כל האמור לעיל טענו המערערים כי קמה עילת פסלות לגבי כל אחד מחברי ההרכב בנפרד</w:t>
      </w:r>
      <w:r>
        <w:rPr>
          <w:rtl w:val="true"/>
        </w:rPr>
        <w:t xml:space="preserve">, </w:t>
      </w:r>
      <w:r>
        <w:rPr>
          <w:rtl w:val="true"/>
        </w:rPr>
        <w:t>לא כל שכן במצטבר</w:t>
      </w:r>
      <w:r>
        <w:rPr>
          <w:rtl w:val="true"/>
        </w:rPr>
        <w:t xml:space="preserve">, </w:t>
      </w:r>
      <w:r>
        <w:rPr>
          <w:rtl w:val="true"/>
        </w:rPr>
        <w:t>וכי קמה הצדקה לפסילתם לכל הפחות מטעמים של מראית פני הצדק</w:t>
      </w:r>
      <w:r>
        <w:rPr>
          <w:rtl w:val="true"/>
        </w:rPr>
        <w:t xml:space="preserve">. </w:t>
      </w:r>
      <w:r>
        <w:rPr>
          <w:rtl w:val="true"/>
        </w:rPr>
        <w:t>לגישת המערערים</w:t>
      </w:r>
      <w:r>
        <w:rPr>
          <w:rtl w:val="true"/>
        </w:rPr>
        <w:t>, "</w:t>
      </w:r>
      <w:r>
        <w:rPr>
          <w:rtl w:val="true"/>
        </w:rPr>
        <w:t>אילו היה כל המידע הזה מצטבר במוחו של שופט אחר</w:t>
      </w:r>
      <w:r>
        <w:rPr>
          <w:rtl w:val="true"/>
        </w:rPr>
        <w:t xml:space="preserve">, </w:t>
      </w:r>
      <w:r>
        <w:rPr>
          <w:rtl w:val="true"/>
        </w:rPr>
        <w:t>דומה שלא היה ספק כי הוא לא יכול לשבת בתיק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ונוכח העבודה האינטנסיבית של חברי ההרכב זה עם זה</w:t>
      </w:r>
      <w:r>
        <w:rPr>
          <w:rtl w:val="true"/>
        </w:rPr>
        <w:t xml:space="preserve">, </w:t>
      </w:r>
      <w:r>
        <w:rPr>
          <w:rtl w:val="true"/>
        </w:rPr>
        <w:t>הרי שענייננו דומה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למצב שבו שופט אחד נחשף לכל ה</w:t>
      </w:r>
      <w:r>
        <w:rPr>
          <w:rtl w:val="true"/>
        </w:rPr>
        <w:t>"</w:t>
      </w:r>
      <w:r>
        <w:rPr>
          <w:rtl w:val="true"/>
        </w:rPr>
        <w:t>מסה הקריטית</w:t>
      </w:r>
      <w:r>
        <w:rPr>
          <w:rtl w:val="true"/>
        </w:rPr>
        <w:t xml:space="preserve">". </w:t>
      </w:r>
      <w:r>
        <w:rPr>
          <w:rtl w:val="true"/>
        </w:rPr>
        <w:t>באשר לחלוף הזמן מאז היחשפות חברי ההרכב למידע</w:t>
      </w:r>
      <w:r>
        <w:rPr>
          <w:rtl w:val="true"/>
        </w:rPr>
        <w:t xml:space="preserve">, </w:t>
      </w:r>
      <w:r>
        <w:rPr>
          <w:rtl w:val="true"/>
        </w:rPr>
        <w:t>טענה באת</w:t>
      </w:r>
      <w:r>
        <w:rPr>
          <w:rtl w:val="true"/>
        </w:rPr>
        <w:t>-</w:t>
      </w:r>
      <w:r>
        <w:rPr>
          <w:rtl w:val="true"/>
        </w:rPr>
        <w:t xml:space="preserve">כוח המערערים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במהלך הדיון ביום </w:t>
      </w:r>
      <w:r>
        <w:rPr/>
        <w:t>5.10.2021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 xml:space="preserve">ביחס </w:t>
      </w:r>
      <w:r>
        <w:rPr>
          <w:rtl w:val="true"/>
        </w:rPr>
        <w:t>לתיק</w:t>
      </w:r>
      <w:r>
        <w:rPr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", </w:t>
      </w:r>
      <w:r>
        <w:rPr>
          <w:rtl w:val="true"/>
        </w:rPr>
        <w:t>שכן מדובר בהליך שאינו שגרתי ו</w:t>
      </w:r>
      <w:r>
        <w:rPr>
          <w:rtl w:val="true"/>
        </w:rPr>
        <w:t>"</w:t>
      </w:r>
      <w:r>
        <w:rPr>
          <w:rtl w:val="true"/>
        </w:rPr>
        <w:t>אלה חומרים שנחרטים בזיכרון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153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154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עוד הדגישה באת</w:t>
      </w:r>
      <w:r>
        <w:rPr>
          <w:rtl w:val="true"/>
        </w:rPr>
        <w:t>-</w:t>
      </w:r>
      <w:r>
        <w:rPr>
          <w:rtl w:val="true"/>
        </w:rPr>
        <w:t xml:space="preserve">כוח המערערים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כי בבית המשפט המחוזי בתל אביב</w:t>
      </w:r>
      <w:r>
        <w:rPr>
          <w:rtl w:val="true"/>
        </w:rPr>
        <w:t>-</w:t>
      </w:r>
      <w:r>
        <w:rPr>
          <w:rtl w:val="true"/>
        </w:rPr>
        <w:t>יפו מכהנים שופטים שטרם נחשפו לתיק</w:t>
      </w:r>
      <w:r>
        <w:rPr>
          <w:rtl w:val="true"/>
        </w:rPr>
        <w:t xml:space="preserve">, </w:t>
      </w:r>
      <w:r>
        <w:rPr>
          <w:rtl w:val="true"/>
        </w:rPr>
        <w:t>כך שאין מניעה לנתבו למותב אחר באותו בית משפט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מצדה</w:t>
      </w:r>
      <w:r>
        <w:rPr>
          <w:rtl w:val="true"/>
        </w:rPr>
        <w:t xml:space="preserve">, </w:t>
      </w:r>
      <w:r>
        <w:rPr>
          <w:rtl w:val="true"/>
        </w:rPr>
        <w:t>התנגדה לפסילת חברי ההרכב וציינה כי יש לדחות את הבקשה על כל רכיביה</w:t>
      </w:r>
      <w:r>
        <w:rPr>
          <w:rtl w:val="true"/>
        </w:rPr>
        <w:t xml:space="preserve">. </w:t>
      </w:r>
      <w:r>
        <w:rPr>
          <w:rtl w:val="true"/>
        </w:rPr>
        <w:t xml:space="preserve">בפרט צוין באשר לשופט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כי עדותו של א</w:t>
      </w:r>
      <w:r>
        <w:rPr>
          <w:rtl w:val="true"/>
        </w:rPr>
        <w:t>.</w:t>
      </w:r>
      <w:r>
        <w:rPr>
          <w:rtl w:val="true"/>
        </w:rPr>
        <w:t>א בתיק הנשק נמשכה יום אחד בלבד</w:t>
      </w:r>
      <w:r>
        <w:rPr>
          <w:rtl w:val="true"/>
        </w:rPr>
        <w:t xml:space="preserve">, </w:t>
      </w:r>
      <w:r>
        <w:rPr>
          <w:rtl w:val="true"/>
        </w:rPr>
        <w:t>כי לא נקבעו בעניינו ממצאי מהימנות וכי חלף זמן רב מאז שמיעתה</w:t>
      </w:r>
      <w:r>
        <w:rPr>
          <w:rtl w:val="true"/>
        </w:rPr>
        <w:t xml:space="preserve">. </w:t>
      </w:r>
      <w:r>
        <w:rPr>
          <w:rtl w:val="true"/>
        </w:rPr>
        <w:t xml:space="preserve">כמו כן צוין כי החומרים שהוצגו לשופט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בדיון בעניין סגירת הדלתיים הם </w:t>
      </w:r>
      <w:r>
        <w:rPr>
          <w:rtl w:val="true"/>
        </w:rPr>
        <w:t>"</w:t>
      </w:r>
      <w:r>
        <w:rPr>
          <w:rtl w:val="true"/>
        </w:rPr>
        <w:t>שלושה</w:t>
      </w:r>
      <w:r>
        <w:rPr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 </w:t>
      </w:r>
      <w:r>
        <w:rPr>
          <w:rtl w:val="true"/>
        </w:rPr>
        <w:t>סודיים</w:t>
      </w:r>
      <w:r>
        <w:rPr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למעלה</w:t>
      </w:r>
      <w:r>
        <w:rPr>
          <w:rtl w:val="true"/>
        </w:rPr>
        <w:t xml:space="preserve"> </w:t>
      </w:r>
      <w:r>
        <w:rPr>
          <w:rtl w:val="true"/>
        </w:rPr>
        <w:t>משנתיים</w:t>
      </w:r>
      <w:r>
        <w:rPr>
          <w:rtl w:val="true"/>
        </w:rPr>
        <w:t xml:space="preserve">, </w:t>
      </w:r>
      <w:r>
        <w:rPr>
          <w:rtl w:val="true"/>
        </w:rPr>
        <w:t>[</w:t>
      </w:r>
      <w:r>
        <w:rPr>
          <w:rtl w:val="true"/>
        </w:rPr>
        <w:t>ו</w:t>
      </w:r>
      <w:r>
        <w:rPr>
          <w:rtl w:val="true"/>
        </w:rPr>
        <w:t>]</w:t>
      </w:r>
      <w:r>
        <w:rPr>
          <w:rtl w:val="true"/>
        </w:rPr>
        <w:t>עסקו</w:t>
      </w:r>
      <w:r>
        <w:rPr>
          <w:rtl w:val="true"/>
        </w:rPr>
        <w:t xml:space="preserve"> </w:t>
      </w:r>
      <w:r>
        <w:rPr>
          <w:rtl w:val="true"/>
        </w:rPr>
        <w:t>בסיכון</w:t>
      </w:r>
      <w:r>
        <w:rPr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 xml:space="preserve"> </w:t>
      </w:r>
      <w:r>
        <w:rPr>
          <w:rtl w:val="true"/>
        </w:rPr>
        <w:t>הנשקף</w:t>
      </w:r>
      <w:r>
        <w:rPr>
          <w:rtl w:val="true"/>
        </w:rPr>
        <w:t xml:space="preserve"> </w:t>
      </w:r>
      <w:r>
        <w:rPr>
          <w:rtl w:val="true"/>
        </w:rPr>
        <w:t>לעד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"; </w:t>
      </w:r>
      <w:r>
        <w:rPr>
          <w:rtl w:val="true"/>
        </w:rPr>
        <w:t>וכי החלקים המושחרים בפרוטוקול הדיון שבו העיד א</w:t>
      </w:r>
      <w:r>
        <w:rPr>
          <w:rtl w:val="true"/>
        </w:rPr>
        <w:t>.</w:t>
      </w:r>
      <w:r>
        <w:rPr>
          <w:rtl w:val="true"/>
        </w:rPr>
        <w:t xml:space="preserve">א עוסקים </w:t>
      </w:r>
      <w:r>
        <w:rPr>
          <w:rtl w:val="true"/>
        </w:rPr>
        <w:t>"</w:t>
      </w:r>
      <w:r>
        <w:rPr>
          <w:rtl w:val="true"/>
        </w:rPr>
        <w:t>בעניינים</w:t>
      </w:r>
      <w:r>
        <w:rPr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161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162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הדיון מיום </w:t>
      </w:r>
      <w:r>
        <w:rPr/>
        <w:t>5.10.2021</w:t>
      </w:r>
      <w:r>
        <w:rPr>
          <w:rtl w:val="true"/>
        </w:rPr>
        <w:t xml:space="preserve">).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בהתייחסה לשופטת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, </w:t>
      </w:r>
      <w:r>
        <w:rPr>
          <w:rtl w:val="true"/>
        </w:rPr>
        <w:t>סברה המשיבה כי הסכמת באי</w:t>
      </w:r>
      <w:r>
        <w:rPr>
          <w:rtl w:val="true"/>
        </w:rPr>
        <w:t>-</w:t>
      </w:r>
      <w:r>
        <w:rPr>
          <w:rtl w:val="true"/>
        </w:rPr>
        <w:t xml:space="preserve">כוחם של המערערים לכך שהדיון בבקשות 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יתקיים בפני ההרכב</w:t>
      </w:r>
      <w:r>
        <w:rPr>
          <w:rtl w:val="true"/>
        </w:rPr>
        <w:t xml:space="preserve">, </w:t>
      </w:r>
      <w:r>
        <w:rPr>
          <w:rtl w:val="true"/>
        </w:rPr>
        <w:t xml:space="preserve">מצדיקה את דחיית טענות המערערים ביחס לשופטת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, </w:t>
      </w:r>
      <w:r>
        <w:rPr>
          <w:rtl w:val="true"/>
        </w:rPr>
        <w:t>אף שהיא לא כיהנה בהרכב באותה העת</w:t>
      </w:r>
      <w:r>
        <w:rPr>
          <w:rtl w:val="true"/>
        </w:rPr>
        <w:t xml:space="preserve">. </w:t>
      </w:r>
      <w:r>
        <w:rPr>
          <w:rtl w:val="true"/>
        </w:rPr>
        <w:t xml:space="preserve">עוד הודגש כי קבצי השמע שהוצגו לשופטת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הוגשו לה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לשמיעה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בדיקה</w:t>
      </w:r>
      <w:r>
        <w:rPr>
          <w:rtl w:val="true"/>
        </w:rPr>
        <w:t xml:space="preserve"> </w:t>
      </w:r>
      <w:r>
        <w:rPr>
          <w:rtl w:val="true"/>
        </w:rPr>
        <w:t>טכנית</w:t>
      </w:r>
      <w:r>
        <w:rPr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לאתר</w:t>
      </w:r>
      <w:r>
        <w:rPr>
          <w:rtl w:val="true"/>
        </w:rPr>
        <w:t xml:space="preserve"> </w:t>
      </w:r>
      <w:r>
        <w:rPr>
          <w:rtl w:val="true"/>
        </w:rPr>
        <w:t>האזנות</w:t>
      </w:r>
      <w:r>
        <w:rPr>
          <w:rtl w:val="true"/>
        </w:rPr>
        <w:t xml:space="preserve"> </w:t>
      </w:r>
      <w:r>
        <w:rPr>
          <w:rtl w:val="true"/>
        </w:rPr>
        <w:t>כאלו</w:t>
      </w:r>
      <w:r>
        <w:rPr>
          <w:rtl w:val="true"/>
        </w:rPr>
        <w:t xml:space="preserve"> </w:t>
      </w:r>
      <w:r>
        <w:rPr>
          <w:rtl w:val="true"/>
        </w:rPr>
        <w:t>ואחרות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שהעיון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ארי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 xml:space="preserve"> </w:t>
      </w:r>
      <w:r>
        <w:rPr>
          <w:rtl w:val="true"/>
        </w:rPr>
        <w:t>טכני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לאתר</w:t>
      </w:r>
      <w:r>
        <w:rPr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165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12-11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הדיון מיום </w:t>
      </w:r>
      <w:r>
        <w:rPr/>
        <w:t>5.10.2021</w:t>
      </w:r>
      <w:r>
        <w:rPr>
          <w:rtl w:val="true"/>
        </w:rPr>
        <w:t xml:space="preserve">). </w:t>
      </w:r>
      <w:r>
        <w:rPr>
          <w:rtl w:val="true"/>
        </w:rPr>
        <w:t xml:space="preserve">כן נטען כי החומרים שהוגשו </w:t>
      </w:r>
      <w:r>
        <w:rPr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היו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תיקים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סגורים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המדינה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שורה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ולא עסקו במהימנות של מי מהנאשמים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בדיון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סעיף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74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הוגשו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ידיעות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מודיעיניות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169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שורה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 xml:space="preserve">אשר לשופט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, </w:t>
      </w:r>
      <w:r>
        <w:rPr>
          <w:rtl w:val="true"/>
        </w:rPr>
        <w:t>צוין כי בקשת הפסלות בעניינו נגועה בשיהוי משמעותי</w:t>
      </w:r>
      <w:r>
        <w:rPr>
          <w:rtl w:val="true"/>
        </w:rPr>
        <w:t xml:space="preserve">, </w:t>
      </w:r>
      <w:r>
        <w:rPr>
          <w:rtl w:val="true"/>
        </w:rPr>
        <w:t>ומכל מקום כי הוא דן במעצרם של שלושה נאשמים בלבד ונחשף לחומרים בהיקף מצומצם שאין בו כדי להביא לפסילתו משמיעת התיק</w:t>
      </w:r>
      <w:r>
        <w:rPr>
          <w:rtl w:val="true"/>
        </w:rPr>
        <w:t xml:space="preserve">. </w:t>
      </w:r>
      <w:r>
        <w:rPr>
          <w:rtl w:val="true"/>
        </w:rPr>
        <w:t>לבסוף ציינה המשיבה כי הטענה בדבר הצטברות עילות הפסילה בקרב כלל שופטי ההרכב חותרת תחת עקרון העצמאות השיפוטית של כל שופט</w:t>
      </w:r>
      <w:r>
        <w:rPr>
          <w:rtl w:val="true"/>
        </w:rPr>
        <w:t xml:space="preserve">, </w:t>
      </w:r>
      <w:r>
        <w:rPr>
          <w:rtl w:val="true"/>
        </w:rPr>
        <w:t xml:space="preserve">וכי בהיעדר עילת פסלות פרטנית כלפי מי מחברי ההרכב אין מקום להכיר בעילה </w:t>
      </w:r>
      <w:r>
        <w:rPr>
          <w:rtl w:val="true"/>
        </w:rPr>
        <w:t>"</w:t>
      </w:r>
      <w:r>
        <w:rPr>
          <w:rtl w:val="true"/>
        </w:rPr>
        <w:t>מצטברת</w:t>
      </w:r>
      <w:r>
        <w:rPr>
          <w:rtl w:val="true"/>
        </w:rPr>
        <w:t xml:space="preserve">".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החלטתו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בית המשפט קמא דחה את בקשת הפסלות בהחלטה מיום </w:t>
      </w:r>
      <w:r>
        <w:rPr/>
        <w:t>12.10.2021</w:t>
      </w:r>
      <w:r>
        <w:rPr>
          <w:rtl w:val="true"/>
        </w:rPr>
        <w:t xml:space="preserve">, </w:t>
      </w:r>
      <w:r>
        <w:rPr>
          <w:rtl w:val="true"/>
        </w:rPr>
        <w:t xml:space="preserve">ובמסגרתה התייחס כל אחד מחברי </w:t>
      </w:r>
      <w:r>
        <w:rPr>
          <w:rFonts w:ascii="Century" w:hAnsi="Century" w:cs="Century"/>
          <w:sz w:val="22"/>
          <w:sz w:val="22"/>
          <w:rtl w:val="true"/>
        </w:rPr>
        <w:t>ההרכב</w:t>
      </w:r>
      <w:r>
        <w:rPr>
          <w:rtl w:val="true"/>
        </w:rPr>
        <w:t xml:space="preserve"> לטענות שהועלו בעניינו</w:t>
      </w:r>
      <w:r>
        <w:rPr>
          <w:rtl w:val="true"/>
        </w:rPr>
        <w:t xml:space="preserve">.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הדגיש כי העובדה ששופט דן בתיק אחר בעניינו של נאשם אינה מקימה כשלעצמה חשש ממשי למשוא פנים</w:t>
      </w:r>
      <w:r>
        <w:rPr>
          <w:rtl w:val="true"/>
        </w:rPr>
        <w:t xml:space="preserve">, </w:t>
      </w:r>
      <w:r>
        <w:rPr>
          <w:rtl w:val="true"/>
        </w:rPr>
        <w:t>וזאת אף אם שמע עֵד במשפט</w:t>
      </w:r>
      <w:r>
        <w:rPr>
          <w:rtl w:val="true"/>
        </w:rPr>
        <w:t xml:space="preserve">, </w:t>
      </w:r>
      <w:r>
        <w:rPr>
          <w:rtl w:val="true"/>
        </w:rPr>
        <w:t>נחשף לעברו הפלילי של הנאשם או קיים דיון במעמד צד אחד</w:t>
      </w:r>
      <w:r>
        <w:rPr>
          <w:rtl w:val="true"/>
        </w:rPr>
        <w:t xml:space="preserve">. </w:t>
      </w:r>
      <w:r>
        <w:rPr>
          <w:rtl w:val="true"/>
        </w:rPr>
        <w:t>על רקע זה נקבע כי שמיעת עדותו של א</w:t>
      </w:r>
      <w:r>
        <w:rPr>
          <w:rtl w:val="true"/>
        </w:rPr>
        <w:t>.</w:t>
      </w:r>
      <w:r>
        <w:rPr>
          <w:rtl w:val="true"/>
        </w:rPr>
        <w:t xml:space="preserve">א אינה מעוררת </w:t>
      </w:r>
      <w:r>
        <w:rPr>
          <w:rtl w:val="true"/>
        </w:rPr>
        <w:t>"</w:t>
      </w:r>
      <w:r>
        <w:rPr>
          <w:rtl w:val="true"/>
        </w:rPr>
        <w:t>ולו</w:t>
      </w:r>
      <w:r>
        <w:rPr>
          <w:rtl w:val="true"/>
        </w:rPr>
        <w:t xml:space="preserve"> </w:t>
      </w:r>
      <w:r>
        <w:rPr>
          <w:rtl w:val="true"/>
        </w:rPr>
        <w:t>חשש</w:t>
      </w:r>
      <w:r>
        <w:rPr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 </w:t>
      </w:r>
      <w:r>
        <w:rPr>
          <w:rtl w:val="true"/>
        </w:rPr>
        <w:t>ששופט</w:t>
      </w:r>
      <w:r>
        <w:rPr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 </w:t>
      </w:r>
      <w:r>
        <w:rPr>
          <w:rtl w:val="true"/>
        </w:rPr>
        <w:t>יתקשה</w:t>
      </w:r>
      <w:r>
        <w:rPr>
          <w:rtl w:val="true"/>
        </w:rPr>
        <w:t xml:space="preserve"> </w:t>
      </w:r>
      <w:r>
        <w:rPr>
          <w:rtl w:val="true"/>
        </w:rPr>
        <w:t>להדחיקו</w:t>
      </w:r>
      <w:r>
        <w:rPr>
          <w:rtl w:val="true"/>
        </w:rPr>
        <w:t xml:space="preserve">", </w:t>
      </w:r>
      <w:r>
        <w:rPr>
          <w:rtl w:val="true"/>
        </w:rPr>
        <w:t>וזאת במיוחד נוכח העובדה שלא נקבעו ממצאי מהימנות בעניינו</w:t>
      </w:r>
      <w:r>
        <w:rPr>
          <w:rtl w:val="true"/>
        </w:rPr>
        <w:t xml:space="preserve">. </w:t>
      </w:r>
      <w:r>
        <w:rPr>
          <w:rtl w:val="true"/>
        </w:rPr>
        <w:t xml:space="preserve">בנוסף ציין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כי החומר שאליו נחשף במסגרת תיק הנשק </w:t>
      </w:r>
      <w:r>
        <w:rPr>
          <w:rtl w:val="true"/>
        </w:rPr>
        <w:t>"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מתקרב</w:t>
      </w:r>
      <w:r>
        <w:rPr>
          <w:rtl w:val="true"/>
        </w:rPr>
        <w:t xml:space="preserve"> </w:t>
      </w:r>
      <w:r>
        <w:rPr>
          <w:rtl w:val="true"/>
        </w:rPr>
        <w:t>לרף</w:t>
      </w:r>
      <w:r>
        <w:rPr>
          <w:rtl w:val="true"/>
        </w:rPr>
        <w:t xml:space="preserve"> </w:t>
      </w:r>
      <w:r>
        <w:rPr>
          <w:rtl w:val="true"/>
        </w:rPr>
        <w:t>המסה</w:t>
      </w:r>
      <w:r>
        <w:rPr>
          <w:rtl w:val="true"/>
        </w:rPr>
        <w:t xml:space="preserve"> </w:t>
      </w:r>
      <w:r>
        <w:rPr>
          <w:rtl w:val="true"/>
        </w:rPr>
        <w:t>הקריטית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רקע העובדה שא</w:t>
      </w:r>
      <w:r>
        <w:rPr>
          <w:rtl w:val="true"/>
        </w:rPr>
        <w:t>.</w:t>
      </w:r>
      <w:r>
        <w:rPr>
          <w:rtl w:val="true"/>
        </w:rPr>
        <w:t>א העיד במשך יום אחד בלבד ולא נחקר בחקירה נגדית</w:t>
      </w:r>
      <w:r>
        <w:rPr>
          <w:rtl w:val="true"/>
        </w:rPr>
        <w:t xml:space="preserve">, </w:t>
      </w:r>
      <w:r>
        <w:rPr>
          <w:rtl w:val="true"/>
        </w:rPr>
        <w:t>וכן על רקע חלוף הזמן מאז העדתו</w:t>
      </w:r>
      <w:r>
        <w:rPr>
          <w:rtl w:val="true"/>
        </w:rPr>
        <w:t xml:space="preserve">. </w:t>
      </w:r>
      <w:r>
        <w:rPr>
          <w:rtl w:val="true"/>
        </w:rPr>
        <w:t xml:space="preserve">עוד דחה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את הטענה כי אישור הסדר הטיעון כמוהו כקביעת ממצאי מהימנות בעניינו של 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 xml:space="preserve">והדגיש כי הדיון במעמד צד אחד </w:t>
      </w:r>
      <w:r>
        <w:rPr>
          <w:rtl w:val="true"/>
        </w:rPr>
        <w:t>"</w:t>
      </w:r>
      <w:r>
        <w:rPr>
          <w:rtl w:val="true"/>
        </w:rPr>
        <w:t>עסק</w:t>
      </w:r>
      <w:r>
        <w:rPr>
          <w:rtl w:val="true"/>
        </w:rPr>
        <w:t xml:space="preserve"> </w:t>
      </w:r>
      <w:r>
        <w:rPr>
          <w:rtl w:val="true"/>
        </w:rPr>
        <w:t>בסיכונים</w:t>
      </w:r>
      <w:r>
        <w:rPr>
          <w:rtl w:val="true"/>
        </w:rPr>
        <w:t xml:space="preserve"> </w:t>
      </w:r>
      <w:r>
        <w:rPr>
          <w:rtl w:val="true"/>
        </w:rPr>
        <w:t>הנשקפים</w:t>
      </w:r>
      <w:r>
        <w:rPr>
          <w:rtl w:val="true"/>
        </w:rPr>
        <w:t xml:space="preserve"> </w:t>
      </w:r>
      <w:r>
        <w:rPr>
          <w:rtl w:val="true"/>
        </w:rPr>
        <w:t>לחיי</w:t>
      </w:r>
      <w:r>
        <w:rPr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 </w:t>
      </w:r>
      <w:r>
        <w:rPr>
          <w:rtl w:val="true"/>
        </w:rPr>
        <w:t>באם</w:t>
      </w:r>
      <w:r>
        <w:rPr>
          <w:rtl w:val="true"/>
        </w:rPr>
        <w:t xml:space="preserve"> </w:t>
      </w:r>
      <w:r>
        <w:rPr>
          <w:rtl w:val="true"/>
        </w:rPr>
        <w:t>יתבקש</w:t>
      </w:r>
      <w:r>
        <w:rPr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 </w:t>
      </w:r>
      <w:r>
        <w:rPr>
          <w:rtl w:val="true"/>
        </w:rPr>
        <w:t>בדלתיים</w:t>
      </w:r>
      <w:r>
        <w:rPr>
          <w:rtl w:val="true"/>
        </w:rPr>
        <w:t xml:space="preserve"> </w:t>
      </w:r>
      <w:r>
        <w:rPr>
          <w:rtl w:val="true"/>
        </w:rPr>
        <w:t>פתוחות</w:t>
      </w:r>
      <w:r>
        <w:rPr>
          <w:rtl w:val="true"/>
        </w:rPr>
        <w:t xml:space="preserve">, </w:t>
      </w:r>
      <w:r>
        <w:rPr>
          <w:rtl w:val="true"/>
        </w:rPr>
        <w:t>ותו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". </w:t>
      </w:r>
      <w:r>
        <w:rPr>
          <w:rtl w:val="true"/>
        </w:rPr>
        <w:t xml:space="preserve">לבסוף ציין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המותב</w:t>
      </w:r>
      <w:r>
        <w:rPr>
          <w:rtl w:val="true"/>
        </w:rPr>
        <w:t xml:space="preserve"> </w:t>
      </w:r>
      <w:r>
        <w:rPr>
          <w:rtl w:val="true"/>
        </w:rPr>
        <w:t>עלול</w:t>
      </w:r>
      <w:r>
        <w:rPr>
          <w:rtl w:val="true"/>
        </w:rPr>
        <w:t xml:space="preserve"> </w:t>
      </w:r>
      <w:r>
        <w:rPr>
          <w:rtl w:val="true"/>
        </w:rPr>
        <w:t>להיזכר</w:t>
      </w:r>
      <w:r>
        <w:rPr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בתוכן</w:t>
      </w:r>
      <w:r>
        <w:rPr>
          <w:rtl w:val="true"/>
        </w:rPr>
        <w:t xml:space="preserve"> </w:t>
      </w:r>
      <w:r>
        <w:rPr>
          <w:rtl w:val="true"/>
        </w:rPr>
        <w:t>המידע</w:t>
      </w:r>
      <w:r>
        <w:rPr>
          <w:rtl w:val="true"/>
        </w:rPr>
        <w:t xml:space="preserve"> </w:t>
      </w:r>
      <w:r>
        <w:rPr>
          <w:rtl w:val="true"/>
        </w:rPr>
        <w:t>שהוצג</w:t>
      </w:r>
      <w:r>
        <w:rPr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שאף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יתממש</w:t>
      </w:r>
      <w:r>
        <w:rPr>
          <w:rtl w:val="true"/>
        </w:rPr>
        <w:t xml:space="preserve"> </w:t>
      </w:r>
      <w:r>
        <w:rPr>
          <w:rtl w:val="true"/>
        </w:rPr>
        <w:t>תרחיש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במסה</w:t>
      </w:r>
      <w:r>
        <w:rPr>
          <w:rtl w:val="true"/>
        </w:rPr>
        <w:t xml:space="preserve"> </w:t>
      </w:r>
      <w:r>
        <w:rPr>
          <w:rtl w:val="true"/>
        </w:rPr>
        <w:t>קריטית</w:t>
      </w:r>
      <w:r>
        <w:rPr>
          <w:rtl w:val="true"/>
        </w:rPr>
        <w:t xml:space="preserve"> </w:t>
      </w:r>
      <w:r>
        <w:rPr>
          <w:rtl w:val="true"/>
        </w:rPr>
        <w:t>המקימה</w:t>
      </w:r>
      <w:r>
        <w:rPr>
          <w:rtl w:val="true"/>
        </w:rPr>
        <w:t xml:space="preserve"> </w:t>
      </w:r>
      <w:r>
        <w:rPr>
          <w:rtl w:val="true"/>
        </w:rPr>
        <w:t>חשש</w:t>
      </w:r>
      <w:r>
        <w:rPr>
          <w:rtl w:val="true"/>
        </w:rPr>
        <w:t xml:space="preserve"> </w:t>
      </w:r>
      <w:r>
        <w:rPr>
          <w:rtl w:val="true"/>
        </w:rPr>
        <w:t>למשוא</w:t>
      </w:r>
      <w:r>
        <w:rPr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 </w:t>
      </w:r>
      <w:r>
        <w:rPr>
          <w:rtl w:val="true"/>
        </w:rPr>
        <w:t>[...]".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קבעה אף היא שלא מתקיימת בעניינה עילת פסלות</w:t>
      </w:r>
      <w:r>
        <w:rPr>
          <w:rtl w:val="true"/>
        </w:rPr>
        <w:t xml:space="preserve">. </w:t>
      </w:r>
      <w:r>
        <w:rPr>
          <w:rtl w:val="true"/>
        </w:rPr>
        <w:t>היא פירטה כי הליך העיון עסק בשתי בקשות עיקריות של המערערים</w:t>
      </w:r>
      <w:r>
        <w:rPr>
          <w:rtl w:val="true"/>
        </w:rPr>
        <w:t xml:space="preserve">. </w:t>
      </w:r>
      <w:r>
        <w:rPr>
          <w:rtl w:val="true"/>
        </w:rPr>
        <w:t>הראשונה שבהן עסקה בהיבטים טכניים הנוגעים לבקשה לקבל רשימה חלופית של חומרי חקירה בטענה שהרשימה שהועברה למערערים מסורבלת וקשה לתפעול</w:t>
      </w:r>
      <w:r>
        <w:rPr>
          <w:rtl w:val="true"/>
        </w:rPr>
        <w:t xml:space="preserve">. </w:t>
      </w:r>
      <w:r>
        <w:rPr>
          <w:rtl w:val="true"/>
        </w:rPr>
        <w:t xml:space="preserve">במסגרת זו הוגשו לבית המשפט </w:t>
      </w:r>
      <w:r>
        <w:rPr>
          <w:rtl w:val="true"/>
        </w:rPr>
        <w:t>"</w:t>
      </w:r>
      <w:r>
        <w:rPr>
          <w:rtl w:val="true"/>
        </w:rPr>
        <w:t>רשימות</w:t>
      </w:r>
      <w:r>
        <w:rPr>
          <w:rtl w:val="true"/>
        </w:rPr>
        <w:t xml:space="preserve"> </w:t>
      </w:r>
      <w:r>
        <w:rPr>
          <w:rtl w:val="true"/>
        </w:rPr>
        <w:t>החומר</w:t>
      </w:r>
      <w:r>
        <w:rPr>
          <w:rtl w:val="true"/>
        </w:rPr>
        <w:t xml:space="preserve"> </w:t>
      </w:r>
      <w:r>
        <w:rPr>
          <w:rtl w:val="true"/>
        </w:rPr>
        <w:t>במדיה</w:t>
      </w:r>
      <w:r>
        <w:rPr>
          <w:rtl w:val="true"/>
        </w:rPr>
        <w:t xml:space="preserve"> </w:t>
      </w:r>
      <w:r>
        <w:rPr>
          <w:rtl w:val="true"/>
        </w:rPr>
        <w:t>דיגיטלית</w:t>
      </w:r>
      <w:r>
        <w:rPr>
          <w:rtl w:val="true"/>
        </w:rPr>
        <w:t xml:space="preserve"> </w:t>
      </w:r>
      <w:r>
        <w:rPr>
          <w:rtl w:val="true"/>
        </w:rPr>
        <w:t>וסיכום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"; </w:t>
      </w:r>
      <w:r>
        <w:rPr>
          <w:rtl w:val="true"/>
        </w:rPr>
        <w:t>הוקרנו רשימות חומרי החקירה על גבי מסכים</w:t>
      </w:r>
      <w:r>
        <w:rPr>
          <w:rtl w:val="true"/>
        </w:rPr>
        <w:t xml:space="preserve">; </w:t>
      </w:r>
      <w:r>
        <w:rPr>
          <w:rtl w:val="true"/>
        </w:rPr>
        <w:t xml:space="preserve">והוצג תהליך ההתמצאות ברשימות </w:t>
      </w:r>
      <w:r>
        <w:rPr>
          <w:rtl w:val="true"/>
        </w:rPr>
        <w:t>"</w:t>
      </w:r>
      <w:r>
        <w:rPr>
          <w:rtl w:val="true"/>
        </w:rPr>
        <w:t>להבדיל</w:t>
      </w:r>
      <w:r>
        <w:rPr>
          <w:rtl w:val="true"/>
        </w:rPr>
        <w:t xml:space="preserve"> </w:t>
      </w:r>
      <w:r>
        <w:rPr>
          <w:rtl w:val="true"/>
        </w:rPr>
        <w:t>משמיעת</w:t>
      </w:r>
      <w:r>
        <w:rPr>
          <w:rtl w:val="true"/>
        </w:rPr>
        <w:t xml:space="preserve"> </w:t>
      </w:r>
      <w:r>
        <w:rPr>
          <w:rtl w:val="true"/>
        </w:rPr>
        <w:t>שיחות</w:t>
      </w:r>
      <w:r>
        <w:rPr>
          <w:rtl w:val="true"/>
        </w:rPr>
        <w:t xml:space="preserve"> </w:t>
      </w:r>
      <w:r>
        <w:rPr>
          <w:rtl w:val="true"/>
        </w:rPr>
        <w:t>מלאות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tl w:val="true"/>
        </w:rPr>
        <w:t xml:space="preserve"> </w:t>
      </w:r>
      <w:r>
        <w:rPr>
          <w:rtl w:val="true"/>
        </w:rPr>
        <w:t>בחינת</w:t>
      </w:r>
      <w:r>
        <w:rPr>
          <w:rtl w:val="true"/>
        </w:rPr>
        <w:t xml:space="preserve"> </w:t>
      </w:r>
      <w:r>
        <w:rPr>
          <w:rtl w:val="true"/>
        </w:rPr>
        <w:t>תכנן</w:t>
      </w:r>
      <w:r>
        <w:rPr>
          <w:rtl w:val="true"/>
        </w:rPr>
        <w:t xml:space="preserve">". </w:t>
      </w:r>
      <w:r>
        <w:rPr>
          <w:rtl w:val="true"/>
        </w:rPr>
        <w:t xml:space="preserve">עוד הדגישה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כי מהחלטתה באותה הבקשה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הועברו</w:t>
      </w:r>
      <w:r>
        <w:rPr>
          <w:rtl w:val="true"/>
        </w:rPr>
        <w:t xml:space="preserve"> </w:t>
      </w:r>
      <w:r>
        <w:rPr>
          <w:rtl w:val="true"/>
        </w:rPr>
        <w:t>לעיוני</w:t>
      </w:r>
      <w:r>
        <w:rPr>
          <w:rtl w:val="true"/>
        </w:rPr>
        <w:t xml:space="preserve"> </w:t>
      </w:r>
      <w:r>
        <w:rPr>
          <w:rtl w:val="true"/>
        </w:rPr>
        <w:t>פרפרזות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תעודת</w:t>
      </w:r>
      <w:r>
        <w:rPr>
          <w:rtl w:val="true"/>
        </w:rPr>
        <w:t xml:space="preserve"> </w:t>
      </w:r>
      <w:r>
        <w:rPr>
          <w:rtl w:val="true"/>
        </w:rPr>
        <w:t>חיסיון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הוגשו</w:t>
      </w:r>
      <w:r>
        <w:rPr>
          <w:rtl w:val="true"/>
        </w:rPr>
        <w:t xml:space="preserve"> </w:t>
      </w:r>
      <w:r>
        <w:rPr>
          <w:rtl w:val="true"/>
        </w:rPr>
        <w:t>ידיעות</w:t>
      </w:r>
      <w:r>
        <w:rPr>
          <w:rtl w:val="true"/>
        </w:rPr>
        <w:t xml:space="preserve"> </w:t>
      </w:r>
      <w:r>
        <w:rPr>
          <w:rtl w:val="true"/>
        </w:rPr>
        <w:t>מודיעיניות</w:t>
      </w:r>
      <w:r>
        <w:rPr>
          <w:rtl w:val="true"/>
        </w:rPr>
        <w:t xml:space="preserve">". </w:t>
      </w:r>
      <w:r>
        <w:rPr>
          <w:rtl w:val="true"/>
        </w:rPr>
        <w:t>באשר לבקשת העיון השנייה</w:t>
      </w:r>
      <w:r>
        <w:rPr>
          <w:rtl w:val="true"/>
        </w:rPr>
        <w:t xml:space="preserve">, </w:t>
      </w:r>
      <w:r>
        <w:rPr>
          <w:rtl w:val="true"/>
        </w:rPr>
        <w:t xml:space="preserve">שבה נתבקשו חומרי חקירה הנוגעים למעורבים נוספים בפרשה ולעֵד המדינה </w:t>
      </w:r>
      <w:r>
        <w:rPr>
          <w:rtl w:val="true"/>
        </w:rPr>
        <w:t>–</w:t>
      </w:r>
      <w:r>
        <w:rPr>
          <w:rtl w:val="true"/>
        </w:rPr>
        <w:t xml:space="preserve">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פירטה כי עיינה </w:t>
      </w:r>
      <w:r>
        <w:rPr>
          <w:rtl w:val="true"/>
        </w:rPr>
        <w:t>"</w:t>
      </w:r>
      <w:r>
        <w:rPr>
          <w:rtl w:val="true"/>
        </w:rPr>
        <w:t>בתיקי</w:t>
      </w:r>
      <w:r>
        <w:rPr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פתוחים</w:t>
      </w:r>
      <w:r>
        <w:rPr>
          <w:rtl w:val="true"/>
        </w:rPr>
        <w:t xml:space="preserve"> </w:t>
      </w:r>
      <w:r>
        <w:rPr>
          <w:rtl w:val="true"/>
        </w:rPr>
        <w:t>וסגורים</w:t>
      </w:r>
      <w:r>
        <w:rPr>
          <w:rtl w:val="true"/>
        </w:rPr>
        <w:t xml:space="preserve">, </w:t>
      </w:r>
      <w:r>
        <w:rPr>
          <w:rtl w:val="true"/>
        </w:rPr>
        <w:t>נגד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טיוטת</w:t>
      </w:r>
      <w:r>
        <w:rPr>
          <w:rtl w:val="true"/>
        </w:rPr>
        <w:t xml:space="preserve"> </w:t>
      </w:r>
      <w:r>
        <w:rPr>
          <w:rtl w:val="true"/>
        </w:rPr>
        <w:t>ההסכם</w:t>
      </w:r>
      <w:r>
        <w:rPr>
          <w:rtl w:val="true"/>
        </w:rPr>
        <w:t xml:space="preserve"> </w:t>
      </w:r>
      <w:r>
        <w:rPr>
          <w:rtl w:val="true"/>
        </w:rPr>
        <w:t>שנערך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עדויות</w:t>
      </w:r>
      <w:r>
        <w:rPr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הניקיון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שנגבו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 </w:t>
      </w:r>
      <w:r>
        <w:rPr>
          <w:rtl w:val="true"/>
        </w:rPr>
        <w:t>וגיליון</w:t>
      </w:r>
      <w:r>
        <w:rPr>
          <w:rtl w:val="true"/>
        </w:rPr>
        <w:t xml:space="preserve"> </w:t>
      </w:r>
      <w:r>
        <w:rPr>
          <w:rtl w:val="true"/>
        </w:rPr>
        <w:t>הרישום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 </w:t>
      </w:r>
      <w:r>
        <w:rPr>
          <w:rtl w:val="true"/>
        </w:rPr>
        <w:t>המלא</w:t>
      </w:r>
      <w:r>
        <w:rPr>
          <w:rtl w:val="true"/>
        </w:rPr>
        <w:t>".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כלל החומרים הללו</w:t>
      </w:r>
      <w:r>
        <w:rPr>
          <w:rtl w:val="true"/>
        </w:rPr>
        <w:t xml:space="preserve">, </w:t>
      </w:r>
      <w:r>
        <w:rPr>
          <w:rtl w:val="true"/>
        </w:rPr>
        <w:t xml:space="preserve">כך קבעה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, </w:t>
      </w:r>
      <w:r>
        <w:rPr>
          <w:rtl w:val="true"/>
        </w:rPr>
        <w:t xml:space="preserve">אינם עולים כדי </w:t>
      </w:r>
      <w:r>
        <w:rPr>
          <w:rtl w:val="true"/>
        </w:rPr>
        <w:t>"</w:t>
      </w:r>
      <w:r>
        <w:rPr>
          <w:rtl w:val="true"/>
        </w:rPr>
        <w:t>מסה קריטית</w:t>
      </w:r>
      <w:r>
        <w:rPr>
          <w:rtl w:val="true"/>
        </w:rPr>
        <w:t xml:space="preserve">" </w:t>
      </w:r>
      <w:r>
        <w:rPr>
          <w:rtl w:val="true"/>
        </w:rPr>
        <w:t>המצדיקה את פסילתה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כפי שטענו המערערים</w:t>
      </w:r>
      <w:r>
        <w:rPr>
          <w:rtl w:val="true"/>
        </w:rPr>
        <w:t xml:space="preserve">, </w:t>
      </w:r>
      <w:r>
        <w:rPr>
          <w:rtl w:val="true"/>
        </w:rPr>
        <w:t>חלקם נמנים עם החשודים במסגרת התיקים הפתוחים והסגורים בעניינו של עֵד המדינה</w:t>
      </w:r>
      <w:r>
        <w:rPr>
          <w:rtl w:val="true"/>
        </w:rPr>
        <w:t xml:space="preserve">, </w:t>
      </w:r>
      <w:r>
        <w:rPr>
          <w:rtl w:val="true"/>
        </w:rPr>
        <w:t xml:space="preserve">אך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הדגישה כי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לערוך</w:t>
      </w:r>
      <w:r>
        <w:rPr>
          <w:rtl w:val="true"/>
        </w:rPr>
        <w:t xml:space="preserve"> </w:t>
      </w:r>
      <w:r>
        <w:rPr>
          <w:rtl w:val="true"/>
        </w:rPr>
        <w:t>קישור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מהם</w:t>
      </w:r>
      <w:r>
        <w:rPr>
          <w:rtl w:val="true"/>
        </w:rPr>
        <w:t xml:space="preserve">] </w:t>
      </w:r>
      <w:r>
        <w:rPr>
          <w:rtl w:val="true"/>
        </w:rPr>
        <w:t>נפתחו</w:t>
      </w:r>
      <w:r>
        <w:rPr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, </w:t>
      </w:r>
      <w:r>
        <w:rPr>
          <w:rtl w:val="true"/>
        </w:rPr>
        <w:t>באילו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נחשדו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 </w:t>
      </w:r>
      <w:r>
        <w:rPr>
          <w:rtl w:val="true"/>
        </w:rPr>
        <w:t>לעיון</w:t>
      </w:r>
      <w:r>
        <w:rPr>
          <w:rtl w:val="true"/>
        </w:rPr>
        <w:t xml:space="preserve"> </w:t>
      </w:r>
      <w:r>
        <w:rPr>
          <w:rtl w:val="true"/>
        </w:rPr>
        <w:t>בהרשעות</w:t>
      </w:r>
      <w:r>
        <w:rPr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שכשלעצמו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מקים</w:t>
      </w:r>
      <w:r>
        <w:rPr>
          <w:rtl w:val="true"/>
        </w:rPr>
        <w:t xml:space="preserve"> </w:t>
      </w:r>
      <w:r>
        <w:rPr>
          <w:rtl w:val="true"/>
        </w:rPr>
        <w:t>עילת</w:t>
      </w:r>
      <w:r>
        <w:rPr>
          <w:rtl w:val="true"/>
        </w:rPr>
        <w:t xml:space="preserve"> </w:t>
      </w:r>
      <w:r>
        <w:rPr>
          <w:rtl w:val="true"/>
        </w:rPr>
        <w:t>פסלות</w:t>
      </w:r>
      <w:r>
        <w:rPr>
          <w:rtl w:val="true"/>
        </w:rPr>
        <w:t xml:space="preserve"> </w:t>
      </w:r>
      <w:r>
        <w:rPr>
          <w:rtl w:val="true"/>
        </w:rPr>
        <w:t>אוטומטית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החומר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נעוץ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בזיכרוני</w:t>
      </w:r>
      <w:r>
        <w:rPr>
          <w:rtl w:val="true"/>
        </w:rPr>
        <w:t xml:space="preserve">". </w:t>
      </w:r>
      <w:r>
        <w:rPr>
          <w:rtl w:val="true"/>
        </w:rPr>
        <w:t>הוא הדין</w:t>
      </w:r>
      <w:r>
        <w:rPr>
          <w:rtl w:val="true"/>
        </w:rPr>
        <w:t xml:space="preserve">, </w:t>
      </w:r>
      <w:r>
        <w:rPr>
          <w:rtl w:val="true"/>
        </w:rPr>
        <w:t>כך נקבע</w:t>
      </w:r>
      <w:r>
        <w:rPr>
          <w:rtl w:val="true"/>
        </w:rPr>
        <w:t xml:space="preserve">, </w:t>
      </w:r>
      <w:r>
        <w:rPr>
          <w:rtl w:val="true"/>
        </w:rPr>
        <w:t>באשר לתיק הרצח הפתוח שאליו התייחסו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שלגביו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בהחלטתי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בזיכרוני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אינפורמציה</w:t>
      </w:r>
      <w:r>
        <w:rPr>
          <w:rtl w:val="true"/>
        </w:rPr>
        <w:t xml:space="preserve"> </w:t>
      </w:r>
      <w:r>
        <w:rPr>
          <w:rtl w:val="true"/>
        </w:rPr>
        <w:t>בנוגע</w:t>
      </w:r>
      <w:r>
        <w:rPr>
          <w:rtl w:val="true"/>
        </w:rPr>
        <w:t xml:space="preserve"> </w:t>
      </w:r>
      <w:r>
        <w:rPr>
          <w:rtl w:val="true"/>
        </w:rPr>
        <w:t>לחשדות</w:t>
      </w:r>
      <w:r>
        <w:rPr>
          <w:rtl w:val="true"/>
        </w:rPr>
        <w:t xml:space="preserve"> </w:t>
      </w:r>
      <w:r>
        <w:rPr>
          <w:rtl w:val="true"/>
        </w:rPr>
        <w:t>וכלפי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יוחסו</w:t>
      </w:r>
      <w:r>
        <w:rPr>
          <w:rtl w:val="true"/>
        </w:rPr>
        <w:t xml:space="preserve">". </w:t>
      </w:r>
      <w:r>
        <w:rPr>
          <w:rtl w:val="true"/>
        </w:rPr>
        <w:t xml:space="preserve">עוד הדגישה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כי ההתבטאות בדבר קיומן של ראיות לכאורה לא הייתה בבחינת הבעת עמדה מצדה</w:t>
      </w:r>
      <w:r>
        <w:rPr>
          <w:rtl w:val="true"/>
        </w:rPr>
        <w:t xml:space="preserve">, </w:t>
      </w:r>
      <w:r>
        <w:rPr>
          <w:rtl w:val="true"/>
        </w:rPr>
        <w:t>אלא אך הפניה לקביעותיהם של מותבים אחרים שדנו בנושא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 קבע כי אין בדיוני המעצר שהתקיימו לפניו כדי להקים עילת פסלות</w:t>
      </w:r>
      <w:r>
        <w:rPr>
          <w:rtl w:val="true"/>
        </w:rPr>
        <w:t xml:space="preserve">. </w:t>
      </w:r>
      <w:r>
        <w:rPr>
          <w:rtl w:val="true"/>
        </w:rPr>
        <w:t xml:space="preserve">הוא פירט כי הדיון באשר למערער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היה </w:t>
      </w:r>
      <w:r>
        <w:rPr>
          <w:rtl w:val="true"/>
        </w:rPr>
        <w:t>"</w:t>
      </w:r>
      <w:r>
        <w:rPr>
          <w:rtl w:val="true"/>
        </w:rPr>
        <w:t>מצומצם בהיקפו</w:t>
      </w:r>
      <w:r>
        <w:rPr>
          <w:rtl w:val="true"/>
        </w:rPr>
        <w:t xml:space="preserve">" </w:t>
      </w:r>
      <w:r>
        <w:rPr>
          <w:rtl w:val="true"/>
        </w:rPr>
        <w:t xml:space="preserve">ובמהלכו הוגש חומר חקירה </w:t>
      </w:r>
      <w:r>
        <w:rPr>
          <w:rtl w:val="true"/>
        </w:rPr>
        <w:t>"</w:t>
      </w:r>
      <w:r>
        <w:rPr>
          <w:rtl w:val="true"/>
        </w:rPr>
        <w:t>בהיקף מצומצם בהינתן המסגרת הדיונית שנדרשה</w:t>
      </w:r>
      <w:r>
        <w:rPr>
          <w:rtl w:val="true"/>
        </w:rPr>
        <w:t xml:space="preserve">"; </w:t>
      </w:r>
      <w:r>
        <w:rPr>
          <w:rtl w:val="true"/>
        </w:rPr>
        <w:t xml:space="preserve">כי במהלך הדיון בעניינו של המערער </w:t>
      </w:r>
      <w:r>
        <w:rPr/>
        <w:t>6</w:t>
      </w:r>
      <w:r>
        <w:rPr>
          <w:rtl w:val="true"/>
        </w:rPr>
        <w:t xml:space="preserve"> "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הפנו</w:t>
      </w:r>
      <w:r>
        <w:rPr>
          <w:rtl w:val="true"/>
        </w:rPr>
        <w:t xml:space="preserve"> </w:t>
      </w:r>
      <w:r>
        <w:rPr>
          <w:rtl w:val="true"/>
        </w:rPr>
        <w:t>לראיות</w:t>
      </w:r>
      <w:r>
        <w:rPr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חומרי</w:t>
      </w:r>
      <w:r>
        <w:rPr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 </w:t>
      </w:r>
      <w:r>
        <w:rPr>
          <w:rtl w:val="true"/>
        </w:rPr>
        <w:t>והוצגו</w:t>
      </w:r>
      <w:r>
        <w:rPr>
          <w:rtl w:val="true"/>
        </w:rPr>
        <w:t xml:space="preserve"> </w:t>
      </w:r>
      <w:r>
        <w:rPr>
          <w:rtl w:val="true"/>
        </w:rPr>
        <w:t>נתונים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", </w:t>
      </w:r>
      <w:r>
        <w:rPr>
          <w:rtl w:val="true"/>
        </w:rPr>
        <w:t>אך באותה העת שאלת קיומן של ראיות לכאורה טרם נדונה וטרם הוכרעה</w:t>
      </w:r>
      <w:r>
        <w:rPr>
          <w:rtl w:val="true"/>
        </w:rPr>
        <w:t xml:space="preserve">; </w:t>
      </w:r>
      <w:r>
        <w:rPr>
          <w:rtl w:val="true"/>
        </w:rPr>
        <w:t xml:space="preserve">וכי הדיון בעניינו של המערער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עסק בשאלה</w:t>
      </w:r>
      <w:r>
        <w:rPr>
          <w:rtl w:val="true"/>
        </w:rPr>
        <w:t xml:space="preserve"> </w:t>
      </w:r>
      <w:r>
        <w:rPr>
          <w:rtl w:val="true"/>
        </w:rPr>
        <w:t>אם ניתן לשחררו לחלופת מעצר</w:t>
      </w:r>
      <w:r>
        <w:rPr>
          <w:rtl w:val="true"/>
        </w:rPr>
        <w:t xml:space="preserve">.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 הוסיף והדגיש כי רצוי שהמותב הדן בהליכי מעצר לא ידון בהליך העיקרי</w:t>
      </w:r>
      <w:r>
        <w:rPr>
          <w:rtl w:val="true"/>
        </w:rPr>
        <w:t xml:space="preserve">, </w:t>
      </w:r>
      <w:r>
        <w:rPr>
          <w:rtl w:val="true"/>
        </w:rPr>
        <w:t>אך הדבר אינו מקים בהכרח עילת פסלות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כך ציין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>, "</w:t>
      </w:r>
      <w:r>
        <w:rPr>
          <w:rtl w:val="true"/>
        </w:rPr>
        <w:t>חלקי</w:t>
      </w:r>
      <w:r>
        <w:rPr>
          <w:rtl w:val="true"/>
        </w:rPr>
        <w:t xml:space="preserve"> </w:t>
      </w:r>
      <w:r>
        <w:rPr>
          <w:rtl w:val="true"/>
        </w:rPr>
        <w:t>בהליכי</w:t>
      </w:r>
      <w:r>
        <w:rPr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מצומצם</w:t>
      </w:r>
      <w:r>
        <w:rPr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tl w:val="true"/>
        </w:rPr>
        <w:t xml:space="preserve"> </w:t>
      </w:r>
      <w:r>
        <w:rPr>
          <w:rtl w:val="true"/>
        </w:rPr>
        <w:t>שהתבקשתי</w:t>
      </w:r>
      <w:r>
        <w:rPr>
          <w:rtl w:val="true"/>
        </w:rPr>
        <w:t xml:space="preserve"> </w:t>
      </w:r>
      <w:r>
        <w:rPr>
          <w:rtl w:val="true"/>
        </w:rPr>
        <w:t>לשמש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'</w:t>
      </w:r>
      <w:r>
        <w:rPr>
          <w:rtl w:val="true"/>
        </w:rPr>
        <w:t>ממלא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>
          <w:rtl w:val="true"/>
        </w:rPr>
        <w:t>החלטות</w:t>
      </w:r>
      <w:r>
        <w:rPr>
          <w:rtl w:val="true"/>
        </w:rPr>
        <w:t xml:space="preserve"> </w:t>
      </w:r>
      <w:r>
        <w:rPr>
          <w:rtl w:val="true"/>
        </w:rPr>
        <w:t>אד</w:t>
      </w:r>
      <w:r>
        <w:rPr>
          <w:rtl w:val="true"/>
        </w:rPr>
        <w:t xml:space="preserve"> </w:t>
      </w:r>
      <w:r>
        <w:rPr>
          <w:rtl w:val="true"/>
        </w:rPr>
        <w:t>הוק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היעדרותו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המותב</w:t>
      </w:r>
      <w:r>
        <w:rPr>
          <w:rtl w:val="true"/>
        </w:rPr>
        <w:t xml:space="preserve"> </w:t>
      </w:r>
      <w:r>
        <w:rPr>
          <w:rtl w:val="true"/>
        </w:rPr>
        <w:t>הקבוע</w:t>
      </w:r>
      <w:r>
        <w:rPr>
          <w:rtl w:val="true"/>
        </w:rPr>
        <w:t xml:space="preserve"> </w:t>
      </w:r>
      <w:r>
        <w:rPr>
          <w:rtl w:val="true"/>
        </w:rPr>
        <w:t>שמונה</w:t>
      </w:r>
      <w:r>
        <w:rPr>
          <w:rtl w:val="true"/>
        </w:rPr>
        <w:t xml:space="preserve"> </w:t>
      </w:r>
      <w:r>
        <w:rPr>
          <w:rtl w:val="true"/>
        </w:rPr>
        <w:t>לישב</w:t>
      </w:r>
      <w:r>
        <w:rPr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 </w:t>
      </w:r>
      <w:r>
        <w:rPr>
          <w:rtl w:val="true"/>
        </w:rPr>
        <w:t>בהליכי</w:t>
      </w:r>
      <w:r>
        <w:rPr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". </w:t>
      </w:r>
      <w:r>
        <w:rPr>
          <w:rtl w:val="true"/>
        </w:rPr>
        <w:t xml:space="preserve">בנוסף הדגיש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 כי הוא לא נדרש לקביעת ממצאי מהימנות</w:t>
      </w:r>
      <w:r>
        <w:rPr>
          <w:rtl w:val="true"/>
        </w:rPr>
        <w:t xml:space="preserve">, </w:t>
      </w:r>
      <w:r>
        <w:rPr>
          <w:rtl w:val="true"/>
        </w:rPr>
        <w:t xml:space="preserve">ולא נדרש להעמיק בחומר החקירה </w:t>
      </w:r>
      <w:r>
        <w:rPr>
          <w:rtl w:val="true"/>
        </w:rPr>
        <w:t>"</w:t>
      </w:r>
      <w:r>
        <w:rPr>
          <w:rtl w:val="true"/>
        </w:rPr>
        <w:t>בהיקף</w:t>
      </w:r>
      <w:r>
        <w:rPr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 </w:t>
      </w:r>
      <w:r>
        <w:rPr>
          <w:rtl w:val="true"/>
        </w:rPr>
        <w:t>בשאלת</w:t>
      </w:r>
      <w:r>
        <w:rPr>
          <w:rtl w:val="true"/>
        </w:rPr>
        <w:t xml:space="preserve"> </w:t>
      </w:r>
      <w:r>
        <w:rPr>
          <w:rtl w:val="true"/>
        </w:rPr>
        <w:t>קיומן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". </w:t>
      </w:r>
      <w:r>
        <w:rPr>
          <w:rtl w:val="true"/>
        </w:rPr>
        <w:t xml:space="preserve">נוכח כל זאת קבע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 כי לא הוכחה עילה לפסילתו</w:t>
      </w:r>
      <w:r>
        <w:rPr>
          <w:rtl w:val="true"/>
        </w:rPr>
        <w:t xml:space="preserve">, </w:t>
      </w:r>
      <w:r>
        <w:rPr>
          <w:rtl w:val="true"/>
        </w:rPr>
        <w:t>וזאת גם בשים לב לחלוף הזמן מאז דיוני המעצר האמורים ובהינתן הסבירות הגבוהה שההכרעה בהליך דנן תינתן רק בעוד מספר שנים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לצד זאת דחו כל חברי ההרכב את הטענה לקיומה של </w:t>
      </w:r>
      <w:r>
        <w:rPr>
          <w:rtl w:val="true"/>
        </w:rPr>
        <w:t>"</w:t>
      </w:r>
      <w:r>
        <w:rPr>
          <w:rtl w:val="true"/>
        </w:rPr>
        <w:t>מסה קריטית מצטברת</w:t>
      </w:r>
      <w:r>
        <w:rPr>
          <w:rtl w:val="true"/>
        </w:rPr>
        <w:t xml:space="preserve">".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 ציין </w:t>
      </w:r>
      <w:r>
        <w:rPr>
          <w:rtl w:val="true"/>
        </w:rPr>
        <w:t>"</w:t>
      </w:r>
      <w:r>
        <w:rPr>
          <w:rtl w:val="true"/>
        </w:rPr>
        <w:t>חזקה על שופט מקצועי</w:t>
      </w:r>
      <w:r>
        <w:rPr>
          <w:rtl w:val="true"/>
        </w:rPr>
        <w:t xml:space="preserve">, </w:t>
      </w:r>
      <w:r>
        <w:rPr>
          <w:rtl w:val="true"/>
        </w:rPr>
        <w:t xml:space="preserve">שישכיל </w:t>
      </w:r>
      <w:r>
        <w:rPr>
          <w:rtl w:val="true"/>
        </w:rPr>
        <w:t>להתעלם</w:t>
      </w:r>
      <w:r>
        <w:rPr>
          <w:rtl w:val="true"/>
        </w:rPr>
        <w:t xml:space="preserve"> </w:t>
      </w:r>
      <w:r>
        <w:rPr>
          <w:rtl w:val="true"/>
        </w:rPr>
        <w:t>כליל</w:t>
      </w:r>
      <w:r>
        <w:rPr>
          <w:rtl w:val="true"/>
        </w:rPr>
        <w:t xml:space="preserve"> </w:t>
      </w:r>
      <w:r>
        <w:rPr>
          <w:rtl w:val="true"/>
        </w:rPr>
        <w:t>ממידע</w:t>
      </w:r>
      <w:r>
        <w:rPr>
          <w:rtl w:val="true"/>
        </w:rPr>
        <w:t xml:space="preserve">, </w:t>
      </w:r>
      <w:r>
        <w:rPr>
          <w:rtl w:val="true"/>
        </w:rPr>
        <w:t>שבסופו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נתקבל</w:t>
      </w:r>
      <w:r>
        <w:rPr>
          <w:rtl w:val="true"/>
        </w:rPr>
        <w:t xml:space="preserve"> </w:t>
      </w:r>
      <w:r>
        <w:rPr>
          <w:rtl w:val="true"/>
        </w:rPr>
        <w:t>כראיה</w:t>
      </w:r>
      <w:r>
        <w:rPr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ולבטח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יחלוק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עמיתיו</w:t>
      </w:r>
      <w:r>
        <w:rPr>
          <w:rtl w:val="true"/>
        </w:rPr>
        <w:t xml:space="preserve"> </w:t>
      </w:r>
      <w:r>
        <w:rPr>
          <w:rtl w:val="true"/>
        </w:rPr>
        <w:t>להרכב</w:t>
      </w:r>
      <w:r>
        <w:rPr>
          <w:rtl w:val="true"/>
        </w:rPr>
        <w:t xml:space="preserve">".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מצדו</w:t>
      </w:r>
      <w:r>
        <w:rPr>
          <w:rtl w:val="true"/>
        </w:rPr>
        <w:t xml:space="preserve">, </w:t>
      </w:r>
      <w:r>
        <w:rPr>
          <w:rtl w:val="true"/>
        </w:rPr>
        <w:t xml:space="preserve">סבר כי </w:t>
      </w:r>
      <w:r>
        <w:rPr>
          <w:rtl w:val="true"/>
        </w:rPr>
        <w:t>"</w:t>
      </w:r>
      <w:r>
        <w:rPr>
          <w:rtl w:val="true"/>
        </w:rPr>
        <w:t>אפשרי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במצב</w:t>
      </w:r>
      <w:r>
        <w:rPr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נחשף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מחברי</w:t>
      </w:r>
      <w:r>
        <w:rPr>
          <w:rtl w:val="true"/>
        </w:rPr>
        <w:t xml:space="preserve"> </w:t>
      </w:r>
      <w:r>
        <w:rPr>
          <w:rtl w:val="true"/>
        </w:rPr>
        <w:t>ההרכב</w:t>
      </w:r>
      <w:r>
        <w:rPr>
          <w:rtl w:val="true"/>
        </w:rPr>
        <w:t xml:space="preserve"> </w:t>
      </w:r>
      <w:r>
        <w:rPr>
          <w:rtl w:val="true"/>
        </w:rPr>
        <w:t>לרף</w:t>
      </w:r>
      <w:r>
        <w:rPr>
          <w:rtl w:val="true"/>
        </w:rPr>
        <w:t xml:space="preserve"> </w:t>
      </w:r>
      <w:r>
        <w:rPr>
          <w:rtl w:val="true"/>
        </w:rPr>
        <w:t>המתקרב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מסה</w:t>
      </w:r>
      <w:r>
        <w:rPr>
          <w:rtl w:val="true"/>
        </w:rPr>
        <w:t xml:space="preserve"> </w:t>
      </w:r>
      <w:r>
        <w:rPr>
          <w:rtl w:val="true"/>
        </w:rPr>
        <w:t>קריטית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קבילות</w:t>
      </w:r>
      <w:r>
        <w:rPr>
          <w:rtl w:val="true"/>
        </w:rPr>
        <w:t xml:space="preserve">, </w:t>
      </w:r>
      <w:r>
        <w:rPr>
          <w:rtl w:val="true"/>
        </w:rPr>
        <w:t>תתקיים</w:t>
      </w:r>
      <w:r>
        <w:rPr>
          <w:rtl w:val="true"/>
        </w:rPr>
        <w:t xml:space="preserve"> </w:t>
      </w:r>
      <w:r>
        <w:rPr>
          <w:rtl w:val="true"/>
        </w:rPr>
        <w:t>הצדקה</w:t>
      </w:r>
      <w:r>
        <w:rPr>
          <w:rtl w:val="true"/>
        </w:rPr>
        <w:t xml:space="preserve"> </w:t>
      </w:r>
      <w:r>
        <w:rPr>
          <w:rtl w:val="true"/>
        </w:rPr>
        <w:t>לפסילת</w:t>
      </w:r>
      <w:r>
        <w:rPr>
          <w:rtl w:val="true"/>
        </w:rPr>
        <w:t xml:space="preserve"> </w:t>
      </w:r>
      <w:r>
        <w:rPr>
          <w:rtl w:val="true"/>
        </w:rPr>
        <w:t>ההרכב</w:t>
      </w:r>
      <w:r>
        <w:rPr>
          <w:rtl w:val="true"/>
        </w:rPr>
        <w:t xml:space="preserve"> </w:t>
      </w:r>
      <w:r>
        <w:rPr>
          <w:rtl w:val="true"/>
        </w:rPr>
        <w:t>כמכלול</w:t>
      </w:r>
      <w:r>
        <w:rPr>
          <w:rtl w:val="true"/>
        </w:rPr>
        <w:t>" (</w:t>
      </w:r>
      <w:r>
        <w:rPr>
          <w:rtl w:val="true"/>
        </w:rPr>
        <w:t>ההדגשה במקור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אך לא זה המקרה בענייננו</w:t>
      </w:r>
      <w:r>
        <w:rPr>
          <w:rtl w:val="true"/>
        </w:rPr>
        <w:t xml:space="preserve">. </w:t>
      </w:r>
      <w:r>
        <w:rPr>
          <w:rtl w:val="true"/>
        </w:rPr>
        <w:t>ברוח דומה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סברה כי אין בענייננו מקום לערוך </w:t>
      </w:r>
      <w:r>
        <w:rPr>
          <w:rtl w:val="true"/>
        </w:rPr>
        <w:t>"</w:t>
      </w:r>
      <w:r>
        <w:rPr>
          <w:rtl w:val="true"/>
        </w:rPr>
        <w:t>חיבור מלאכותי</w:t>
      </w:r>
      <w:r>
        <w:rPr>
          <w:rtl w:val="true"/>
        </w:rPr>
        <w:t xml:space="preserve">" </w:t>
      </w:r>
      <w:r>
        <w:rPr>
          <w:rtl w:val="true"/>
        </w:rPr>
        <w:t>בין החומרים שאליהם נחשף כל אחד מחברי ההרכב</w:t>
      </w:r>
      <w:r>
        <w:rPr>
          <w:rtl w:val="true"/>
        </w:rPr>
        <w:t xml:space="preserve">. </w:t>
      </w:r>
      <w:r>
        <w:rPr>
          <w:rtl w:val="true"/>
        </w:rPr>
        <w:t>לבסוף דחה ההרכב את הטענה כי עליו לפסול עצמו מטעמים של מראית פני הצדק</w:t>
      </w:r>
      <w:r>
        <w:rPr>
          <w:rtl w:val="true"/>
        </w:rPr>
        <w:t xml:space="preserve">; </w:t>
      </w:r>
      <w:r>
        <w:rPr>
          <w:rtl w:val="true"/>
        </w:rPr>
        <w:t xml:space="preserve">ובהקשר זה צוין כי על רקע נסיבותיו הייחודיות של ההליך דנן </w:t>
      </w:r>
      <w:r>
        <w:rPr>
          <w:rtl w:val="true"/>
        </w:rPr>
        <w:t>–</w:t>
      </w:r>
      <w:r>
        <w:rPr>
          <w:rtl w:val="true"/>
        </w:rPr>
        <w:t xml:space="preserve"> לרבות מורכבותו והתמשכות ההליכים בו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 </w:t>
      </w:r>
      <w:r>
        <w:rPr>
          <w:rtl w:val="true"/>
        </w:rPr>
        <w:t>בטענה</w:t>
      </w:r>
      <w:r>
        <w:rPr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אפשרות</w:t>
      </w:r>
      <w:r>
        <w:rPr>
          <w:rtl w:val="true"/>
        </w:rPr>
        <w:t xml:space="preserve"> </w:t>
      </w:r>
      <w:r>
        <w:rPr>
          <w:rtl w:val="true"/>
        </w:rPr>
        <w:t>לפגיעה</w:t>
      </w:r>
      <w:r>
        <w:rPr>
          <w:rtl w:val="true"/>
        </w:rPr>
        <w:t xml:space="preserve"> </w:t>
      </w:r>
      <w:r>
        <w:rPr>
          <w:rtl w:val="true"/>
        </w:rPr>
        <w:t>במראית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להצדיק</w:t>
      </w:r>
      <w:r>
        <w:rPr>
          <w:rtl w:val="true"/>
        </w:rPr>
        <w:t xml:space="preserve"> </w:t>
      </w:r>
      <w:r>
        <w:rPr>
          <w:rtl w:val="true"/>
        </w:rPr>
        <w:t>פסילת</w:t>
      </w:r>
      <w:r>
        <w:rPr>
          <w:rtl w:val="true"/>
        </w:rPr>
        <w:t xml:space="preserve"> </w:t>
      </w:r>
      <w:r>
        <w:rPr>
          <w:rtl w:val="true"/>
        </w:rPr>
        <w:t>המותב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השלכותיה</w:t>
      </w:r>
      <w:r>
        <w:rPr>
          <w:rtl w:val="true"/>
        </w:rPr>
        <w:t>".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המקדמיים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ההרכב</w:t>
      </w:r>
      <w:r>
        <w:rPr>
          <w:rtl w:val="true"/>
        </w:rPr>
        <w:t xml:space="preserve">, </w:t>
      </w:r>
      <w:r>
        <w:rPr>
          <w:rtl w:val="true"/>
        </w:rPr>
        <w:t>נותבו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בדינם</w:t>
      </w:r>
      <w:r>
        <w:rPr>
          <w:rtl w:val="true"/>
        </w:rPr>
        <w:t>".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: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ציטוטים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התייחסויות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משחירות</w:t>
      </w:r>
      <w:r>
        <w:rPr>
          <w:rtl w:val="true"/>
        </w:rPr>
        <w:t xml:space="preserve">"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מבאי</w:t>
      </w:r>
      <w:r>
        <w:rPr>
          <w:rtl w:val="true"/>
        </w:rPr>
        <w:t>-</w:t>
      </w:r>
      <w:r>
        <w:rPr>
          <w:rtl w:val="true"/>
        </w:rPr>
        <w:t>כוחם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";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".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המערערים</w:t>
      </w:r>
      <w:r>
        <w:rPr>
          <w:rtl w:val="true"/>
        </w:rPr>
        <w:t xml:space="preserve">]"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ולשיטתם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>".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אשר לשופטת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Fonts w:cs="Century" w:ascii="Century" w:hAnsi="Century"/>
          <w:sz w:val="22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המערערים טוענים כי הבקשה בהליך העיון נוסחה והוגשה מתוך הבנה כי היא תידון בפני שופט שאיננו חלק מן ההרכב השומע את התיק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87</w:t>
      </w:r>
      <w:r>
        <w:rPr>
          <w:rtl w:val="true"/>
        </w:rPr>
        <w:t xml:space="preserve"> </w:t>
      </w:r>
      <w:r>
        <w:rPr>
          <w:rtl w:val="true"/>
        </w:rPr>
        <w:t>להודעת הערעור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שכן ביום </w:t>
      </w:r>
      <w:r>
        <w:rPr/>
        <w:t>18.11.2019</w:t>
      </w:r>
      <w:r>
        <w:rPr>
          <w:rtl w:val="true"/>
        </w:rPr>
        <w:t xml:space="preserve"> </w:t>
      </w:r>
      <w:r>
        <w:rPr>
          <w:rtl w:val="true"/>
        </w:rPr>
        <w:t xml:space="preserve">נקבע שהבקשות לעיון בחומרי החקירה תוגשנה לשופט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שגיא</w:t>
      </w:r>
      <w:r>
        <w:rPr>
          <w:rtl w:val="true"/>
        </w:rPr>
        <w:t xml:space="preserve">, </w:t>
      </w:r>
      <w:r>
        <w:rPr>
          <w:rtl w:val="true"/>
        </w:rPr>
        <w:t>אשר שלא כיהן באותה העת בהרכב</w:t>
      </w:r>
      <w:r>
        <w:rPr>
          <w:rtl w:val="true"/>
        </w:rPr>
        <w:t xml:space="preserve">. </w:t>
      </w:r>
      <w:r>
        <w:rPr>
          <w:rtl w:val="true"/>
        </w:rPr>
        <w:t>לטענת המערערים</w:t>
      </w:r>
      <w:r>
        <w:rPr>
          <w:rtl w:val="true"/>
        </w:rPr>
        <w:t xml:space="preserve">, </w:t>
      </w:r>
      <w:r>
        <w:rPr>
          <w:rtl w:val="true"/>
        </w:rPr>
        <w:t>אילו ידעו כי המותב שידון בבקשה ידון גם בהליך העיקרי</w:t>
      </w:r>
      <w:r>
        <w:rPr>
          <w:rtl w:val="true"/>
        </w:rPr>
        <w:t xml:space="preserve">, </w:t>
      </w:r>
      <w:r>
        <w:rPr>
          <w:rtl w:val="true"/>
        </w:rPr>
        <w:t>הרי שהיו מכלכלים את צעדיהם אחרת</w:t>
      </w:r>
      <w:r>
        <w:rPr>
          <w:rtl w:val="true"/>
        </w:rPr>
        <w:t xml:space="preserve">. </w:t>
      </w:r>
      <w:r>
        <w:rPr>
          <w:rtl w:val="true"/>
        </w:rPr>
        <w:t xml:space="preserve">עוד מודגש כי במסגרת הליך העיון הוגשו לשופטת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התשתית הראייתית וקו ההגנה</w:t>
      </w:r>
      <w:r>
        <w:rPr>
          <w:rtl w:val="true"/>
        </w:rPr>
        <w:t xml:space="preserve">" </w:t>
      </w:r>
      <w:r>
        <w:rPr>
          <w:rtl w:val="true"/>
        </w:rPr>
        <w:t xml:space="preserve">בעניין אחד האישומים וכן </w:t>
      </w:r>
      <w:r>
        <w:rPr>
          <w:rtl w:val="true"/>
        </w:rPr>
        <w:t>"</w:t>
      </w:r>
      <w:r>
        <w:rPr>
          <w:rtl w:val="true"/>
        </w:rPr>
        <w:t>שלושה קרגלים</w:t>
      </w:r>
      <w:r>
        <w:rPr>
          <w:rtl w:val="true"/>
        </w:rPr>
        <w:t xml:space="preserve">" </w:t>
      </w:r>
      <w:r>
        <w:rPr>
          <w:rtl w:val="true"/>
        </w:rPr>
        <w:t>של חומרים ובהם עדות הניקיון של עֵד המדינה</w:t>
      </w:r>
      <w:r>
        <w:rPr>
          <w:rtl w:val="true"/>
        </w:rPr>
        <w:t xml:space="preserve">; </w:t>
      </w:r>
      <w:r>
        <w:rPr>
          <w:rtl w:val="true"/>
        </w:rPr>
        <w:t xml:space="preserve">וכי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עיינה בכונן הכולל את כל חומרי החקירה ו</w:t>
      </w:r>
      <w:r>
        <w:rPr>
          <w:rtl w:val="true"/>
        </w:rPr>
        <w:t>"</w:t>
      </w:r>
      <w:r>
        <w:rPr>
          <w:rtl w:val="true"/>
        </w:rPr>
        <w:t>אין לדעת עד כמה התרשמה כב</w:t>
      </w:r>
      <w:r>
        <w:rPr>
          <w:rtl w:val="true"/>
        </w:rPr>
        <w:t xml:space="preserve">' </w:t>
      </w:r>
      <w:r>
        <w:rPr>
          <w:rtl w:val="true"/>
        </w:rPr>
        <w:t>השופטת במהלך העיון מן החומרים לגופם</w:t>
      </w:r>
      <w:r>
        <w:rPr>
          <w:rtl w:val="true"/>
        </w:rPr>
        <w:t xml:space="preserve">, </w:t>
      </w:r>
      <w:r>
        <w:rPr>
          <w:rtl w:val="true"/>
        </w:rPr>
        <w:t>אף אם העיון נעשה לצרכים טכניים</w:t>
      </w:r>
      <w:r>
        <w:rPr>
          <w:rtl w:val="true"/>
        </w:rPr>
        <w:t xml:space="preserve">". </w:t>
      </w:r>
      <w:r>
        <w:rPr>
          <w:rtl w:val="true"/>
        </w:rPr>
        <w:t xml:space="preserve">אשר להתייחסותה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לקיומן של ראיות לכאורה</w:t>
      </w:r>
      <w:r>
        <w:rPr>
          <w:rtl w:val="true"/>
        </w:rPr>
        <w:t xml:space="preserve">, </w:t>
      </w:r>
      <w:r>
        <w:rPr>
          <w:rtl w:val="true"/>
        </w:rPr>
        <w:t>טוענים המערערים כי מצב שבו שופט מסתמך בהחלטותיו על הכרעה של מותב אחר הוא בלתי</w:t>
      </w:r>
      <w:r>
        <w:rPr>
          <w:rtl w:val="true"/>
        </w:rPr>
        <w:t>-</w:t>
      </w:r>
      <w:r>
        <w:rPr>
          <w:rtl w:val="true"/>
        </w:rPr>
        <w:t>ראוי כשלעצמו</w:t>
      </w:r>
      <w:r>
        <w:rPr>
          <w:rtl w:val="true"/>
        </w:rPr>
        <w:t xml:space="preserve">, </w:t>
      </w:r>
      <w:r>
        <w:rPr>
          <w:rtl w:val="true"/>
        </w:rPr>
        <w:t>ומכל מקום מדובר בהתבטאות שאינה מדויקת</w:t>
      </w:r>
      <w:r>
        <w:rPr>
          <w:rtl w:val="true"/>
        </w:rPr>
        <w:t xml:space="preserve">, </w:t>
      </w:r>
      <w:r>
        <w:rPr>
          <w:rtl w:val="true"/>
        </w:rPr>
        <w:t>שכן נכון לאותו השלב ניתנו החלטות בעניין הראיות לכאורה רק לגבי חלק מ</w:t>
      </w:r>
      <w:r>
        <w:rPr>
          <w:rFonts w:ascii="Century" w:hAnsi="Century" w:cs="Century"/>
          <w:sz w:val="22"/>
          <w:sz w:val="22"/>
          <w:rtl w:val="true"/>
        </w:rPr>
        <w:t>המערערים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זאת ועוד</w:t>
      </w:r>
      <w:r>
        <w:rPr>
          <w:rtl w:val="true"/>
        </w:rPr>
        <w:t xml:space="preserve">: </w:t>
      </w:r>
      <w:r>
        <w:rPr>
          <w:rtl w:val="true"/>
        </w:rPr>
        <w:t>לטענתם</w:t>
      </w:r>
      <w:r>
        <w:rPr>
          <w:rtl w:val="true"/>
        </w:rPr>
        <w:t>, "</w:t>
      </w:r>
      <w:r>
        <w:rPr>
          <w:rtl w:val="true"/>
        </w:rPr>
        <w:t>קריאה מעמיקה</w:t>
      </w:r>
      <w:r>
        <w:rPr>
          <w:rtl w:val="true"/>
        </w:rPr>
        <w:t xml:space="preserve">" </w:t>
      </w:r>
      <w:r>
        <w:rPr>
          <w:rtl w:val="true"/>
        </w:rPr>
        <w:t xml:space="preserve">של החלטותיהם של שופטים אחרים בעניין חומר הראיות בתיק עולה כשלעצמה כדי </w:t>
      </w:r>
      <w:r>
        <w:rPr>
          <w:rtl w:val="true"/>
        </w:rPr>
        <w:t>"</w:t>
      </w:r>
      <w:r>
        <w:rPr>
          <w:rtl w:val="true"/>
        </w:rPr>
        <w:t>מסה קריטית</w:t>
      </w:r>
      <w:r>
        <w:rPr>
          <w:rtl w:val="true"/>
        </w:rPr>
        <w:t xml:space="preserve">" </w:t>
      </w:r>
      <w:r>
        <w:rPr>
          <w:rtl w:val="true"/>
        </w:rPr>
        <w:t>של חומר בלתי</w:t>
      </w:r>
      <w:r>
        <w:rPr>
          <w:rtl w:val="true"/>
        </w:rPr>
        <w:t>-</w:t>
      </w:r>
      <w:r>
        <w:rPr>
          <w:rtl w:val="true"/>
        </w:rPr>
        <w:t>קביל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אשר לשופט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: </w:t>
      </w:r>
      <w:r>
        <w:rPr>
          <w:rtl w:val="true"/>
        </w:rPr>
        <w:t xml:space="preserve">המערערים מדגישים כי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 דן בעניינם של שלושה מהנאשמים בתיק</w:t>
      </w:r>
      <w:r>
        <w:rPr>
          <w:rtl w:val="true"/>
        </w:rPr>
        <w:t>, "</w:t>
      </w:r>
      <w:r>
        <w:rPr>
          <w:rtl w:val="true"/>
        </w:rPr>
        <w:t>מהם שניים מרכזיים</w:t>
      </w:r>
      <w:r>
        <w:rPr>
          <w:rtl w:val="true"/>
        </w:rPr>
        <w:t xml:space="preserve">". </w:t>
      </w:r>
      <w:r>
        <w:rPr>
          <w:rtl w:val="true"/>
        </w:rPr>
        <w:t xml:space="preserve">בנוגע למערער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מפורט כי ביום </w:t>
      </w:r>
      <w:r>
        <w:rPr/>
        <w:t>21.5.2019</w:t>
      </w:r>
      <w:r>
        <w:rPr>
          <w:rtl w:val="true"/>
        </w:rPr>
        <w:t xml:space="preserve"> </w:t>
      </w:r>
      <w:r>
        <w:rPr>
          <w:rtl w:val="true"/>
        </w:rPr>
        <w:t xml:space="preserve">התקיים לפני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 דיון בשאלה האם ישנן ראיות מספקות על מנת להותירו במעצר עד שמותב אחר יכריע בסוגיית הראיות לכאורה</w:t>
      </w:r>
      <w:r>
        <w:rPr>
          <w:rtl w:val="true"/>
        </w:rPr>
        <w:t xml:space="preserve">; </w:t>
      </w:r>
      <w:r>
        <w:rPr>
          <w:rtl w:val="true"/>
        </w:rPr>
        <w:t>במהלך הדיון הוצגו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ציטוטים מתוך שיחות שהוקלטו</w:t>
      </w:r>
      <w:r>
        <w:rPr>
          <w:rtl w:val="true"/>
        </w:rPr>
        <w:t xml:space="preserve">. </w:t>
      </w:r>
      <w:r>
        <w:rPr>
          <w:rtl w:val="true"/>
        </w:rPr>
        <w:t xml:space="preserve">באשר למערער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7.5.2019</w:t>
      </w:r>
      <w:r>
        <w:rPr>
          <w:rtl w:val="true"/>
        </w:rPr>
        <w:t xml:space="preserve"> </w:t>
      </w:r>
      <w:r>
        <w:rPr>
          <w:rtl w:val="true"/>
        </w:rPr>
        <w:t xml:space="preserve">התקיים לפני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 דיון בשאלה אם ניתן לשחררו לחלופת מעצר</w:t>
      </w:r>
      <w:r>
        <w:rPr>
          <w:rtl w:val="true"/>
        </w:rPr>
        <w:t xml:space="preserve">, </w:t>
      </w:r>
      <w:r>
        <w:rPr>
          <w:rtl w:val="true"/>
        </w:rPr>
        <w:t>ובמסגרתו הוגש קלסר הכולל חקירות של עֵד המדינה ותמלילי האזנות סתר</w:t>
      </w:r>
      <w:r>
        <w:rPr>
          <w:rtl w:val="true"/>
        </w:rPr>
        <w:t xml:space="preserve">. </w:t>
      </w:r>
      <w:r>
        <w:rPr>
          <w:rtl w:val="true"/>
        </w:rPr>
        <w:t xml:space="preserve">באשר למערער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23.6.2019</w:t>
      </w:r>
      <w:r>
        <w:rPr>
          <w:rtl w:val="true"/>
        </w:rPr>
        <w:t xml:space="preserve"> </w:t>
      </w:r>
      <w:r>
        <w:rPr>
          <w:rtl w:val="true"/>
        </w:rPr>
        <w:t xml:space="preserve">התקיים בפני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 דיון בשאלת קיומה של עילת מעצר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והשופט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 עיין בהחלטה שנתן מותב אחר בעניין הראיות לכאורה וכן נחשף לעברו הפלילי של המערער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להרשעותיו הקודמות ולתיקים פתוחים בעניינו</w:t>
      </w:r>
      <w:r>
        <w:rPr>
          <w:rtl w:val="true"/>
        </w:rPr>
        <w:t xml:space="preserve">. </w:t>
      </w:r>
      <w:r>
        <w:rPr>
          <w:rtl w:val="true"/>
        </w:rPr>
        <w:t>לשיטת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לקביעותיו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 בהליכי המעצר ולחומרים שאליהם נחשף</w:t>
      </w:r>
      <w:r>
        <w:rPr>
          <w:rtl w:val="true"/>
        </w:rPr>
        <w:t xml:space="preserve">, </w:t>
      </w:r>
      <w:r>
        <w:rPr>
          <w:rtl w:val="true"/>
        </w:rPr>
        <w:t>הכרעותיו בהליכי המעצר עלולות להשפיע גם על החלטותיו בנוגע לנאשמים האחרים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 xml:space="preserve">נטען כי חומרי החקירה שהוגשו בעניינו של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עולים כשלעצמם כדי </w:t>
      </w:r>
      <w:r>
        <w:rPr>
          <w:rtl w:val="true"/>
        </w:rPr>
        <w:t>"</w:t>
      </w:r>
      <w:r>
        <w:rPr>
          <w:rtl w:val="true"/>
        </w:rPr>
        <w:t>מסה קריטית</w:t>
      </w:r>
      <w:r>
        <w:rPr>
          <w:rtl w:val="true"/>
        </w:rPr>
        <w:t xml:space="preserve">" </w:t>
      </w:r>
      <w:r>
        <w:rPr>
          <w:rtl w:val="true"/>
        </w:rPr>
        <w:t xml:space="preserve">המצדיקה את פסילת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 מלדון בעניינו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לטענת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אף אם שופטי ההרכב סבורים מבחינה סובייקטיבית שביכולתם </w:t>
      </w:r>
      <w:r>
        <w:rPr>
          <w:rtl w:val="true"/>
        </w:rPr>
        <w:t>"</w:t>
      </w:r>
      <w:r>
        <w:rPr>
          <w:rtl w:val="true"/>
        </w:rPr>
        <w:t>להתגבר</w:t>
      </w:r>
      <w:r>
        <w:rPr>
          <w:rtl w:val="true"/>
        </w:rPr>
        <w:t xml:space="preserve">" </w:t>
      </w:r>
      <w:r>
        <w:rPr>
          <w:rtl w:val="true"/>
        </w:rPr>
        <w:t>על המסה הראייתית שאליה נחשפו</w:t>
      </w:r>
      <w:r>
        <w:rPr>
          <w:rtl w:val="true"/>
        </w:rPr>
        <w:t xml:space="preserve">, </w:t>
      </w:r>
      <w:r>
        <w:rPr>
          <w:rtl w:val="true"/>
        </w:rPr>
        <w:t xml:space="preserve">או כי הם אינם זוכרים את פרטי המידע שהוצג להם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 בכך בלבד כדי להטות את הכף כנגד פסילתם</w:t>
      </w:r>
      <w:r>
        <w:rPr>
          <w:rtl w:val="true"/>
        </w:rPr>
        <w:t xml:space="preserve">", </w:t>
      </w:r>
      <w:r>
        <w:rPr>
          <w:rtl w:val="true"/>
        </w:rPr>
        <w:t>שכן אותו מידע עלול להשפיע על החלטותיהם באופן תת</w:t>
      </w:r>
      <w:r>
        <w:rPr>
          <w:rtl w:val="true"/>
        </w:rPr>
        <w:t>-</w:t>
      </w:r>
      <w:r>
        <w:rPr>
          <w:rtl w:val="true"/>
        </w:rPr>
        <w:t>הכרתי</w:t>
      </w:r>
      <w:r>
        <w:rPr>
          <w:rtl w:val="true"/>
        </w:rPr>
        <w:t xml:space="preserve">. </w:t>
      </w:r>
      <w:r>
        <w:rPr>
          <w:rtl w:val="true"/>
        </w:rPr>
        <w:t xml:space="preserve">לבסוף מבקשים המערערים להורות למשיבה להגיש במסגרת הערעור שלפניי את </w:t>
      </w:r>
      <w:r>
        <w:rPr>
          <w:rtl w:val="true"/>
        </w:rPr>
        <w:t>"</w:t>
      </w:r>
      <w:r>
        <w:rPr>
          <w:rtl w:val="true"/>
        </w:rPr>
        <w:t>כל הדוחות הסודיים והמסמכים אשר הגישה לעיון שופטי בית המשפט קמא במעמד צד אחד במסגרת אותם הליכים מקדמיים</w:t>
      </w:r>
      <w:r>
        <w:rPr>
          <w:rtl w:val="true"/>
        </w:rPr>
        <w:t>".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מצדה</w:t>
      </w:r>
      <w:r>
        <w:rPr>
          <w:rtl w:val="true"/>
        </w:rPr>
        <w:t xml:space="preserve">, </w:t>
      </w:r>
      <w:r>
        <w:rPr>
          <w:rtl w:val="true"/>
        </w:rPr>
        <w:t>טוענת כי דין הערעור להידחות מן הטעמים שפירטה בפני בית המשפט קמא</w:t>
      </w:r>
      <w:r>
        <w:rPr>
          <w:rtl w:val="true"/>
        </w:rPr>
        <w:t xml:space="preserve">. </w:t>
      </w:r>
      <w:r>
        <w:rPr>
          <w:rtl w:val="true"/>
        </w:rPr>
        <w:t xml:space="preserve">באשר לשופט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 xml:space="preserve">מדגישה המשיבה כי העובדה שאישר את הסכם הטיעון בתיק הנשק אין בה כדי להשליך על ההליך נושא ענייננו </w:t>
      </w:r>
      <w:r>
        <w:rPr>
          <w:rtl w:val="true"/>
        </w:rPr>
        <w:t>–</w:t>
      </w:r>
      <w:r>
        <w:rPr>
          <w:rtl w:val="true"/>
        </w:rPr>
        <w:t xml:space="preserve"> שכן לצורך אישור הסדר הטיעון נדרש בית המשפט לבחון את הודאותיהם של </w:t>
      </w:r>
      <w:r>
        <w:rPr>
          <w:rFonts w:ascii="Century" w:hAnsi="Century" w:cs="Century"/>
          <w:sz w:val="22"/>
          <w:sz w:val="22"/>
          <w:rtl w:val="true"/>
        </w:rPr>
        <w:t>הנאשמים באותו הליך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ולא את </w:t>
      </w:r>
      <w:r>
        <w:rPr>
          <w:rtl w:val="true"/>
        </w:rPr>
        <w:t>עדותו של עד המדינה</w:t>
      </w:r>
      <w:r>
        <w:rPr>
          <w:rtl w:val="true"/>
        </w:rPr>
        <w:t xml:space="preserve">. </w:t>
      </w:r>
      <w:r>
        <w:rPr>
          <w:rtl w:val="true"/>
        </w:rPr>
        <w:t xml:space="preserve">עוד מבהירה המשיבה כי המסמכים שהוגשו לשופט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במעמד צד אחד עסקו </w:t>
      </w:r>
      <w:r>
        <w:rPr>
          <w:rtl w:val="true"/>
        </w:rPr>
        <w:t>"</w:t>
      </w:r>
      <w:r>
        <w:rPr>
          <w:rtl w:val="true"/>
        </w:rPr>
        <w:t>בענייני אבטחה וכן בנושאים הקשורים בשמירת זהותם של עובדי הרשות להגנת העדים</w:t>
      </w:r>
      <w:r>
        <w:rPr>
          <w:rtl w:val="true"/>
        </w:rPr>
        <w:t xml:space="preserve">".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באשר לשופטת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, </w:t>
      </w:r>
      <w:r>
        <w:rPr>
          <w:rtl w:val="true"/>
        </w:rPr>
        <w:t>המשיבה טוענת כי התגובה שהגישה בהליך העיון</w:t>
      </w:r>
      <w:r>
        <w:rPr>
          <w:rtl w:val="true"/>
        </w:rPr>
        <w:t xml:space="preserve">, </w:t>
      </w:r>
      <w:r>
        <w:rPr>
          <w:rtl w:val="true"/>
        </w:rPr>
        <w:t>שבה טענה כי יש לבררו בפני מותב שאינו דן בהליך העיקרי</w:t>
      </w:r>
      <w:r>
        <w:rPr>
          <w:rtl w:val="true"/>
        </w:rPr>
        <w:t xml:space="preserve">, </w:t>
      </w:r>
      <w:r>
        <w:rPr>
          <w:rtl w:val="true"/>
        </w:rPr>
        <w:t xml:space="preserve">הוגשה על רקע העיקרון שלפיו </w:t>
      </w:r>
      <w:r>
        <w:rPr>
          <w:rtl w:val="true"/>
        </w:rPr>
        <w:t>"</w:t>
      </w:r>
      <w:r>
        <w:rPr>
          <w:rtl w:val="true"/>
        </w:rPr>
        <w:t>רצוי</w:t>
      </w:r>
      <w:r>
        <w:rPr>
          <w:rtl w:val="true"/>
        </w:rPr>
        <w:t xml:space="preserve">, </w:t>
      </w:r>
      <w:r>
        <w:rPr>
          <w:rtl w:val="true"/>
        </w:rPr>
        <w:t>אך לא חובה</w:t>
      </w:r>
      <w:r>
        <w:rPr>
          <w:rtl w:val="true"/>
        </w:rPr>
        <w:t xml:space="preserve">" </w:t>
      </w:r>
      <w:r>
        <w:rPr>
          <w:rtl w:val="true"/>
        </w:rPr>
        <w:t>שבקשות לעיון בחומרי חקירה תתבררנה בפני מותב שאינו דן בהליך העיקרי</w:t>
      </w:r>
      <w:r>
        <w:rPr>
          <w:rtl w:val="true"/>
        </w:rPr>
        <w:t xml:space="preserve">. </w:t>
      </w:r>
      <w:r>
        <w:rPr>
          <w:rtl w:val="true"/>
        </w:rPr>
        <w:t xml:space="preserve">עוד עומדת המשיבה על טענתה כי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לא נחשפה לחומר מודיעיני</w:t>
      </w:r>
      <w:r>
        <w:rPr>
          <w:rtl w:val="true"/>
        </w:rPr>
        <w:t xml:space="preserve">, </w:t>
      </w:r>
      <w:r>
        <w:rPr>
          <w:rtl w:val="true"/>
        </w:rPr>
        <w:t>והיא מדגישה שההחלטה הראשונה בהליך העיון הייתה בעלת אופי טכני בלבד וההחלטה השנייה נתחמה לשאלה אם יש בתיקים האחרים של עֵד המדינה חומרים העשויים להוות חומר חקירה בהליך הנוכחי</w:t>
      </w:r>
      <w:r>
        <w:rPr>
          <w:rtl w:val="true"/>
        </w:rPr>
        <w:t xml:space="preserve">. </w:t>
      </w:r>
      <w:r>
        <w:rPr>
          <w:rtl w:val="true"/>
        </w:rPr>
        <w:t>נטען כי בנסיבות אלו</w:t>
      </w:r>
      <w:r>
        <w:rPr>
          <w:rtl w:val="true"/>
        </w:rPr>
        <w:t xml:space="preserve">, </w:t>
      </w:r>
      <w:r>
        <w:rPr>
          <w:rtl w:val="true"/>
        </w:rPr>
        <w:t>וכן נוכח חלוף הזמן מאז מתן ההחלטות בהליך העיון</w:t>
      </w:r>
      <w:r>
        <w:rPr>
          <w:rtl w:val="true"/>
        </w:rPr>
        <w:t xml:space="preserve">, </w:t>
      </w:r>
      <w:r>
        <w:rPr>
          <w:rtl w:val="true"/>
        </w:rPr>
        <w:t xml:space="preserve">לא התגבשה </w:t>
      </w:r>
      <w:r>
        <w:rPr>
          <w:rtl w:val="true"/>
        </w:rPr>
        <w:t>"</w:t>
      </w:r>
      <w:r>
        <w:rPr>
          <w:rtl w:val="true"/>
        </w:rPr>
        <w:t>מסה קריטית</w:t>
      </w:r>
      <w:r>
        <w:rPr>
          <w:rtl w:val="true"/>
        </w:rPr>
        <w:t xml:space="preserve">" </w:t>
      </w:r>
      <w:r>
        <w:rPr>
          <w:rtl w:val="true"/>
        </w:rPr>
        <w:t xml:space="preserve">שיש בה כדי להצדיק את פסילת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. </w:t>
      </w:r>
      <w:r>
        <w:rPr>
          <w:rtl w:val="true"/>
        </w:rPr>
        <w:t xml:space="preserve">באשר לשופט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 עומדת המשיבה על טענתה לפיה אין מניעה עקרונית לכך ששופט שדן בהליך המעצר של נאשם מסוים ידון גם בהליך העיקרי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וטוענת כי נוכח ההיקף המצומצם של החומר שאליו נחשף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 וחלוף הזמן מאז הדיון בהליכי המעצר</w:t>
      </w:r>
      <w:r>
        <w:rPr>
          <w:rtl w:val="true"/>
        </w:rPr>
        <w:t xml:space="preserve">, </w:t>
      </w:r>
      <w:r>
        <w:rPr>
          <w:rtl w:val="true"/>
        </w:rPr>
        <w:t>לא הוכחה עילה לפסילתו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ascii="Arial TUR;Arial" w:hAnsi="Arial TUR;Arial" w:cs="Arial TUR;Arial"/>
          <w:sz w:val="22"/>
          <w:sz w:val="22"/>
          <w:rtl w:val="true"/>
        </w:rPr>
        <w:t>לאחר עיון בערעור ובנספחיו וכן בעמדת המשיבה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באתי לידי מסקנה כי דין הערעור להידחות ביחס לכל שופטי ההרכב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כהערה מקדמית אציין </w:t>
      </w:r>
      <w:r>
        <w:rPr>
          <w:rFonts w:ascii="Arial TUR;Arial" w:hAnsi="Arial TUR;Arial" w:cs="Arial TUR;Arial"/>
          <w:sz w:val="22"/>
          <w:sz w:val="22"/>
          <w:rtl w:val="true"/>
        </w:rPr>
        <w:t>כי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לא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ראיתי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מקום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להורות על הגשת החומרים שהוצגו לשופטי ההרכב במעמד צד אחד בהליכים קודמים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שכן כפי שיובהר להלן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לצורך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ההכרעה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בערעור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שלפניי </w:t>
      </w:r>
      <w:r>
        <w:rPr>
          <w:rFonts w:ascii="Arial TUR;Arial" w:hAnsi="Arial TUR;Arial" w:cs="Arial TUR;Arial"/>
          <w:sz w:val="22"/>
          <w:sz w:val="22"/>
          <w:rtl w:val="true"/>
        </w:rPr>
        <w:t>די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בטענות שהעלו הצדדים ובחומר שהוגש לבית המשפט קמא בהליך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ascii="Arial TUR;Arial" w:hAnsi="Arial TUR;Arial" w:cs="Arial TUR;Arial"/>
          <w:sz w:val="22"/>
          <w:sz w:val="22"/>
          <w:rtl w:val="true"/>
        </w:rPr>
        <w:t>ראו בהקשר דומה</w:t>
      </w:r>
      <w:r>
        <w:rPr>
          <w:rFonts w:cs="Arial TUR;Arial" w:ascii="Arial TUR;Arial" w:hAnsi="Arial TUR;Arial"/>
          <w:sz w:val="22"/>
          <w:rtl w:val="true"/>
        </w:rPr>
        <w:t xml:space="preserve">: </w:t>
      </w:r>
      <w:hyperlink r:id="rId19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566/21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ברמלי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פסקה </w:t>
      </w:r>
      <w:r>
        <w:rPr>
          <w:rFonts w:cs="Arial TUR;Arial" w:ascii="Arial TUR;Arial" w:hAnsi="Arial TUR;Arial"/>
          <w:sz w:val="22"/>
        </w:rPr>
        <w:t>9</w:t>
      </w:r>
      <w:r>
        <w:rPr>
          <w:rFonts w:cs="Arial TUR;Arial" w:ascii="Arial TUR;Arial" w:hAnsi="Arial TUR;Arial"/>
          <w:sz w:val="22"/>
          <w:rtl w:val="true"/>
        </w:rPr>
        <w:t xml:space="preserve"> (</w:t>
      </w:r>
      <w:r>
        <w:rPr>
          <w:rFonts w:cs="Arial TUR;Arial" w:ascii="Arial TUR;Arial" w:hAnsi="Arial TUR;Arial"/>
          <w:sz w:val="22"/>
        </w:rPr>
        <w:t>16.2.2021</w:t>
      </w:r>
      <w:r>
        <w:rPr>
          <w:rFonts w:cs="Arial TUR;Arial" w:ascii="Arial TUR;Arial" w:hAnsi="Arial TUR;Arial"/>
          <w:sz w:val="22"/>
          <w:rtl w:val="true"/>
        </w:rPr>
        <w:t>))</w:t>
      </w:r>
      <w:r>
        <w:rPr>
          <w:rFonts w:cs="Arial TUR;Arial" w:ascii="Arial TUR;Arial" w:hAnsi="Arial TUR;Arial"/>
          <w:sz w:val="22"/>
          <w:rtl w:val="true"/>
        </w:rPr>
        <w:t>.</w:t>
      </w:r>
    </w:p>
    <w:p>
      <w:pPr>
        <w:pStyle w:val="Ruller42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בקשות פסלות המוגשות נגד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tl w:val="true"/>
        </w:rPr>
        <w:t xml:space="preserve"> חברי ההרכב במותב תלתא אינן דבר שבשגרה</w:t>
      </w:r>
      <w:r>
        <w:rPr>
          <w:rtl w:val="true"/>
        </w:rPr>
        <w:t xml:space="preserve">, </w:t>
      </w:r>
      <w:r>
        <w:rPr>
          <w:rtl w:val="true"/>
        </w:rPr>
        <w:t>על אחת כמה וכמה כאשר בקשת הפסלות מבוססת על טעמים שונים ביחס לכל אחד מחברי ההרכב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וחרף ניסיונם של המערערים לשוות לטענותיהם נופך חמור במיוחד </w:t>
      </w:r>
      <w:r>
        <w:rPr>
          <w:rtl w:val="true"/>
        </w:rPr>
        <w:t>–</w:t>
      </w:r>
      <w:r>
        <w:rPr>
          <w:rtl w:val="true"/>
        </w:rPr>
        <w:t xml:space="preserve"> לא שוכנעתי כי טענותיהם מקימות חשש ממשי למשוא פנים</w:t>
      </w:r>
      <w:r>
        <w:rPr>
          <w:rtl w:val="true"/>
        </w:rPr>
        <w:t xml:space="preserve">, </w:t>
      </w:r>
      <w:r>
        <w:rPr>
          <w:rtl w:val="true"/>
        </w:rPr>
        <w:t xml:space="preserve">כמשמעותו </w:t>
      </w:r>
      <w:hyperlink r:id="rId2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לוי</w:t>
      </w:r>
      <w:r>
        <w:rPr>
          <w:rtl w:val="true"/>
        </w:rPr>
        <w:t xml:space="preserve">: </w:t>
      </w:r>
      <w:r>
        <w:rPr>
          <w:rtl w:val="true"/>
        </w:rPr>
        <w:t>כפי שנפסק לא אחת</w:t>
      </w:r>
      <w:r>
        <w:rPr>
          <w:rtl w:val="true"/>
        </w:rPr>
        <w:t xml:space="preserve">, </w:t>
      </w:r>
      <w:r>
        <w:rPr>
          <w:rtl w:val="true"/>
        </w:rPr>
        <w:t xml:space="preserve">העובדה שהמותב דן בעבר בפרשה עובדתית הקשורה לזו שבמוקד כתב האישום אינה מקימה כשלעצמה עילת פסלות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4587/19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(</w:t>
      </w:r>
      <w:r>
        <w:rPr/>
        <w:t>9.9.2019</w:t>
      </w:r>
      <w:r>
        <w:rPr>
          <w:rtl w:val="true"/>
        </w:rPr>
        <w:t xml:space="preserve">)). </w:t>
      </w:r>
      <w:r>
        <w:rPr>
          <w:rtl w:val="true"/>
        </w:rPr>
        <w:t xml:space="preserve">בפרט נפסק כי </w:t>
      </w:r>
      <w:r>
        <w:rPr>
          <w:rtl w:val="true"/>
        </w:rPr>
        <w:t>"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בדיון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הפלילי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קורה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 xml:space="preserve">,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לא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אחת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 xml:space="preserve">,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שאותו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עד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מעורב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בשורה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של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משפטים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 xml:space="preserve">,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הנשמעים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על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-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ידי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אותו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שופט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(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למשל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עד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מדינה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 xml:space="preserve">[...]),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ואין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כל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צורך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ואף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אין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כל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אפשרות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מעשית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להבטיח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 xml:space="preserve">,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כי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בכל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אחד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בין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המשפטים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יישב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שופט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שונה</w:t>
      </w:r>
      <w:r>
        <w:rPr>
          <w:rtl w:val="true"/>
        </w:rPr>
        <w:t>" 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350/91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מה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345</w:t>
      </w:r>
      <w:r>
        <w:rPr>
          <w:rtl w:val="true"/>
        </w:rPr>
        <w:t xml:space="preserve"> </w:t>
      </w:r>
      <w:r>
        <w:rPr/>
        <w:t>351</w:t>
      </w:r>
      <w:r>
        <w:rPr>
          <w:rtl w:val="true"/>
        </w:rPr>
        <w:t xml:space="preserve"> (</w:t>
      </w:r>
      <w:r>
        <w:rPr/>
        <w:t>1991</w:t>
      </w:r>
      <w:r>
        <w:rPr>
          <w:rtl w:val="true"/>
        </w:rPr>
        <w:t>)).</w:t>
      </w:r>
    </w:p>
    <w:p>
      <w:pPr>
        <w:pStyle w:val="Ruller43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ind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tl w:val="true"/>
        </w:rPr>
        <w:t>במקרים מעין אלו</w:t>
      </w:r>
      <w:r>
        <w:rPr>
          <w:rtl w:val="true"/>
        </w:rPr>
        <w:t xml:space="preserve">, </w:t>
      </w:r>
      <w:r>
        <w:rPr>
          <w:rtl w:val="true"/>
        </w:rPr>
        <w:t>נקבע כי יש לבחון בכל מקרה לגופו אם הוכח חשש ממשי למשוא פנים מצד המותב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תוך בחינת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הענייני</w:t>
      </w:r>
      <w:r>
        <w:rPr>
          <w:rtl w:val="true"/>
        </w:rPr>
        <w:t xml:space="preserve"> בין שני ההליכים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שחלף</w:t>
      </w:r>
      <w:r>
        <w:rPr>
          <w:rtl w:val="true"/>
        </w:rPr>
        <w:t xml:space="preserve"> מהדיון בהליך הקודם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זכורים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למותב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5647/19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זגורי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פסקה </w:t>
      </w:r>
      <w:r>
        <w:rPr>
          <w:rFonts w:cs="Arial TUR;Arial" w:ascii="Arial TUR;Arial" w:hAnsi="Arial TUR;Arial"/>
          <w:sz w:val="22"/>
        </w:rPr>
        <w:t>3</w:t>
      </w:r>
      <w:r>
        <w:rPr>
          <w:rFonts w:cs="Arial TUR;Arial" w:ascii="Arial TUR;Arial" w:hAnsi="Arial TUR;Arial"/>
          <w:sz w:val="22"/>
          <w:rtl w:val="true"/>
        </w:rPr>
        <w:t xml:space="preserve"> (</w:t>
      </w:r>
      <w:r>
        <w:rPr>
          <w:rFonts w:cs="Arial TUR;Arial" w:ascii="Arial TUR;Arial" w:hAnsi="Arial TUR;Arial"/>
          <w:sz w:val="22"/>
        </w:rPr>
        <w:t>2.9.2019</w:t>
      </w:r>
      <w:r>
        <w:rPr>
          <w:rFonts w:cs="Arial TUR;Arial" w:ascii="Arial TUR;Arial" w:hAnsi="Arial TUR;Arial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עוד נפסק כי ככל שההליך הקודם הסתיים בהרשעת הנאשמים על פי הודאתם</w:t>
      </w:r>
      <w:r>
        <w:rPr>
          <w:rtl w:val="true"/>
        </w:rPr>
        <w:t xml:space="preserve">, </w:t>
      </w:r>
      <w:r>
        <w:rPr>
          <w:rtl w:val="true"/>
        </w:rPr>
        <w:t xml:space="preserve">וללא קביעות מהימנוּת בנוגע למי מהמעורבים </w:t>
      </w:r>
      <w:r>
        <w:rPr>
          <w:rtl w:val="true"/>
        </w:rPr>
        <w:t>–</w:t>
      </w:r>
      <w:r>
        <w:rPr>
          <w:rtl w:val="true"/>
        </w:rPr>
        <w:t xml:space="preserve"> תפחת הנטייה לקבוע שמתעורר חשש ממשי למשוא פנים באשר להליך שבו מועלית טענת הפסלות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3819/21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3.6.2021</w:t>
      </w:r>
      <w:r>
        <w:rPr>
          <w:rtl w:val="true"/>
        </w:rPr>
        <w:t xml:space="preserve">)).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במקרה אחד נדחתה טענת פסלות של נאשמים שהמותב הדן בעניינם הרשיע את עֵד המדינה באותה הפרשייה</w:t>
      </w:r>
      <w:r>
        <w:rPr>
          <w:rtl w:val="true"/>
        </w:rPr>
        <w:t xml:space="preserve">, </w:t>
      </w:r>
      <w:r>
        <w:rPr>
          <w:rtl w:val="true"/>
        </w:rPr>
        <w:t xml:space="preserve">כחצי שנה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tl w:val="true"/>
        </w:rPr>
        <w:t xml:space="preserve"> הגשת כתב האישום בעניינם של הנאשמים</w:t>
      </w:r>
      <w:r>
        <w:rPr>
          <w:rtl w:val="true"/>
        </w:rPr>
        <w:t xml:space="preserve">, </w:t>
      </w:r>
      <w:r>
        <w:rPr>
          <w:rtl w:val="true"/>
        </w:rPr>
        <w:t>על בסיס הודאתו במסגרת הסדר טיעון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 שבגזר דינו של עֵד המדינה התייחס המותב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Fonts w:ascii="FrankRuehl;Times New Roman" w:hAnsi="FrankRuehl;Times New Roman"/>
          <w:color w:val="000000"/>
          <w:sz w:val="28"/>
          <w:rtl w:val="true"/>
        </w:rPr>
        <w:t>"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לחומרת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המעשים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המפורטים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בכתב</w:t>
      </w:r>
      <w:r>
        <w:rPr>
          <w:rFonts w:ascii="FrankRuehl;Times New Roman" w:hAnsi="FrankRuehl;Times New Roman" w:eastAsia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האישום</w:t>
      </w:r>
      <w:r>
        <w:rPr>
          <w:rtl w:val="true"/>
        </w:rPr>
        <w:t>" 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7248/17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28.9.2017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tl w:val="true"/>
        </w:rPr>
        <w:t>כלל דומה נקבע בפסיקה לגבי תרחיש שבו המותב עיין בחומרים בלתי</w:t>
      </w:r>
      <w:r>
        <w:rPr>
          <w:rtl w:val="true"/>
        </w:rPr>
        <w:t>-</w:t>
      </w:r>
      <w:r>
        <w:rPr>
          <w:rtl w:val="true"/>
        </w:rPr>
        <w:t>קבילים או חסויים</w:t>
      </w:r>
      <w:r>
        <w:rPr>
          <w:rtl w:val="true"/>
        </w:rPr>
        <w:t xml:space="preserve">: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עצם</w:t>
      </w:r>
      <w:r>
        <w:rPr>
          <w:rtl w:val="true"/>
        </w:rPr>
        <w:t xml:space="preserve"> העיון אינו מקים עילת פסלות</w:t>
      </w:r>
      <w:r>
        <w:rPr>
          <w:rtl w:val="true"/>
        </w:rPr>
        <w:t xml:space="preserve">, </w:t>
      </w:r>
      <w:r>
        <w:rPr>
          <w:rtl w:val="true"/>
        </w:rPr>
        <w:t>ויש לבחון בכל מקרה לגופו אם מתקיים חשש ממשי למשוא פנים</w:t>
      </w:r>
      <w:r>
        <w:rPr>
          <w:rtl w:val="true"/>
        </w:rPr>
        <w:t xml:space="preserve">. </w:t>
      </w:r>
      <w:r>
        <w:rPr>
          <w:rtl w:val="true"/>
        </w:rPr>
        <w:t>לצורך כך</w:t>
      </w:r>
      <w:r>
        <w:rPr>
          <w:rtl w:val="true"/>
        </w:rPr>
        <w:t xml:space="preserve">,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יש להראות כי המותב נחשף ל</w:t>
      </w:r>
      <w:r>
        <w:rPr>
          <w:rtl w:val="true"/>
        </w:rPr>
        <w:t>"</w:t>
      </w:r>
      <w:r>
        <w:rPr>
          <w:rtl w:val="true"/>
        </w:rPr>
        <w:t>מסה קריטית</w:t>
      </w:r>
      <w:r>
        <w:rPr>
          <w:rtl w:val="true"/>
        </w:rPr>
        <w:t xml:space="preserve">" </w:t>
      </w:r>
      <w:r>
        <w:rPr>
          <w:rtl w:val="true"/>
        </w:rPr>
        <w:t>של ראיות בלתי</w:t>
      </w:r>
      <w:r>
        <w:rPr>
          <w:rtl w:val="true"/>
        </w:rPr>
        <w:t>-</w:t>
      </w:r>
      <w:r>
        <w:rPr>
          <w:rtl w:val="true"/>
        </w:rPr>
        <w:t xml:space="preserve">קבילות שממנה לא יוכל להשתחרר בבואו לדון בהליך ויש לפרט את החומר שאליו נחשף המותב ולהבהיר באיזה אופן צפוי המידע להשפיע על שיקול דעתו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4587/20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חאמד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פסקה </w:t>
      </w:r>
      <w:r>
        <w:rPr>
          <w:rFonts w:cs="Arial TUR;Arial" w:ascii="Arial TUR;Arial" w:hAnsi="Arial TUR;Arial"/>
          <w:sz w:val="22"/>
        </w:rPr>
        <w:t>3</w:t>
      </w:r>
      <w:r>
        <w:rPr>
          <w:rFonts w:cs="Arial TUR;Arial" w:ascii="Arial TUR;Arial" w:hAnsi="Arial TUR;Arial"/>
          <w:sz w:val="22"/>
          <w:rtl w:val="true"/>
        </w:rPr>
        <w:t xml:space="preserve"> (</w:t>
      </w:r>
      <w:r>
        <w:rPr>
          <w:rFonts w:cs="Arial TUR;Arial" w:ascii="Arial TUR;Arial" w:hAnsi="Arial TUR;Arial"/>
          <w:sz w:val="22"/>
        </w:rPr>
        <w:t>5.8.2020</w:t>
      </w:r>
      <w:r>
        <w:rPr>
          <w:rFonts w:cs="Arial TUR;Arial" w:ascii="Arial TUR;Arial" w:hAnsi="Arial TUR;Arial"/>
          <w:sz w:val="22"/>
          <w:rtl w:val="true"/>
        </w:rPr>
        <w:t>)</w:t>
      </w:r>
      <w:r>
        <w:rPr>
          <w:rtl w:val="true"/>
        </w:rPr>
        <w:t xml:space="preserve">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3947/21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ביטון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(</w:t>
      </w:r>
      <w:r>
        <w:rPr/>
        <w:t>4.7.2021</w:t>
      </w:r>
      <w:r>
        <w:rPr>
          <w:rtl w:val="true"/>
        </w:rPr>
        <w:t>)).</w:t>
      </w:r>
    </w:p>
    <w:p>
      <w:pPr>
        <w:pStyle w:val="Ruller43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כפי שפורט לעיל</w:t>
      </w:r>
      <w:r>
        <w:rPr>
          <w:rtl w:val="true"/>
        </w:rPr>
        <w:t xml:space="preserve">, </w:t>
      </w:r>
      <w:r>
        <w:rPr>
          <w:rtl w:val="true"/>
        </w:rPr>
        <w:t>טענות המערערים מבוססות על העובדה שבמסגרת הליך קודם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מקביל</w:t>
      </w:r>
      <w:r>
        <w:rPr>
          <w:rtl w:val="true"/>
        </w:rPr>
        <w:t xml:space="preserve">" </w:t>
      </w:r>
      <w:r>
        <w:rPr>
          <w:rtl w:val="true"/>
        </w:rPr>
        <w:t>לאחד משלושים האישומים בהליך הנוכחי</w:t>
      </w:r>
      <w:r>
        <w:rPr>
          <w:rtl w:val="true"/>
        </w:rPr>
        <w:t xml:space="preserve">, </w:t>
      </w:r>
      <w:r>
        <w:rPr>
          <w:rtl w:val="true"/>
        </w:rPr>
        <w:t xml:space="preserve">שמע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עדות של עֵד המדינה שצפוי להעיד בענייננו</w:t>
      </w:r>
      <w:r>
        <w:rPr>
          <w:rtl w:val="true"/>
        </w:rPr>
        <w:t xml:space="preserve">, </w:t>
      </w:r>
      <w:r>
        <w:rPr>
          <w:rtl w:val="true"/>
        </w:rPr>
        <w:t>ונחשף במעמד צד אחד לחומרים הנוגעים לסיכון שנשקף לעֵד</w:t>
      </w:r>
      <w:r>
        <w:rPr>
          <w:rtl w:val="true"/>
        </w:rPr>
        <w:t xml:space="preserve">. </w:t>
      </w:r>
      <w:r>
        <w:rPr>
          <w:rtl w:val="true"/>
        </w:rPr>
        <w:t xml:space="preserve">הבקשה לשמיעת העדות בדלתיים סגורות הוכרעה ביום </w:t>
      </w:r>
      <w:r>
        <w:rPr/>
        <w:t>26.6.2019</w:t>
      </w:r>
      <w:r>
        <w:rPr>
          <w:rtl w:val="true"/>
        </w:rPr>
        <w:t xml:space="preserve">; </w:t>
      </w:r>
      <w:r>
        <w:rPr>
          <w:rtl w:val="true"/>
        </w:rPr>
        <w:t>ועדותו של א</w:t>
      </w:r>
      <w:r>
        <w:rPr>
          <w:rtl w:val="true"/>
        </w:rPr>
        <w:t>.</w:t>
      </w:r>
      <w:r>
        <w:rPr>
          <w:rtl w:val="true"/>
        </w:rPr>
        <w:t xml:space="preserve">א בחקירה ראשית נשמעה ביום </w:t>
      </w:r>
      <w:r>
        <w:rPr/>
        <w:t>15.7.2019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למעלה משנה וחצי טרם מינויו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להרכב בהליך דנן ביום </w:t>
      </w:r>
      <w:r>
        <w:rPr/>
        <w:t>9.2.2021</w:t>
      </w:r>
      <w:r>
        <w:rPr>
          <w:rtl w:val="true"/>
        </w:rPr>
        <w:t xml:space="preserve">. </w:t>
      </w:r>
      <w:r>
        <w:rPr>
          <w:rtl w:val="true"/>
        </w:rPr>
        <w:t xml:space="preserve">באותו הליך קודם </w:t>
      </w:r>
      <w:r>
        <w:rPr>
          <w:rtl w:val="true"/>
        </w:rPr>
        <w:t>(</w:t>
      </w:r>
      <w:r>
        <w:rPr>
          <w:rtl w:val="true"/>
        </w:rPr>
        <w:t>תיק הנשק</w:t>
      </w:r>
      <w:r>
        <w:rPr>
          <w:rtl w:val="true"/>
        </w:rPr>
        <w:t xml:space="preserve">), </w:t>
      </w:r>
      <w:r>
        <w:rPr>
          <w:rtl w:val="true"/>
        </w:rPr>
        <w:t xml:space="preserve">הורשעו הנאשמים על בסיס הסדר טיעון </w:t>
      </w:r>
      <w:r>
        <w:rPr>
          <w:rFonts w:ascii="Century" w:hAnsi="Century" w:cs="Century"/>
          <w:sz w:val="22"/>
          <w:sz w:val="22"/>
          <w:rtl w:val="true"/>
        </w:rPr>
        <w:t>מבלי שנקבעו קביעות מהימנות ביחס לעֵד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רבות מהטענות בדבר ההשפעות האפשריות של המידע שאליו נחשף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הועלו בעלמא וללא ביסוס מספיק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באשר למידע שנחשף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המערערים פירטו בהרחבה על מידע שמסר א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ואולם מידע זה חורג לא רק מגדרי תיק הנשק אלא גם מגדרי כתב האישום 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וכבר נפסק כי מידע שאינו רלוונטי לאישומים שבהם יידרש המותב לדון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אינו מקים כשלעצמו חשש ממשי למשוא פנים מצדו בניהול המשפט </w:t>
      </w:r>
      <w:r>
        <w:rPr>
          <w:rFonts w:cs="Century" w:ascii="Century" w:hAnsi="Century"/>
          <w:sz w:val="22"/>
          <w:rtl w:val="true"/>
        </w:rPr>
        <w:t>(</w:t>
      </w:r>
      <w:hyperlink r:id="rId2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790/21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צלאח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Arial TUR;Arial" w:ascii="FrankRuehl;Times New Roman" w:hAnsi="FrankRuehl;Times New Roman"/>
          <w:color w:val="000000"/>
          <w:sz w:val="28"/>
        </w:rPr>
        <w:t>24.2.2021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 xml:space="preserve">המערערים אף לא הסבירו כיצד מידע זה צפוי להשפיע על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לצד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הטענות בדבר אמירות ה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משחירות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את המערערים או את באי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כוחם בנושאים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הועלו בכוללניות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וגם בהקשר זה לא פירטו המערערים מדוע הן עולות כדי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מסה קריטית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שממנה המותב לא יוכל להשתחרר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על רקע מכלול נסיבות העניין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ובפרט חלוף הזמן מאז שמיעת עדותו של א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והעובדה שהשופט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cs="Century"/>
          <w:sz w:val="22"/>
          <w:sz w:val="22"/>
          <w:rtl w:val="true"/>
        </w:rPr>
        <w:t xml:space="preserve"> לא נדרש לקביעת מהימנותו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אינני סבורה כי שמיעת העדות מקימה עילת פסלות כלפי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בכל הנוגע למידע שאליו נחשף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במהלך </w:t>
      </w:r>
      <w:r>
        <w:rPr>
          <w:rFonts w:ascii="Century" w:hAnsi="Century" w:cs="Century"/>
          <w:sz w:val="22"/>
          <w:sz w:val="22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לשמיעת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בדלתיים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סגורות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המערערים מפנים בהקשר זה </w:t>
      </w:r>
      <w:r>
        <w:rPr>
          <w:rtl w:val="true"/>
        </w:rPr>
        <w:t>למקרה שבו נפסק כי מותב ש</w:t>
      </w:r>
      <w:r>
        <w:rPr>
          <w:rtl w:val="true"/>
        </w:rPr>
        <w:t>דן בבקשה לשמיעת עדות מוקדמת</w:t>
      </w:r>
      <w:r>
        <w:rPr>
          <w:rtl w:val="true"/>
        </w:rPr>
        <w:t xml:space="preserve"> פסול מלדון בהליך העיקרי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2967/96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זינגר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265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זינגר</w:t>
      </w:r>
      <w:r>
        <w:rPr>
          <w:rtl w:val="true"/>
        </w:rPr>
        <w:t xml:space="preserve">)), </w:t>
      </w:r>
      <w:r>
        <w:rPr>
          <w:rtl w:val="true"/>
        </w:rPr>
        <w:t xml:space="preserve">וזאת בשל </w:t>
      </w:r>
      <w:r>
        <w:rPr>
          <w:rtl w:val="true"/>
        </w:rPr>
        <w:t>״</w:t>
      </w:r>
      <w:r>
        <w:rPr>
          <w:rtl w:val="true"/>
        </w:rPr>
        <w:t>'</w:t>
      </w:r>
      <w:r>
        <w:rPr>
          <w:rtl w:val="true"/>
        </w:rPr>
        <w:t>הקרבה היתרה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של האישום הפלילי והטעם המונח ביסוד הבקשה לעדות מוקדמת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אישום בשיבוש הליכי משפט</w:t>
      </w:r>
      <w:r>
        <w:rPr>
          <w:rtl w:val="true"/>
        </w:rPr>
        <w:t xml:space="preserve">, </w:t>
      </w:r>
      <w:r>
        <w:rPr>
          <w:rtl w:val="true"/>
        </w:rPr>
        <w:t xml:space="preserve">ובקשה לשמיעת עדות מוקדמת עקב טענה לאיומים על העד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267</w:t>
      </w:r>
      <w:r>
        <w:rPr>
          <w:rtl w:val="true"/>
        </w:rPr>
        <w:t xml:space="preserve">). </w:t>
      </w:r>
      <w:r>
        <w:rPr>
          <w:rtl w:val="true"/>
        </w:rPr>
        <w:t xml:space="preserve">לגישת המערערים יש מקום להקיש מעניין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זינגר</w:t>
      </w:r>
      <w:r>
        <w:rPr>
          <w:rtl w:val="true"/>
        </w:rPr>
        <w:t xml:space="preserve"> לענייננו</w:t>
      </w:r>
      <w:r>
        <w:rPr>
          <w:rtl w:val="true"/>
        </w:rPr>
        <w:t xml:space="preserve">, </w:t>
      </w:r>
      <w:r>
        <w:rPr>
          <w:rtl w:val="true"/>
        </w:rPr>
        <w:t>שכן לחלקם מיוחסות עבירות נגד א</w:t>
      </w:r>
      <w:r>
        <w:rPr>
          <w:rtl w:val="true"/>
        </w:rPr>
        <w:t>.</w:t>
      </w:r>
      <w:r>
        <w:rPr>
          <w:rtl w:val="true"/>
        </w:rPr>
        <w:t>א והסיבה לשמיעת עדותו בתיק הנשק בדלתיים סגורות הייתה הסיכון שנשקף לו</w:t>
      </w:r>
      <w:r>
        <w:rPr>
          <w:rtl w:val="true"/>
        </w:rPr>
        <w:t>.</w:t>
      </w:r>
    </w:p>
    <w:p>
      <w:pPr>
        <w:pStyle w:val="Ruller43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אף בהנחה שקיים קשר בין הטעמים שבבסיס ההחלטה לשמוע את עדותו של א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ascii="Century" w:hAnsi="Century" w:cs="Century"/>
          <w:sz w:val="22"/>
          <w:sz w:val="22"/>
          <w:rtl w:val="true"/>
        </w:rPr>
        <w:t>א בדלתיים סגורות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ובין חלק מהאישומים המיוחסים לחלק מהמערערים כאן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ואינני מביעה כל עמדה בסוגיה זו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tl w:val="true"/>
        </w:rPr>
        <w:t xml:space="preserve"> לא כל קשר ענייני בין שני הליכים פליליים יקים עילת פסלות כלפי המותב מלדון בהליך המאוחר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1179/94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אשכנזי</w:t>
      </w:r>
      <w:r>
        <w:rPr>
          <w:rFonts w:ascii="Times New Roman" w:hAnsi="Times New Roman" w:cs="Times New Roman"/>
          <w:b/>
          <w:b/>
          <w:spacing w:val="0"/>
          <w:sz w:val="22"/>
          <w:sz w:val="22"/>
          <w:szCs w:val="24"/>
        </w:rPr>
        <w:t>‎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</w:rPr>
        <w:t>‎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מח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320</w:t>
      </w:r>
      <w:r>
        <w:rPr>
          <w:rtl w:val="true"/>
        </w:rPr>
        <w:t xml:space="preserve"> (</w:t>
      </w:r>
      <w:r>
        <w:rPr/>
        <w:t>1994</w:t>
      </w:r>
      <w:r>
        <w:rPr>
          <w:rtl w:val="true"/>
        </w:rPr>
        <w:t xml:space="preserve">) </w:t>
      </w:r>
      <w:r>
        <w:rPr>
          <w:rtl w:val="true"/>
        </w:rPr>
        <w:t>נקבע כי מותב שהרשיע את פלוני במתן שוחד אינו פסול מלדון בעניינו של אלמוני</w:t>
      </w:r>
      <w:r>
        <w:rPr>
          <w:rtl w:val="true"/>
        </w:rPr>
        <w:t xml:space="preserve">, </w:t>
      </w:r>
      <w:r>
        <w:rPr>
          <w:rtl w:val="true"/>
        </w:rPr>
        <w:t xml:space="preserve">שהואשם בלקיחת השוחד באותה פרשייה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42/89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תעשיות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מג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295</w:t>
      </w:r>
      <w:r>
        <w:rPr>
          <w:rtl w:val="true"/>
        </w:rPr>
        <w:t xml:space="preserve"> (</w:t>
      </w:r>
      <w:r>
        <w:rPr/>
        <w:t>1989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להבדיל</w:t>
      </w:r>
      <w:r>
        <w:rPr>
          <w:rtl w:val="true"/>
        </w:rPr>
        <w:t xml:space="preserve">, </w:t>
      </w:r>
      <w:r>
        <w:rPr>
          <w:rtl w:val="true"/>
        </w:rPr>
        <w:t xml:space="preserve">בעניין אחר נדונו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במקביל</w:t>
      </w:r>
      <w:r>
        <w:rPr>
          <w:rtl w:val="true"/>
        </w:rPr>
        <w:t xml:space="preserve"> שני תיקים הנוגעים לאותה הפרשייה בפני אותו המותב</w:t>
      </w:r>
      <w:r>
        <w:rPr>
          <w:rtl w:val="true"/>
        </w:rPr>
        <w:t xml:space="preserve">, </w:t>
      </w:r>
      <w:r>
        <w:rPr>
          <w:rtl w:val="true"/>
        </w:rPr>
        <w:t xml:space="preserve">אך בהסכם בעניינו של עֵד המדינה נקבע שעדותו </w:t>
      </w:r>
      <w:r>
        <w:rPr>
          <w:rtl w:val="true"/>
        </w:rPr>
        <w:t>–</w:t>
      </w:r>
      <w:r>
        <w:rPr>
          <w:rtl w:val="true"/>
        </w:rPr>
        <w:t xml:space="preserve"> אשר </w:t>
      </w:r>
      <w:r>
        <w:rPr>
          <w:rtl w:val="true"/>
        </w:rPr>
        <w:t>"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משתרעת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על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מרבית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שדה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המריבה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[...] [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ו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]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מתארת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בפרטי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פרטים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את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נסיבות</w:t>
      </w:r>
      <w:r>
        <w:rPr>
          <w:rFonts w:ascii="FrankRuehl;Times New Roman" w:hAnsi="FrankRuehl;Times New Roman" w:eastAsia="FrankRuehl;Times New Roman" w:cs="FrankRuehl;Times New Roman"/>
          <w:color w:val="000000"/>
          <w:shd w:fill="FFFFFF" w:val="clear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hd w:fill="FFFFFF" w:val="clear"/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 xml:space="preserve">[...]"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לא תשמש כראיה נגד הנאשם בתיק הראשון</w:t>
      </w:r>
      <w:r>
        <w:rPr>
          <w:rtl w:val="true"/>
        </w:rPr>
        <w:t xml:space="preserve">. </w:t>
      </w:r>
      <w:r>
        <w:rPr>
          <w:rtl w:val="true"/>
        </w:rPr>
        <w:t>בתרחיש כזה</w:t>
      </w:r>
      <w:r>
        <w:rPr>
          <w:rtl w:val="true"/>
        </w:rPr>
        <w:t xml:space="preserve">, </w:t>
      </w:r>
      <w:r>
        <w:rPr>
          <w:rtl w:val="true"/>
        </w:rPr>
        <w:t xml:space="preserve">נקבע כי המותב יוכל לדון בשני התיקים כל עוד ישמע את עדותו של עֵד המדינה בתיק השני רק לאחר ההכרעה בתיק הראשון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6752/97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פרידן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נא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329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פרידן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cs="Century"/>
          <w:sz w:val="22"/>
          <w:sz w:val="22"/>
          <w:rtl w:val="true"/>
        </w:rPr>
        <w:t xml:space="preserve"> נחשף לחומרים הנוגעים לא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ascii="Century" w:hAnsi="Century" w:cs="Century"/>
          <w:sz w:val="22"/>
          <w:sz w:val="22"/>
          <w:rtl w:val="true"/>
        </w:rPr>
        <w:t xml:space="preserve">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וחצי</w:t>
      </w:r>
      <w:r>
        <w:rPr>
          <w:rFonts w:ascii="Century" w:hAnsi="Century" w:cs="Century"/>
          <w:sz w:val="22"/>
          <w:sz w:val="22"/>
          <w:rtl w:val="true"/>
        </w:rPr>
        <w:t xml:space="preserve"> טרם שמונה לכהן בהרכב בהליך הנוכחי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ובכך </w:t>
      </w:r>
      <w:r>
        <w:rPr>
          <w:rtl w:val="true"/>
        </w:rPr>
        <w:t xml:space="preserve">נבדל ענייננו מעניין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זינגר</w:t>
      </w:r>
      <w:r>
        <w:rPr>
          <w:rtl w:val="true"/>
        </w:rPr>
        <w:t xml:space="preserve"> ומעניין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פרידן</w:t>
      </w:r>
      <w:r>
        <w:rPr>
          <w:rtl w:val="true"/>
        </w:rPr>
        <w:t xml:space="preserve">, </w:t>
      </w:r>
      <w:r>
        <w:rPr>
          <w:rtl w:val="true"/>
        </w:rPr>
        <w:t>שם נדונה היחשפותו של המותב למידע בלתי</w:t>
      </w:r>
      <w:r>
        <w:rPr>
          <w:rtl w:val="true"/>
        </w:rPr>
        <w:t>-</w:t>
      </w:r>
      <w:r>
        <w:rPr>
          <w:rtl w:val="true"/>
        </w:rPr>
        <w:t xml:space="preserve">קביל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tl w:val="true"/>
        </w:rPr>
        <w:t xml:space="preserve"> ניהולו של ההליך העיקרי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cs="Century"/>
          <w:sz w:val="22"/>
          <w:sz w:val="22"/>
          <w:rtl w:val="true"/>
        </w:rPr>
        <w:t xml:space="preserve"> הבהיר שהדיון בבקשה לשמיעת העדות בדלתיים סגורות הוגבל לשאלה אם נשקף לא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ascii="Century" w:hAnsi="Century" w:cs="Century"/>
          <w:sz w:val="22"/>
          <w:sz w:val="22"/>
          <w:rtl w:val="true"/>
        </w:rPr>
        <w:t>א סיכון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ומההחלטה נושא הערעור אף עולה כי המידע שאליו נחשף לא נחקק בזיכרונו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העובדה שהשופט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cs="Century"/>
          <w:sz w:val="22"/>
          <w:sz w:val="22"/>
          <w:rtl w:val="true"/>
        </w:rPr>
        <w:t xml:space="preserve"> נעתר לבקשה לשמיעת העדות בדלתיים סגורות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אף היא אינה מוכיחה שהמידע שאליו נחשף עשוי להשפיע עליו עד כדי יצירת חשש כלשהו למשוא פנים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לא כל שכן חשש ממשי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והשוו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3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5733/21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30.8.2021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נוכח כל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ובפרט נוכח חלוף הזמן מאז הדיון בבקשה לשמיעת העדות בדלתיים סגורות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לא שוכנעתי כי המידע שאליו נחשף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cs="Century"/>
          <w:sz w:val="22"/>
          <w:sz w:val="22"/>
          <w:rtl w:val="true"/>
        </w:rPr>
        <w:t xml:space="preserve"> במסגרת זו מקים חשש ממשי למשוא פנים מצדו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אשר להתייחסות למערער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כאל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עבריין בכיר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בגזר הדין בתיק הנשק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מעיון במערכת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נט המשפט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עולה כי מקור הכינוי הוא בכתב האישום המתוקן שהגישה המדינה באותו תיק ביום </w:t>
      </w:r>
      <w:r>
        <w:rPr>
          <w:rFonts w:cs="Century" w:ascii="Century" w:hAnsi="Century"/>
          <w:sz w:val="22"/>
        </w:rPr>
        <w:t>18.11.2019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ואשר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בעובדותיו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לפיכך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העובדה שהשופט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cs="Century"/>
          <w:sz w:val="22"/>
          <w:sz w:val="22"/>
          <w:rtl w:val="true"/>
        </w:rPr>
        <w:t xml:space="preserve"> תיאר את המערער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בהתאמה לאמור בכתב 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אף היא איננה מעידה על חשש ממשי למשוא פנים בנוגע להליך הנוכחי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ab/>
      </w:r>
    </w:p>
    <w:p>
      <w:pPr>
        <w:pStyle w:val="Ruller43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לשופטת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ארי</w:t>
      </w:r>
      <w:r>
        <w:rPr>
          <w:rtl w:val="true"/>
        </w:rPr>
        <w:t xml:space="preserve">: </w:t>
      </w:r>
      <w:r>
        <w:rPr>
          <w:rtl w:val="true"/>
        </w:rPr>
        <w:t>תחילה יש לציין כי ענייננו שונה ממקרים אחרים שבהם נחשף המותב לחומר חקירה בהליך קודם</w:t>
      </w:r>
      <w:r>
        <w:rPr>
          <w:rtl w:val="true"/>
        </w:rPr>
        <w:t xml:space="preserve">, </w:t>
      </w:r>
      <w:r>
        <w:rPr>
          <w:rtl w:val="true"/>
        </w:rPr>
        <w:t xml:space="preserve">שכן המערערים נתנו ביום </w:t>
      </w:r>
      <w:r>
        <w:rPr/>
        <w:t>11.10.2018</w:t>
      </w:r>
      <w:r>
        <w:rPr>
          <w:rtl w:val="true"/>
        </w:rPr>
        <w:t xml:space="preserve"> </w:t>
      </w:r>
      <w:r>
        <w:rPr>
          <w:rtl w:val="true"/>
        </w:rPr>
        <w:t>את הסכמתם המפורשת לכך ש</w:t>
      </w:r>
      <w:r>
        <w:rPr>
          <w:rtl w:val="true"/>
        </w:rPr>
        <w:t>"</w:t>
      </w:r>
      <w:r>
        <w:rPr>
          <w:rtl w:val="true"/>
        </w:rPr>
        <w:t xml:space="preserve">כל הדיון בנושאי בקשות לפי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74</w:t>
        </w:r>
      </w:hyperlink>
      <w:r>
        <w:rPr>
          <w:rtl w:val="true"/>
        </w:rPr>
        <w:t xml:space="preserve"> </w:t>
      </w:r>
      <w:r>
        <w:rPr>
          <w:rtl w:val="true"/>
        </w:rPr>
        <w:t>יידונו בפני ההרכב</w:t>
      </w:r>
      <w:r>
        <w:rPr>
          <w:rtl w:val="true"/>
        </w:rPr>
        <w:t xml:space="preserve">". </w:t>
      </w:r>
      <w:r>
        <w:rPr>
          <w:rtl w:val="true"/>
        </w:rPr>
        <w:t>בעשותם כן הסכימו המערערים</w:t>
      </w:r>
      <w:r>
        <w:rPr>
          <w:rtl w:val="true"/>
        </w:rPr>
        <w:t xml:space="preserve">, </w:t>
      </w:r>
      <w:r>
        <w:rPr>
          <w:rtl w:val="true"/>
        </w:rPr>
        <w:t>מסיבותיהם</w:t>
      </w:r>
      <w:r>
        <w:rPr>
          <w:rtl w:val="true"/>
        </w:rPr>
        <w:t xml:space="preserve">, </w:t>
      </w:r>
      <w:r>
        <w:rPr>
          <w:rtl w:val="true"/>
        </w:rPr>
        <w:t xml:space="preserve">לסטות מנקודת המוצא </w:t>
      </w:r>
      <w:hyperlink r:id="rId36">
        <w:r>
          <w:rPr>
            <w:rStyle w:val="Hyperlink"/>
            <w:rtl w:val="true"/>
          </w:rPr>
          <w:t>שבסעיף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שלפיה בקשה לעיון בחומרי חקירה תובא </w:t>
      </w:r>
      <w:r>
        <w:rPr>
          <w:rtl w:val="true"/>
        </w:rPr>
        <w:t>"</w:t>
      </w:r>
      <w:r>
        <w:rPr>
          <w:rtl w:val="true"/>
        </w:rPr>
        <w:t>במידת</w:t>
      </w:r>
      <w:r>
        <w:rPr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 xml:space="preserve">בפני </w:t>
      </w:r>
      <w:r>
        <w:rPr>
          <w:rtl w:val="true"/>
        </w:rPr>
        <w:t>שופט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דן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tl w:val="true"/>
        </w:rPr>
        <w:t xml:space="preserve">". </w:t>
      </w:r>
      <w:r>
        <w:rPr>
          <w:rtl w:val="true"/>
        </w:rPr>
        <w:t>הסכמת המערערים למתכונת דיונית זו</w:t>
      </w:r>
      <w:r>
        <w:rPr>
          <w:rtl w:val="true"/>
        </w:rPr>
        <w:t xml:space="preserve">, </w:t>
      </w:r>
      <w:r>
        <w:rPr>
          <w:rtl w:val="true"/>
        </w:rPr>
        <w:t xml:space="preserve">משפיעה בהכרח על טענת הפסלות בהליך שלפניי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3779/21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הועדה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המקומית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ולבנייה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כרמיאל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7.6.2021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5406/20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ברשן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22-19</w:t>
      </w:r>
      <w:r>
        <w:rPr>
          <w:rtl w:val="true"/>
        </w:rPr>
        <w:t xml:space="preserve"> (</w:t>
      </w:r>
      <w:r>
        <w:rPr/>
        <w:t>26.11.2020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שחם</w:t>
      </w:r>
      <w:r>
        <w:rPr>
          <w:rtl w:val="true"/>
        </w:rPr>
        <w:t xml:space="preserve">);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8916/20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21.2.2021</w:t>
      </w:r>
      <w:r>
        <w:rPr>
          <w:rtl w:val="true"/>
        </w:rPr>
        <w:t xml:space="preserve">)). </w:t>
      </w:r>
      <w:r>
        <w:rPr>
          <w:rtl w:val="true"/>
        </w:rPr>
        <w:t xml:space="preserve">המערערים טענו אמנם כי הליך העיון שהתקיים בפני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, </w:t>
      </w:r>
      <w:r>
        <w:rPr>
          <w:rtl w:val="true"/>
        </w:rPr>
        <w:t>באופן ספציפי</w:t>
      </w:r>
      <w:r>
        <w:rPr>
          <w:rtl w:val="true"/>
        </w:rPr>
        <w:t xml:space="preserve">, </w:t>
      </w:r>
      <w:r>
        <w:rPr>
          <w:rtl w:val="true"/>
        </w:rPr>
        <w:t>נוהל מתוך ציפייה שהמותב שידון בו לא יכהן בהליך העיקרי</w:t>
      </w:r>
      <w:r>
        <w:rPr>
          <w:rtl w:val="true"/>
        </w:rPr>
        <w:t xml:space="preserve">, </w:t>
      </w:r>
      <w:r>
        <w:rPr>
          <w:rtl w:val="true"/>
        </w:rPr>
        <w:t>וכי הם היו מנהלים אותו באופן שונה אילו ידעו שזהות ההרכב תשתנה</w:t>
      </w:r>
      <w:r>
        <w:rPr>
          <w:rtl w:val="true"/>
        </w:rPr>
        <w:t xml:space="preserve">. </w:t>
      </w:r>
      <w:r>
        <w:rPr>
          <w:rtl w:val="true"/>
        </w:rPr>
        <w:t>אך טענה זו הועלתה בעלמא</w:t>
      </w:r>
      <w:r>
        <w:rPr>
          <w:rtl w:val="true"/>
        </w:rPr>
        <w:t xml:space="preserve">, </w:t>
      </w:r>
      <w:r>
        <w:rPr>
          <w:rtl w:val="true"/>
        </w:rPr>
        <w:t xml:space="preserve">ומבלי שפורט כיצד היו נוהגים אחרת אילו ידעו שהיא תדון בהליך העיקרי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21</w:t>
      </w:r>
      <w:r>
        <w:rPr>
          <w:rtl w:val="true"/>
        </w:rPr>
        <w:t xml:space="preserve">). </w:t>
      </w:r>
      <w:r>
        <w:rPr>
          <w:rtl w:val="true"/>
        </w:rPr>
        <w:t>נוכח כל זאת</w:t>
      </w:r>
      <w:r>
        <w:rPr>
          <w:rtl w:val="true"/>
        </w:rPr>
        <w:t xml:space="preserve">, </w:t>
      </w:r>
      <w:r>
        <w:rPr>
          <w:rtl w:val="true"/>
        </w:rPr>
        <w:t>לא שוכנעתי כי העובדה שהליך העיון נוהל בפני מותב שלא כיהן בהרכב באותה העת</w:t>
      </w:r>
      <w:r>
        <w:rPr>
          <w:rtl w:val="true"/>
        </w:rPr>
        <w:t xml:space="preserve">, </w:t>
      </w:r>
      <w:r>
        <w:rPr>
          <w:rtl w:val="true"/>
        </w:rPr>
        <w:t>יש בה כדי להצדיק סטייה מהסכמתם העקרונית של המערערים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למעלה מן הצורך אציין כי אף אילו הייתי מתעלמת מהסכמת המערערים בנוגע לאופן הדיון בבקשות לפי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74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אינני סבורה כי נסיבות העניין שלפנינו מצדיקות את פסילתה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. </w:t>
      </w:r>
      <w:r>
        <w:rPr>
          <w:rtl w:val="true"/>
        </w:rPr>
        <w:t>אשוב ואזכיר את נקודת המוצא שעליה עמדתי לעיל</w:t>
      </w:r>
      <w:r>
        <w:rPr>
          <w:rtl w:val="true"/>
        </w:rPr>
        <w:t xml:space="preserve">, </w:t>
      </w:r>
      <w:r>
        <w:rPr>
          <w:rtl w:val="true"/>
        </w:rPr>
        <w:t>לפיה היחשפות המותב לחומרים הקשורים לתיק במסגרת הליך קודם</w:t>
      </w:r>
      <w:r>
        <w:rPr>
          <w:rtl w:val="true"/>
        </w:rPr>
        <w:t xml:space="preserve">, </w:t>
      </w:r>
      <w:r>
        <w:rPr>
          <w:rtl w:val="true"/>
        </w:rPr>
        <w:t xml:space="preserve">איננה מקימה כשלעצמה עילת פסלות </w:t>
      </w:r>
      <w:r>
        <w:rPr>
          <w:rtl w:val="true"/>
        </w:rPr>
        <w:t>(</w:t>
      </w:r>
      <w:r>
        <w:rPr>
          <w:rtl w:val="true"/>
        </w:rPr>
        <w:t>באשר לעיון בחומרי חקירה באופן ספציפי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7731/20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ובנייה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אצבע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הגליל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15.11.2020</w:t>
      </w:r>
      <w:r>
        <w:rPr>
          <w:rtl w:val="true"/>
        </w:rPr>
        <w:t xml:space="preserve">);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4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7759/09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(</w:t>
      </w:r>
      <w:r>
        <w:rPr/>
        <w:t>1.11.2009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>)).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דנה בשתי בקשות במסגרת הליך העיון</w:t>
      </w:r>
      <w:r>
        <w:rPr>
          <w:rtl w:val="true"/>
        </w:rPr>
        <w:t xml:space="preserve">.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 xml:space="preserve">אשר הוכרעה בהחלטה מיום </w:t>
      </w:r>
      <w:r>
        <w:rPr/>
        <w:t>23.1.2020</w:t>
      </w:r>
      <w:r>
        <w:rPr>
          <w:rtl w:val="true"/>
        </w:rPr>
        <w:t xml:space="preserve">, </w:t>
      </w:r>
      <w:r>
        <w:rPr>
          <w:rtl w:val="true"/>
        </w:rPr>
        <w:t>עניינה באופן סידור רשימת החומרים שהועברה להגנה</w:t>
      </w:r>
      <w:r>
        <w:rPr>
          <w:rtl w:val="true"/>
        </w:rPr>
        <w:t xml:space="preserve">. </w:t>
      </w:r>
      <w:r>
        <w:rPr>
          <w:rtl w:val="true"/>
        </w:rPr>
        <w:t xml:space="preserve">על רקע זה עיינה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ברשימת חומרי החקירה ובסיכומי הראיות</w:t>
      </w:r>
      <w:r>
        <w:rPr>
          <w:rtl w:val="true"/>
        </w:rPr>
        <w:t xml:space="preserve">, </w:t>
      </w:r>
      <w:r>
        <w:rPr>
          <w:rtl w:val="true"/>
        </w:rPr>
        <w:t>ואף פתחה באקראי קובץ שמע אחד על מנת לבחון את נוחות השימוש ברשימה</w:t>
      </w:r>
      <w:r>
        <w:rPr>
          <w:rtl w:val="true"/>
        </w:rPr>
        <w:t xml:space="preserve">. </w:t>
      </w:r>
      <w:r>
        <w:rPr>
          <w:rtl w:val="true"/>
        </w:rPr>
        <w:t>הווה אומר</w:t>
      </w:r>
      <w:r>
        <w:rPr>
          <w:rtl w:val="true"/>
        </w:rPr>
        <w:t xml:space="preserve">, </w:t>
      </w:r>
      <w:r>
        <w:rPr>
          <w:rtl w:val="true"/>
        </w:rPr>
        <w:t xml:space="preserve">סיכום חומרי החקירה כמכלול אכן הועמד לעיונה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, </w:t>
      </w:r>
      <w:r>
        <w:rPr>
          <w:rtl w:val="true"/>
        </w:rPr>
        <w:t xml:space="preserve">אך היא לא נדרשה ליתן לגביו הכרעה מהותית כלשהי והוא נבחן לצורך הכרעה בטענה שהעלתה ההגנה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ההיבטים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הטכניים</w:t>
      </w:r>
      <w:r>
        <w:rPr>
          <w:rtl w:val="true"/>
        </w:rPr>
        <w:t xml:space="preserve"> של הניווט במאגר חומרי החקירה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אינני סבורה כי החומר שהוגש במסגרת בקשת העיון הראשונה עולה כדי </w:t>
      </w:r>
      <w:r>
        <w:rPr>
          <w:rtl w:val="true"/>
        </w:rPr>
        <w:t>"</w:t>
      </w:r>
      <w:r>
        <w:rPr>
          <w:rtl w:val="true"/>
        </w:rPr>
        <w:t>מסה קריטית</w:t>
      </w:r>
      <w:r>
        <w:rPr>
          <w:rtl w:val="true"/>
        </w:rPr>
        <w:t xml:space="preserve">" </w:t>
      </w:r>
      <w:r>
        <w:rPr>
          <w:rtl w:val="true"/>
        </w:rPr>
        <w:t xml:space="preserve">המצדיקה את פסילתה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הבקשה השנייה שבה נדרשה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לדון בהליך העיון</w:t>
      </w:r>
      <w:r>
        <w:rPr>
          <w:rtl w:val="true"/>
        </w:rPr>
        <w:t xml:space="preserve">, </w:t>
      </w:r>
      <w:r>
        <w:rPr>
          <w:rtl w:val="true"/>
        </w:rPr>
        <w:t>עסקה בחומרי חקירה הנוגעים לעד המדינה ולמעורבים נוספים בפרשה</w:t>
      </w:r>
      <w:r>
        <w:rPr>
          <w:rtl w:val="true"/>
        </w:rPr>
        <w:t xml:space="preserve">. </w:t>
      </w:r>
      <w:r>
        <w:rPr>
          <w:rtl w:val="true"/>
        </w:rPr>
        <w:t>במסגרת זו היא עיינה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בטיוטת הסכם עֵד המדינה</w:t>
      </w:r>
      <w:r>
        <w:rPr>
          <w:rtl w:val="true"/>
        </w:rPr>
        <w:t xml:space="preserve">, </w:t>
      </w:r>
      <w:r>
        <w:rPr>
          <w:rtl w:val="true"/>
        </w:rPr>
        <w:t>בתיקים סגורים בעניינו של א</w:t>
      </w:r>
      <w:r>
        <w:rPr>
          <w:rtl w:val="true"/>
        </w:rPr>
        <w:t>.</w:t>
      </w:r>
      <w:r>
        <w:rPr>
          <w:rtl w:val="true"/>
        </w:rPr>
        <w:t xml:space="preserve">א ובמספר תיקים פתוחים </w:t>
      </w:r>
      <w:r>
        <w:rPr>
          <w:rtl w:val="true"/>
        </w:rPr>
        <w:t>–</w:t>
      </w:r>
      <w:r>
        <w:rPr>
          <w:rtl w:val="true"/>
        </w:rPr>
        <w:t xml:space="preserve"> בהם תיק רצח שבמסגרתו נחקרו חלק מן המערערים כחשודים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להחלטה מיום </w:t>
      </w:r>
      <w:r>
        <w:rPr/>
        <w:t>12.3.2020</w:t>
      </w:r>
      <w:r>
        <w:rPr>
          <w:rtl w:val="true"/>
        </w:rPr>
        <w:t xml:space="preserve">).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טוענים כי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נחשפה לחומר בהיקף משמעותי</w:t>
      </w:r>
      <w:r>
        <w:rPr>
          <w:rtl w:val="true"/>
        </w:rPr>
        <w:t xml:space="preserve">, </w:t>
      </w:r>
      <w:r>
        <w:rPr>
          <w:rtl w:val="true"/>
        </w:rPr>
        <w:t>לרבות פרפרזות של מידע חסוי</w:t>
      </w:r>
      <w:r>
        <w:rPr>
          <w:rtl w:val="true"/>
        </w:rPr>
        <w:t xml:space="preserve">, </w:t>
      </w:r>
      <w:r>
        <w:rPr>
          <w:rtl w:val="true"/>
        </w:rPr>
        <w:t xml:space="preserve">ולשיטתם יש בחומרים אלו כדי להשפיע על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בבואה לדון בהליך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עצמה הדגישה כי </w:t>
      </w:r>
      <w:r>
        <w:rPr>
          <w:rtl w:val="true"/>
        </w:rPr>
        <w:t>"</w:t>
      </w:r>
      <w:r>
        <w:rPr>
          <w:rtl w:val="true"/>
        </w:rPr>
        <w:t>החומרים</w:t>
      </w:r>
      <w:r>
        <w:rPr>
          <w:rtl w:val="true"/>
        </w:rPr>
        <w:t xml:space="preserve"> </w:t>
      </w:r>
      <w:r>
        <w:rPr>
          <w:rtl w:val="true"/>
        </w:rPr>
        <w:t>שנכנסו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חומרי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 </w:t>
      </w:r>
      <w:r>
        <w:rPr>
          <w:rtl w:val="true"/>
        </w:rPr>
        <w:t>סגורים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הובאו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לעיוני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המעורבים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כאן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156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26-25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הדיון מיום </w:t>
      </w:r>
      <w:r>
        <w:rPr/>
        <w:t>5.10.2021</w:t>
      </w:r>
      <w:r>
        <w:rPr>
          <w:rtl w:val="true"/>
        </w:rPr>
        <w:t xml:space="preserve">; </w:t>
      </w:r>
      <w:r>
        <w:rPr>
          <w:rtl w:val="true"/>
        </w:rPr>
        <w:t>ההדגשה הוספה</w:t>
      </w:r>
      <w:r>
        <w:rPr>
          <w:rtl w:val="true"/>
        </w:rPr>
        <w:t xml:space="preserve">); </w:t>
      </w:r>
      <w:r>
        <w:rPr>
          <w:rtl w:val="true"/>
        </w:rPr>
        <w:t xml:space="preserve">וכי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הועברו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פרפרזות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הוגשו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מודיעיניות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99</w:t>
      </w:r>
      <w:r>
        <w:rPr>
          <w:rtl w:val="true"/>
        </w:rPr>
        <w:t xml:space="preserve"> </w:t>
      </w:r>
      <w:r>
        <w:rPr>
          <w:rtl w:val="true"/>
        </w:rPr>
        <w:t>להחלטת הפסלות</w:t>
      </w:r>
      <w:r>
        <w:rPr>
          <w:rtl w:val="true"/>
        </w:rPr>
        <w:t xml:space="preserve">; </w:t>
      </w:r>
      <w:r>
        <w:rPr>
          <w:rtl w:val="true"/>
        </w:rPr>
        <w:t>ההדגשה הוספה</w:t>
      </w:r>
      <w:r>
        <w:rPr>
          <w:rtl w:val="true"/>
        </w:rPr>
        <w:t xml:space="preserve">).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המשיבה</w:t>
      </w:r>
      <w:r>
        <w:rPr>
          <w:rtl w:val="true"/>
        </w:rPr>
        <w:t xml:space="preserve">, </w:t>
      </w:r>
      <w:r>
        <w:rPr>
          <w:rtl w:val="true"/>
        </w:rPr>
        <w:t>מצדה</w:t>
      </w:r>
      <w:r>
        <w:rPr>
          <w:rtl w:val="true"/>
        </w:rPr>
        <w:t xml:space="preserve">, </w:t>
      </w:r>
      <w:r>
        <w:rPr>
          <w:rtl w:val="true"/>
        </w:rPr>
        <w:t xml:space="preserve">טענה אף היא כי רשימת הפרפרזות כלל לא הוגשה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166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8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אף אם לצורך הדיון בלבד אלך כברת דרך לקראת המערערים ואניח כי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נחשפה למידע מודיעיני כלשהו הרלוונטי להליך העיקרי</w:t>
      </w:r>
      <w:r>
        <w:rPr>
          <w:rtl w:val="true"/>
        </w:rPr>
        <w:t xml:space="preserve">, </w:t>
      </w:r>
      <w:r>
        <w:rPr>
          <w:rtl w:val="true"/>
        </w:rPr>
        <w:t xml:space="preserve">לרבות רשימת הפרפרזות </w:t>
      </w:r>
      <w:r>
        <w:rPr>
          <w:rtl w:val="true"/>
        </w:rPr>
        <w:t>–</w:t>
      </w:r>
      <w:r>
        <w:rPr>
          <w:rtl w:val="true"/>
        </w:rPr>
        <w:t xml:space="preserve"> יש להדגיש כי החלטותיה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בהליך העיון ניתנו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כשנה</w:t>
      </w:r>
      <w:r>
        <w:rPr>
          <w:rtl w:val="true"/>
        </w:rPr>
        <w:t xml:space="preserve"> טרם מינויה להרכב שדן בהליך העיקרי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ציינה</w:t>
      </w:r>
      <w:r>
        <w:rPr>
          <w:rtl w:val="true"/>
        </w:rPr>
        <w:t xml:space="preserve">, </w:t>
      </w:r>
      <w:r>
        <w:rPr>
          <w:rtl w:val="true"/>
        </w:rPr>
        <w:t>בדחותה את בקשת הפסלות</w:t>
      </w:r>
      <w:r>
        <w:rPr>
          <w:rtl w:val="true"/>
        </w:rPr>
        <w:t xml:space="preserve">, </w:t>
      </w:r>
      <w:r>
        <w:rPr>
          <w:rtl w:val="true"/>
        </w:rPr>
        <w:t xml:space="preserve">כי החלטות אלו ניתנו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תפקיד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כשופטת</w:t>
      </w:r>
      <w:r>
        <w:rPr>
          <w:rtl w:val="true"/>
        </w:rPr>
        <w:t xml:space="preserve"> </w:t>
      </w:r>
      <w:r>
        <w:rPr>
          <w:rtl w:val="true"/>
        </w:rPr>
        <w:t>תורנית</w:t>
      </w:r>
      <w:r>
        <w:rPr>
          <w:rtl w:val="true"/>
        </w:rPr>
        <w:t xml:space="preserve"> וכי </w:t>
      </w:r>
      <w:r>
        <w:rPr>
          <w:rtl w:val="true"/>
        </w:rPr>
        <w:t>"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עברו</w:t>
      </w:r>
      <w:r>
        <w:rPr>
          <w:rtl w:val="true"/>
        </w:rPr>
        <w:t xml:space="preserve"> </w:t>
      </w:r>
      <w:r>
        <w:rPr>
          <w:rtl w:val="true"/>
        </w:rPr>
        <w:t>תחת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מאות</w:t>
      </w:r>
      <w:r>
        <w:rPr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בקשות</w:t>
      </w:r>
      <w:r>
        <w:rPr>
          <w:rtl w:val="true"/>
        </w:rPr>
        <w:t xml:space="preserve"> </w:t>
      </w:r>
      <w:r>
        <w:rPr>
          <w:rtl w:val="true"/>
        </w:rPr>
        <w:t>ודיונים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שהחומר</w:t>
      </w:r>
      <w:r>
        <w:rPr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נטוע</w:t>
      </w:r>
      <w:r>
        <w:rPr>
          <w:rtl w:val="true"/>
        </w:rPr>
        <w:t xml:space="preserve"> </w:t>
      </w:r>
      <w:r>
        <w:rPr>
          <w:rtl w:val="true"/>
        </w:rPr>
        <w:t>בזיכרוני</w:t>
      </w:r>
      <w:r>
        <w:rPr>
          <w:rtl w:val="true"/>
        </w:rPr>
        <w:t xml:space="preserve">". </w:t>
      </w:r>
      <w:r>
        <w:rPr>
          <w:rtl w:val="true"/>
        </w:rPr>
        <w:t>נסיבות אלו מפחיתות</w:t>
      </w:r>
      <w:r>
        <w:rPr>
          <w:rtl w:val="true"/>
        </w:rPr>
        <w:t xml:space="preserve">, </w:t>
      </w: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 xml:space="preserve">באופן משמעותי את ההסתברות שהחומר שאליו נחשפה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בהליך העיון ישפיע על התנהלותה בהליך העיקרי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בשונה ממקרים אחרים שבהם המותב הדן בהליך העיקרי נחשף לחומרים בלתי</w:t>
      </w:r>
      <w:r>
        <w:rPr>
          <w:rtl w:val="true"/>
        </w:rPr>
        <w:t>-</w:t>
      </w:r>
      <w:r>
        <w:rPr>
          <w:rtl w:val="true"/>
        </w:rPr>
        <w:t xml:space="preserve">קבילים בעניינו של נאשם בזמן שההליך העיקרי מתנהל או בסמוך לכך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4</w:t>
      </w:r>
      <w:r>
        <w:rPr>
          <w:rtl w:val="true"/>
        </w:rPr>
        <w:t xml:space="preserve">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6792/18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 (</w:t>
      </w:r>
      <w:r>
        <w:rPr/>
        <w:t>22.10.2018</w:t>
      </w:r>
      <w:r>
        <w:rPr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מושיא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7-6</w:t>
      </w:r>
      <w:r>
        <w:rPr>
          <w:rtl w:val="true"/>
        </w:rPr>
        <w:t xml:space="preserve"> (</w:t>
      </w:r>
      <w:r>
        <w:rPr/>
        <w:t>4.2.2021</w:t>
      </w:r>
      <w:r>
        <w:rPr>
          <w:rtl w:val="true"/>
        </w:rPr>
        <w:t xml:space="preserve">)).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לכך יש להוסיף כי לא מצאתי ממש בטענה שהתייחסותה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לקיומן של ראיות לכאורה בעניינם של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מעידה על </w:t>
      </w:r>
      <w:r>
        <w:rPr>
          <w:rtl w:val="true"/>
        </w:rPr>
        <w:t>"</w:t>
      </w:r>
      <w:r>
        <w:rPr>
          <w:rtl w:val="true"/>
        </w:rPr>
        <w:t>נעילת</w:t>
      </w:r>
      <w:r>
        <w:rPr>
          <w:rtl w:val="true"/>
        </w:rPr>
        <w:t xml:space="preserve">" </w:t>
      </w:r>
      <w:r>
        <w:rPr>
          <w:rtl w:val="true"/>
        </w:rPr>
        <w:t>דעתה בנושא</w:t>
      </w:r>
      <w:r>
        <w:rPr>
          <w:rtl w:val="true"/>
        </w:rPr>
        <w:t xml:space="preserve">. </w:t>
      </w:r>
      <w:r>
        <w:rPr>
          <w:rtl w:val="true"/>
        </w:rPr>
        <w:t xml:space="preserve">עיון בהחלטתה מיום </w:t>
      </w:r>
      <w:r>
        <w:rPr/>
        <w:t>12.3.2020</w:t>
      </w:r>
      <w:r>
        <w:rPr>
          <w:rtl w:val="true"/>
        </w:rPr>
        <w:t xml:space="preserve"> </w:t>
      </w:r>
      <w:r>
        <w:rPr>
          <w:rtl w:val="true"/>
        </w:rPr>
        <w:t>מעלה בבירור כי מדובר באמרת אגב</w:t>
      </w:r>
      <w:r>
        <w:rPr>
          <w:rtl w:val="true"/>
        </w:rPr>
        <w:t xml:space="preserve">, </w:t>
      </w:r>
      <w:r>
        <w:rPr>
          <w:rtl w:val="true"/>
        </w:rPr>
        <w:t xml:space="preserve">אשר נסמכת על החלטותיהם של מותבים אחרים בדבר קיומן של </w:t>
      </w:r>
      <w:r>
        <w:rPr>
          <w:rtl w:val="true"/>
        </w:rPr>
        <w:t>"</w:t>
      </w:r>
      <w:r>
        <w:rPr>
          <w:rtl w:val="true"/>
        </w:rPr>
        <w:t>ראיות לכאורה</w:t>
      </w:r>
      <w:r>
        <w:rPr>
          <w:rtl w:val="true"/>
        </w:rPr>
        <w:t>" (</w:t>
      </w:r>
      <w:r>
        <w:rPr>
          <w:rtl w:val="true"/>
        </w:rPr>
        <w:t>ראו בעמ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31-30</w:t>
      </w:r>
      <w:r>
        <w:rPr>
          <w:rtl w:val="true"/>
        </w:rPr>
        <w:t xml:space="preserve"> </w:t>
      </w:r>
      <w:r>
        <w:rPr>
          <w:rtl w:val="true"/>
        </w:rPr>
        <w:t>לאותה החלטה</w:t>
      </w:r>
      <w:r>
        <w:rPr>
          <w:rtl w:val="true"/>
        </w:rPr>
        <w:t xml:space="preserve">, </w:t>
      </w:r>
      <w:r>
        <w:rPr>
          <w:rtl w:val="true"/>
        </w:rPr>
        <w:t>שם צוין</w:t>
      </w:r>
      <w:r>
        <w:rPr>
          <w:rtl w:val="true"/>
        </w:rPr>
        <w:t>: "</w:t>
      </w:r>
      <w:r>
        <w:rPr>
          <w:rtl w:val="true"/>
        </w:rPr>
        <w:t>כאן</w:t>
      </w:r>
      <w:r>
        <w:rPr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 </w:t>
      </w:r>
      <w:r>
        <w:rPr>
          <w:rtl w:val="true"/>
        </w:rPr>
        <w:t>להזכיר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שקיימת</w:t>
      </w:r>
      <w:r>
        <w:rPr>
          <w:rtl w:val="true"/>
        </w:rPr>
        <w:t xml:space="preserve"> </w:t>
      </w:r>
      <w:r>
        <w:rPr>
          <w:rtl w:val="true"/>
        </w:rPr>
        <w:t>תשתית</w:t>
      </w:r>
      <w:r>
        <w:rPr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החלטות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החלטות</w:t>
      </w:r>
      <w:r>
        <w:rPr>
          <w:rtl w:val="true"/>
        </w:rPr>
        <w:t xml:space="preserve"> </w:t>
      </w:r>
      <w:r>
        <w:rPr>
          <w:rtl w:val="true"/>
        </w:rPr>
        <w:t>בערר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tl w:val="true"/>
        </w:rPr>
        <w:t xml:space="preserve"> </w:t>
      </w:r>
      <w:r>
        <w:rPr>
          <w:rtl w:val="true"/>
        </w:rPr>
        <w:t>למיוחס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למערערים</w:t>
      </w:r>
      <w:r>
        <w:rPr>
          <w:rtl w:val="true"/>
        </w:rPr>
        <w:t xml:space="preserve">]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"). </w:t>
      </w:r>
      <w:r>
        <w:rPr>
          <w:rtl w:val="true"/>
        </w:rPr>
        <w:t>אף אם צודקים המערערים בטענה כי אמירה זו אינה מדויקת כשלעצמה</w:t>
      </w:r>
      <w:r>
        <w:rPr>
          <w:rtl w:val="true"/>
        </w:rPr>
        <w:t xml:space="preserve">, </w:t>
      </w:r>
      <w:r>
        <w:rPr>
          <w:rtl w:val="true"/>
        </w:rPr>
        <w:t xml:space="preserve">מכל מקום אין בכך כדי להעיד על חשש ממשי למשוא פנים כלפי מי מהם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6066/21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ליאב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יזמות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וניהול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פרויקטים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תורג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3.11.2021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נוכח המפורט לעיל</w:t>
      </w:r>
      <w:r>
        <w:rPr>
          <w:rtl w:val="true"/>
        </w:rPr>
        <w:t xml:space="preserve">, </w:t>
      </w:r>
      <w:r>
        <w:rPr>
          <w:rtl w:val="true"/>
        </w:rPr>
        <w:t xml:space="preserve">לא שוכנעתי בקיומה של הצדקה לפסילת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מלדון בהליך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אציין כי לא נעלמה מעיניי העמדה שהביעה המשיבה ב</w:t>
      </w:r>
      <w:r>
        <w:rPr>
          <w:rtl w:val="true"/>
        </w:rPr>
        <w:t>"</w:t>
      </w:r>
      <w:r>
        <w:rPr>
          <w:rtl w:val="true"/>
        </w:rPr>
        <w:t>זמן אמת</w:t>
      </w:r>
      <w:r>
        <w:rPr>
          <w:rtl w:val="true"/>
        </w:rPr>
        <w:t xml:space="preserve">" </w:t>
      </w:r>
      <w:r>
        <w:rPr>
          <w:rtl w:val="true"/>
        </w:rPr>
        <w:t>ולפיה ראוי שהליך העיון לא יידון בפני שופט הדן בהליך העיקרי</w:t>
      </w:r>
      <w:r>
        <w:rPr>
          <w:rtl w:val="true"/>
        </w:rPr>
        <w:t xml:space="preserve">. </w:t>
      </w:r>
      <w:r>
        <w:rPr>
          <w:rtl w:val="true"/>
        </w:rPr>
        <w:t xml:space="preserve">בתגובתה לערעור שלפניי טענה המשיבה כי עמדתה הובעה על רקע העיקרון הכללי שבא לידי ביטוי </w:t>
      </w:r>
      <w:hyperlink r:id="rId4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לפיו רצוי שבקשות מעין אלו לא תוגשנה למותב שדן בהליך העיקרי </w:t>
      </w:r>
      <w:r>
        <w:rPr>
          <w:rtl w:val="true"/>
        </w:rPr>
        <w:t>–</w:t>
      </w:r>
      <w:r>
        <w:rPr>
          <w:rtl w:val="true"/>
        </w:rPr>
        <w:t xml:space="preserve"> אך הסבר זה מוקשה בעיניי שכן בתגובת המשיבה מיום </w:t>
      </w:r>
      <w:r>
        <w:rPr/>
        <w:t>30.12.2019</w:t>
      </w:r>
      <w:r>
        <w:rPr>
          <w:rtl w:val="true"/>
        </w:rPr>
        <w:t xml:space="preserve"> </w:t>
      </w:r>
      <w:r>
        <w:rPr>
          <w:rtl w:val="true"/>
        </w:rPr>
        <w:t xml:space="preserve">הובהר והודגש כי עמדתה מוגשת </w:t>
      </w:r>
      <w:r>
        <w:rPr>
          <w:rtl w:val="true"/>
        </w:rPr>
        <w:t>"</w:t>
      </w:r>
      <w:r>
        <w:rPr>
          <w:rtl w:val="true"/>
        </w:rPr>
        <w:t>למקרא</w:t>
      </w:r>
      <w:r>
        <w:rPr>
          <w:rtl w:val="true"/>
        </w:rPr>
        <w:t xml:space="preserve"> </w:t>
      </w:r>
      <w:r>
        <w:rPr>
          <w:rtl w:val="true"/>
        </w:rPr>
        <w:t>בקשה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" </w:t>
      </w:r>
      <w:r>
        <w:rPr>
          <w:rtl w:val="true"/>
        </w:rPr>
        <w:t>ועל רקע החומרים הספציפיים שצפויים היו להיות מוגשים למותב שידון בה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משהגעתי למסקנה כי לא מתקיימת בענייננו עילה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אובייקטיבית</w:t>
      </w:r>
      <w:r>
        <w:rPr>
          <w:rtl w:val="true"/>
        </w:rPr>
        <w:t xml:space="preserve"> לפסילתה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, </w:t>
      </w:r>
      <w:r>
        <w:rPr>
          <w:rtl w:val="true"/>
        </w:rPr>
        <w:t>אין בהתנהלותה של המשיבה</w:t>
      </w:r>
      <w:r>
        <w:rPr>
          <w:rtl w:val="true"/>
        </w:rPr>
        <w:t xml:space="preserve">, </w:t>
      </w:r>
      <w:r>
        <w:rPr>
          <w:rtl w:val="true"/>
        </w:rPr>
        <w:t>אף שהיא מעוררת קושי בהיותה בלתי</w:t>
      </w:r>
      <w:r>
        <w:rPr>
          <w:rtl w:val="true"/>
        </w:rPr>
        <w:t>-</w:t>
      </w:r>
      <w:r>
        <w:rPr>
          <w:rtl w:val="true"/>
        </w:rPr>
        <w:t>עקבית</w:t>
      </w:r>
      <w:r>
        <w:rPr>
          <w:rtl w:val="true"/>
        </w:rPr>
        <w:t xml:space="preserve">, </w:t>
      </w:r>
      <w:r>
        <w:rPr>
          <w:rtl w:val="true"/>
        </w:rPr>
        <w:t xml:space="preserve">כדי להצדיק לבדה את קבלת הערעור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6545/21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הוועדה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המקומית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ובנייה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ערד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20.10.2021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טופף</w:t>
      </w:r>
      <w:r>
        <w:rPr>
          <w:rtl w:val="true"/>
        </w:rPr>
        <w:t xml:space="preserve">: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המערערים ידעו עוד ביום </w:t>
      </w:r>
      <w:r>
        <w:rPr/>
        <w:t>31.12.2019</w:t>
      </w:r>
      <w:r>
        <w:rPr>
          <w:rtl w:val="true"/>
        </w:rPr>
        <w:t xml:space="preserve"> </w:t>
      </w:r>
      <w:r>
        <w:rPr>
          <w:rtl w:val="true"/>
        </w:rPr>
        <w:t xml:space="preserve">על מינויו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 להרכב שידון בהליך העיקרי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 xml:space="preserve">כוחם אף הצהירו במהלך דיון שהתקיים באותו היום כי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מניעה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tl w:val="true"/>
        </w:rPr>
        <w:t>טופף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שנתן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מההחלטות</w:t>
      </w:r>
      <w:r>
        <w:rPr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אני סבורה כי מטעם זה בלבד ניתן לדחות את הערעור</w:t>
      </w:r>
      <w:r>
        <w:rPr>
          <w:rtl w:val="true"/>
        </w:rPr>
        <w:t xml:space="preserve">, </w:t>
      </w:r>
      <w:r>
        <w:rPr>
          <w:rtl w:val="true"/>
        </w:rPr>
        <w:t xml:space="preserve">ככל שהוא נוגע לשופט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שכן אין מדובר בשיהוי גרידא בהעלאת הטענה אלא בהצהרה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מפורשת</w:t>
      </w:r>
      <w:r>
        <w:rPr>
          <w:rtl w:val="true"/>
        </w:rPr>
        <w:t xml:space="preserve"> של המערערים כי הם מסכימים לכך שהשופט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 ידון בהליך</w:t>
      </w:r>
      <w:r>
        <w:rPr>
          <w:rtl w:val="true"/>
        </w:rPr>
        <w:t xml:space="preserve">, </w:t>
      </w:r>
      <w:r>
        <w:rPr>
          <w:rtl w:val="true"/>
        </w:rPr>
        <w:t xml:space="preserve">למרות שדן קודם לכן בחלק מהליכי המעצר </w:t>
      </w:r>
      <w:r>
        <w:rPr>
          <w:rtl w:val="true"/>
        </w:rPr>
        <w:t>(</w:t>
      </w:r>
      <w:r>
        <w:rPr>
          <w:rtl w:val="true"/>
        </w:rPr>
        <w:t xml:space="preserve">ראו האסמכתאות בפסקה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מדובר אפוא בניסיון של המערערים</w:t>
      </w:r>
      <w:r>
        <w:rPr>
          <w:rtl w:val="true"/>
        </w:rPr>
        <w:t xml:space="preserve">, </w:t>
      </w:r>
      <w:r>
        <w:rPr>
          <w:rtl w:val="true"/>
        </w:rPr>
        <w:t>שאותו אין לקבל</w:t>
      </w:r>
      <w:r>
        <w:rPr>
          <w:rtl w:val="true"/>
        </w:rPr>
        <w:t xml:space="preserve">, </w:t>
      </w:r>
      <w:r>
        <w:rPr>
          <w:rtl w:val="true"/>
        </w:rPr>
        <w:t>להתנער בדיעבד מהסכמה מפורשת זו</w:t>
      </w:r>
      <w:r>
        <w:rPr>
          <w:rtl w:val="true"/>
        </w:rPr>
        <w:t>.</w:t>
      </w:r>
    </w:p>
    <w:p>
      <w:pPr>
        <w:pStyle w:val="Ruller43"/>
        <w:ind w:end="0"/>
        <w:jc w:val="both"/>
        <w:rPr>
          <w:rFonts w:ascii="Century" w:hAnsi="Century" w:cs="Miriam"/>
          <w:b/>
          <w:spacing w:val="0"/>
          <w:sz w:val="22"/>
          <w:szCs w:val="24"/>
          <w:u w:val="single"/>
        </w:rPr>
      </w:pP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למעלה מן הצורך אוסיף כי אין לקבל בהקשר זה את טענת המערערים בדבר היעדר שיהוי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שכן הטענה שהעלו המערערים ולפיה המונח </w:t>
      </w:r>
      <w:r>
        <w:rPr>
          <w:rtl w:val="true"/>
        </w:rPr>
        <w:t>"</w:t>
      </w:r>
      <w:r>
        <w:rPr>
          <w:rtl w:val="true"/>
        </w:rPr>
        <w:t>תחילת המשפט</w:t>
      </w:r>
      <w:r>
        <w:rPr>
          <w:rtl w:val="true"/>
        </w:rPr>
        <w:t xml:space="preserve">" </w:t>
      </w:r>
      <w:hyperlink r:id="rId50">
        <w:r>
          <w:rPr>
            <w:rStyle w:val="Hyperlink"/>
            <w:rtl w:val="true"/>
          </w:rPr>
          <w:t>שבסעיף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מתייחס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למענה</w:t>
      </w:r>
      <w:r>
        <w:rPr>
          <w:rtl w:val="true"/>
        </w:rPr>
        <w:t xml:space="preserve"> לכתב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ולא </w:t>
      </w:r>
      <w:r>
        <w:rPr>
          <w:rtl w:val="true"/>
        </w:rPr>
        <w:t>–</w:t>
      </w:r>
      <w:r>
        <w:rPr>
          <w:rtl w:val="true"/>
        </w:rPr>
        <w:t xml:space="preserve"> למשל </w:t>
      </w:r>
      <w:r>
        <w:rPr>
          <w:rtl w:val="true"/>
        </w:rPr>
        <w:t>–</w:t>
      </w:r>
      <w:r>
        <w:rPr>
          <w:rtl w:val="true"/>
        </w:rPr>
        <w:t xml:space="preserve"> למועד ההקראה או למועד שבו נקבע המותב שידון בהליך</w:t>
      </w:r>
      <w:r>
        <w:rPr>
          <w:rtl w:val="true"/>
        </w:rPr>
        <w:t xml:space="preserve">, </w:t>
      </w:r>
      <w:r>
        <w:rPr>
          <w:rtl w:val="true"/>
        </w:rPr>
        <w:t xml:space="preserve">אינה נתמכת בפסיקה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5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7412/02</w:t>
        </w:r>
      </w:hyperlink>
      <w:r>
        <w:rPr>
          <w:rtl w:val="true"/>
        </w:rPr>
        <w:t>ב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רנוי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49</w:t>
      </w:r>
      <w:r>
        <w:rPr>
          <w:rtl w:val="true"/>
        </w:rPr>
        <w:t xml:space="preserve">, </w:t>
      </w:r>
      <w:r>
        <w:rPr/>
        <w:t>53-52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)).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 xml:space="preserve">אף לגופו של עניין לא שוכנעתי כי החומר שאליו נחשף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 בהליכי המעצר עשוי להצדיק את פסילתו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בשים לב להיקף החומר שעמד לעיונו</w:t>
      </w:r>
      <w:r>
        <w:rPr>
          <w:rtl w:val="true"/>
        </w:rPr>
        <w:t xml:space="preserve">, </w:t>
      </w:r>
      <w:r>
        <w:rPr>
          <w:rtl w:val="true"/>
        </w:rPr>
        <w:t>לטיב ההכרעות שנדרש ליתן במסגרת הליכי המעצר</w:t>
      </w:r>
      <w:r>
        <w:rPr>
          <w:rtl w:val="true"/>
        </w:rPr>
        <w:t xml:space="preserve">, </w:t>
      </w:r>
      <w:r>
        <w:rPr>
          <w:rtl w:val="true"/>
        </w:rPr>
        <w:t xml:space="preserve">ולחלוף הזמן מאז שניתנו החלטותיו בהליכים אלה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6422/18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tl w:val="true"/>
        </w:rPr>
        <w:t>(</w:t>
      </w:r>
      <w:r>
        <w:rPr/>
        <w:t>15.10.2018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: </w:t>
      </w:r>
      <w:r>
        <w:rPr>
          <w:rtl w:val="true"/>
        </w:rPr>
        <w:t xml:space="preserve">טענת המערערים בדבר התהוות עילת פסלות </w:t>
      </w:r>
      <w:r>
        <w:rPr>
          <w:rtl w:val="true"/>
        </w:rPr>
        <w:t>"</w:t>
      </w:r>
      <w:r>
        <w:rPr>
          <w:rtl w:val="true"/>
        </w:rPr>
        <w:t>חדשה</w:t>
      </w:r>
      <w:r>
        <w:rPr>
          <w:rtl w:val="true"/>
        </w:rPr>
        <w:t xml:space="preserve">" </w:t>
      </w:r>
      <w:r>
        <w:rPr>
          <w:rtl w:val="true"/>
        </w:rPr>
        <w:t xml:space="preserve">עקב מינוי 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 לכהן לצדו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, </w:t>
      </w:r>
      <w:r>
        <w:rPr>
          <w:rtl w:val="true"/>
        </w:rPr>
        <w:t xml:space="preserve">למעשה איננה מכוונת נגד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 עצמו </w:t>
      </w:r>
      <w:r>
        <w:rPr>
          <w:rtl w:val="true"/>
        </w:rPr>
        <w:t>–</w:t>
      </w:r>
      <w:r>
        <w:rPr>
          <w:rtl w:val="true"/>
        </w:rPr>
        <w:t xml:space="preserve"> שכן המערערים מודים כי אין מבחינתם מניעה לכך שהשופט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 ידון בהליך לצד שני שופטים אחרים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טענה זו יכולה לכל היותר להוות חיזוק לפסילת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cs="Century"/>
          <w:sz w:val="22"/>
          <w:sz w:val="22"/>
          <w:rtl w:val="true"/>
        </w:rPr>
        <w:t xml:space="preserve"> או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, </w:t>
      </w:r>
      <w:r>
        <w:rPr>
          <w:rtl w:val="true"/>
        </w:rPr>
        <w:t xml:space="preserve">אך משהגעתי למסקנה כי לא קמה הצדקה לפסילת מי מהם </w:t>
      </w:r>
      <w:r>
        <w:rPr>
          <w:rtl w:val="true"/>
        </w:rPr>
        <w:t>–</w:t>
      </w:r>
      <w:r>
        <w:rPr>
          <w:rtl w:val="true"/>
        </w:rPr>
        <w:t xml:space="preserve"> אין בטענה זו כדי להטות את הכף לטובת קבלת הערעור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לפני סיום אציין כי אין בידי לקבל את הטענה לעילת פסלות </w:t>
      </w:r>
      <w:r>
        <w:rPr>
          <w:rtl w:val="true"/>
        </w:rPr>
        <w:t>"</w:t>
      </w:r>
      <w:r>
        <w:rPr>
          <w:rtl w:val="true"/>
        </w:rPr>
        <w:t>מצטברת</w:t>
      </w:r>
      <w:r>
        <w:rPr>
          <w:rtl w:val="true"/>
        </w:rPr>
        <w:t xml:space="preserve">" </w:t>
      </w:r>
      <w:r>
        <w:rPr>
          <w:rtl w:val="true"/>
        </w:rPr>
        <w:t>של כל חברי ההרכב כאחד</w:t>
      </w:r>
      <w:r>
        <w:rPr>
          <w:rtl w:val="true"/>
        </w:rPr>
        <w:t xml:space="preserve">. </w:t>
      </w:r>
      <w:r>
        <w:rPr>
          <w:rtl w:val="true"/>
        </w:rPr>
        <w:t xml:space="preserve">בספרות צוין אמנם כי </w:t>
      </w:r>
      <w:r>
        <w:rPr>
          <w:rtl w:val="true"/>
        </w:rPr>
        <w:t>"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 xml:space="preserve">ייתכן שההתנהגות של כל שופט ושופט בנפרד אינה מבססת חשש </w:t>
      </w:r>
      <w:r>
        <w:rPr>
          <w:rtl w:val="true"/>
        </w:rPr>
        <w:t>[</w:t>
      </w:r>
      <w:r>
        <w:rPr>
          <w:rtl w:val="true"/>
        </w:rPr>
        <w:t>ממשי למשוא פנים</w:t>
      </w:r>
      <w:r>
        <w:rPr>
          <w:rtl w:val="true"/>
        </w:rPr>
        <w:t xml:space="preserve">], </w:t>
      </w:r>
      <w:r>
        <w:rPr>
          <w:rtl w:val="true"/>
        </w:rPr>
        <w:t>אולם הצטברות אירועים שונים עולה כדי חשש ממשי למשוא פנים מצד ההרכב כגוף אחד</w:t>
      </w:r>
      <w:r>
        <w:rPr>
          <w:rtl w:val="true"/>
        </w:rPr>
        <w:t>" (</w:t>
      </w:r>
      <w:r>
        <w:rPr>
          <w:rtl w:val="true"/>
        </w:rPr>
        <w:t xml:space="preserve">יגאל מרזל </w:t>
      </w:r>
      <w:hyperlink r:id="rId54"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פסלות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שופט</w:t>
        </w:r>
      </w:hyperlink>
      <w:r>
        <w:rPr>
          <w:rtl w:val="true"/>
        </w:rPr>
        <w:t xml:space="preserve"> </w:t>
      </w:r>
      <w:r>
        <w:rPr/>
        <w:t>385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 xml:space="preserve">)). </w:t>
      </w:r>
      <w:r>
        <w:rPr>
          <w:rtl w:val="true"/>
        </w:rPr>
        <w:t xml:space="preserve">אך הודגש כי </w:t>
      </w:r>
      <w:r>
        <w:rPr>
          <w:rtl w:val="true"/>
        </w:rPr>
        <w:t>"</w:t>
      </w:r>
      <w:r>
        <w:rPr>
          <w:rtl w:val="true"/>
        </w:rPr>
        <w:t>נדרשות נסיבות יוצאות דופן על מנת שיהיה מקום לפסילת הרכב שלם בשל עילת פסלות מעין זו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המערערים לא הצביעו על נסיבות יוצאות דופן מסוג זה</w:t>
      </w:r>
      <w:r>
        <w:rPr>
          <w:rtl w:val="true"/>
        </w:rPr>
        <w:t xml:space="preserve">, </w:t>
      </w:r>
      <w:r>
        <w:rPr>
          <w:rtl w:val="true"/>
        </w:rPr>
        <w:t>וכל טענתם נטועה בסברה שבמהלך הדיון בהליך עלולים שופטי ההרכב לחלוק זה עם זה</w:t>
      </w:r>
      <w:r>
        <w:rPr>
          <w:rtl w:val="true"/>
        </w:rPr>
        <w:t xml:space="preserve">, </w:t>
      </w:r>
      <w:r>
        <w:rPr>
          <w:rtl w:val="true"/>
        </w:rPr>
        <w:t>במודע או שלא במודע</w:t>
      </w:r>
      <w:r>
        <w:rPr>
          <w:rtl w:val="true"/>
        </w:rPr>
        <w:t xml:space="preserve">, </w:t>
      </w:r>
      <w:r>
        <w:rPr>
          <w:rtl w:val="true"/>
        </w:rPr>
        <w:t>את המידע הבלתי</w:t>
      </w:r>
      <w:r>
        <w:rPr>
          <w:rtl w:val="true"/>
        </w:rPr>
        <w:t>-</w:t>
      </w:r>
      <w:r>
        <w:rPr>
          <w:rtl w:val="true"/>
        </w:rPr>
        <w:t>קביל שאליו נחשפו</w:t>
      </w:r>
      <w:r>
        <w:rPr>
          <w:rtl w:val="true"/>
        </w:rPr>
        <w:t xml:space="preserve">, </w:t>
      </w:r>
      <w:r>
        <w:rPr>
          <w:rtl w:val="true"/>
        </w:rPr>
        <w:t xml:space="preserve">כך שבמצטבר תיווצר </w:t>
      </w:r>
      <w:r>
        <w:rPr>
          <w:rtl w:val="true"/>
        </w:rPr>
        <w:t>"</w:t>
      </w:r>
      <w:r>
        <w:rPr>
          <w:rtl w:val="true"/>
        </w:rPr>
        <w:t>מסה קריטית</w:t>
      </w:r>
      <w:r>
        <w:rPr>
          <w:rtl w:val="true"/>
        </w:rPr>
        <w:t xml:space="preserve">". </w:t>
      </w:r>
      <w:r>
        <w:rPr>
          <w:rtl w:val="true"/>
        </w:rPr>
        <w:t>כפי שהובהר לעיל</w:t>
      </w:r>
      <w:r>
        <w:rPr>
          <w:rtl w:val="true"/>
        </w:rPr>
        <w:t xml:space="preserve">, </w:t>
      </w:r>
      <w:r>
        <w:rPr>
          <w:rtl w:val="true"/>
        </w:rPr>
        <w:t>אינני סבורה כי הטענות שהועלו מקימות חשש אובייקטיבי ממשי למשוא פנים</w:t>
      </w:r>
      <w:r>
        <w:rPr>
          <w:rtl w:val="true"/>
        </w:rPr>
        <w:t xml:space="preserve">, </w:t>
      </w:r>
      <w:r>
        <w:rPr>
          <w:rtl w:val="true"/>
        </w:rPr>
        <w:t>העשוי להצדיק את פסילתו של שופט</w:t>
      </w:r>
      <w:r>
        <w:rPr>
          <w:rtl w:val="true"/>
        </w:rPr>
        <w:t xml:space="preserve">, </w:t>
      </w:r>
      <w:r>
        <w:rPr>
          <w:rtl w:val="true"/>
        </w:rPr>
        <w:t>לא כל שכן שלושה שופטים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ומבלי להביע עמדה עקרונית באשר לאפשרות שתקום עילת פסלות נגד כל חברי ההרכב כאחד בשל </w:t>
      </w:r>
      <w:r>
        <w:rPr>
          <w:rtl w:val="true"/>
        </w:rPr>
        <w:t>"</w:t>
      </w:r>
      <w:r>
        <w:rPr>
          <w:rtl w:val="true"/>
        </w:rPr>
        <w:t>מסה קריטית מצטברת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"</w:t>
      </w:r>
      <w:r>
        <w:rPr>
          <w:rtl w:val="true"/>
        </w:rPr>
        <w:t>מסה קריטית מצטברת</w:t>
      </w:r>
      <w:r>
        <w:rPr>
          <w:rtl w:val="true"/>
        </w:rPr>
        <w:t xml:space="preserve">" </w:t>
      </w:r>
      <w:r>
        <w:rPr>
          <w:rtl w:val="true"/>
        </w:rPr>
        <w:t>כזו לא הוכחה במקרה דנן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מכל הטעמים שפורטו לעיל</w:t>
      </w:r>
      <w:r>
        <w:rPr>
          <w:rtl w:val="true"/>
        </w:rPr>
        <w:t xml:space="preserve">, </w:t>
      </w:r>
      <w:r>
        <w:rPr>
          <w:rtl w:val="true"/>
        </w:rPr>
        <w:t>אף לא ראיתי מקום להורות על פסילת מי מחברי ההרכב מטעמים של מראית פני הצדק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bookmarkStart w:id="16" w:name="Nitan"/>
      <w:bookmarkStart w:id="17" w:name="Start_Write"/>
      <w:bookmarkStart w:id="18" w:name="Writer_Name"/>
      <w:bookmarkEnd w:id="17"/>
      <w:bookmarkEnd w:id="18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18.11.2021</w:t>
      </w:r>
      <w:r>
        <w:rPr>
          <w:rtl w:val="true"/>
        </w:rPr>
        <w:t xml:space="preserve">). </w:t>
      </w:r>
      <w:bookmarkEnd w:id="16"/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2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</w:t>
      </w:r>
      <w:r>
        <w:rPr>
          <w:rFonts w:cs="Times New Roman"/>
          <w:sz w:val="16"/>
          <w:rtl w:val="true"/>
        </w:rPr>
        <w:t xml:space="preserve"> </w:t>
      </w:r>
      <w:r>
        <w:rPr>
          <w:sz w:val="16"/>
        </w:rPr>
        <w:t>21069090</w:t>
      </w:r>
      <w:r>
        <w:rPr>
          <w:sz w:val="16"/>
          <w:rtl w:val="true"/>
        </w:rPr>
        <w:t>_</w:t>
      </w:r>
      <w:r>
        <w:rPr>
          <w:sz w:val="16"/>
        </w:rPr>
        <w:t>V03.docx</w:t>
      </w:r>
      <w:r>
        <w:rPr>
          <w:sz w:val="16"/>
          <w:rtl w:val="true"/>
        </w:rPr>
        <w:t xml:space="preserve">  </w:t>
      </w:r>
      <w:r>
        <w:rPr>
          <w:sz w:val="16"/>
          <w:sz w:val="16"/>
          <w:rtl w:val="true"/>
        </w:rPr>
        <w:t>רי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hyperlink r:id="rId55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ה א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חיות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54678313-6909/21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7"/>
      <w:footerReference w:type="default" r:id="rId5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Malgun Gothic Semilight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23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6909/21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כטייר עודה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8"/>
        <w:lang w:bidi="he-I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 w:before="240" w:after="60"/>
      <w:outlineLvl w:val="1"/>
    </w:pPr>
    <w:rPr>
      <w:rFonts w:ascii="Calibri Light" w:hAnsi="Calibri Light" w:cs="Times New Roman"/>
      <w:b/>
      <w:bCs/>
      <w:i/>
      <w:iCs/>
      <w:spacing w:val="10"/>
      <w:sz w:val="28"/>
      <w:szCs w:val="28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overflowPunct w:val="true"/>
      <w:autoSpaceDE w:val="true"/>
      <w:bidi w:val="0"/>
      <w:spacing w:before="280" w:after="280"/>
      <w:textAlignment w:val="auto"/>
      <w:outlineLvl w:val="4"/>
    </w:pPr>
    <w:rPr>
      <w:rFonts w:cs="Times New Roman"/>
      <w:b/>
      <w:bCs/>
      <w:szCs w:val="2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FrankRuehl;Times New Roman" w:hAnsi="FrankRuehl;Times New Roman" w:eastAsia="Times New Roman" w:cs="FrankRuehl;Times New Roman"/>
      <w:sz w:val="28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sz w:val="28"/>
      <w:lang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;Malgun Gothic Semilight"/>
    </w:rPr>
  </w:style>
  <w:style w:type="character" w:styleId="CharChar2">
    <w:name w:val=" Char Char2"/>
    <w:qFormat/>
    <w:rPr>
      <w:rFonts w:cs="David;Malgun Gothic Semilight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CharChar5">
    <w:name w:val=" Char Char5"/>
    <w:qFormat/>
    <w:rPr>
      <w:rFonts w:ascii="Calibri Light" w:hAnsi="Calibri Light" w:cs="Calibri Light"/>
      <w:b/>
      <w:bCs/>
      <w:i/>
      <w:iCs/>
      <w:spacing w:val="10"/>
      <w:sz w:val="28"/>
      <w:szCs w:val="28"/>
    </w:rPr>
  </w:style>
  <w:style w:type="character" w:styleId="CharChar4">
    <w:name w:val=" Char Char4"/>
    <w:qFormat/>
    <w:rPr>
      <w:b/>
      <w:bCs/>
    </w:rPr>
  </w:style>
  <w:style w:type="character" w:styleId="Ruller4">
    <w:name w:val="Ruller 4 ממוספר תו"/>
    <w:qFormat/>
    <w:rPr>
      <w:rFonts w:ascii="Garamond" w:hAnsi="Garamond" w:cs="FrankRuehl;Times New Roman"/>
      <w:spacing w:val="10"/>
      <w:sz w:val="24"/>
      <w:szCs w:val="28"/>
    </w:rPr>
  </w:style>
  <w:style w:type="character" w:styleId="CharChar">
    <w:name w:val=" Char Char"/>
    <w:qFormat/>
    <w:rPr>
      <w:rFonts w:ascii="Century" w:hAnsi="Century" w:cs="FrankRuehl;Times New Roman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Ruller41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/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2"/>
      </w:numPr>
    </w:pPr>
    <w:rPr/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big-header">
    <w:name w:val="big-header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ListParagraph">
    <w:name w:val="List Paragraph"/>
    <w:basedOn w:val="Normal"/>
    <w:qFormat/>
    <w:pPr>
      <w:spacing w:lineRule="auto" w:line="360"/>
      <w:ind w:hanging="0" w:start="720" w:end="0"/>
    </w:pPr>
    <w:rPr>
      <w:rFonts w:ascii="Century" w:hAnsi="Century" w:cs="FrankRuehl;Times New Roman"/>
      <w:spacing w:val="10"/>
      <w:szCs w:val="28"/>
    </w:rPr>
  </w:style>
  <w:style w:type="paragraph" w:styleId="FootnoteText">
    <w:name w:val="footnote text"/>
    <w:basedOn w:val="Normal"/>
    <w:pPr>
      <w:spacing w:lineRule="auto" w:line="360"/>
    </w:pPr>
    <w:rPr>
      <w:rFonts w:ascii="Century" w:hAnsi="Century" w:cs="FrankRuehl;Times New Roman"/>
      <w:spacing w:val="10"/>
      <w:szCs w:val="20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;Times New Roman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542386" TargetMode="External"/><Relationship Id="rId3" Type="http://schemas.openxmlformats.org/officeDocument/2006/relationships/hyperlink" Target="http://www.nevo.co.il/law/74903" TargetMode="External"/><Relationship Id="rId4" Type="http://schemas.openxmlformats.org/officeDocument/2006/relationships/hyperlink" Target="http://www.nevo.co.il/law/74903/74" TargetMode="External"/><Relationship Id="rId5" Type="http://schemas.openxmlformats.org/officeDocument/2006/relationships/hyperlink" Target="http://www.nevo.co.il/law/74903/74.c" TargetMode="External"/><Relationship Id="rId6" Type="http://schemas.openxmlformats.org/officeDocument/2006/relationships/hyperlink" Target="http://www.nevo.co.il/law/74903/146.a" TargetMode="External"/><Relationship Id="rId7" Type="http://schemas.openxmlformats.org/officeDocument/2006/relationships/hyperlink" Target="http://www.nevo.co.il/law/74849" TargetMode="External"/><Relationship Id="rId8" Type="http://schemas.openxmlformats.org/officeDocument/2006/relationships/hyperlink" Target="http://www.nevo.co.il/law/74849/77a" TargetMode="External"/><Relationship Id="rId9" Type="http://schemas.openxmlformats.org/officeDocument/2006/relationships/hyperlink" Target="http://www.nevo.co.il/case/23542386" TargetMode="External"/><Relationship Id="rId10" Type="http://schemas.openxmlformats.org/officeDocument/2006/relationships/hyperlink" Target="http://www.nevo.co.il/case/27210784" TargetMode="External"/><Relationship Id="rId11" Type="http://schemas.openxmlformats.org/officeDocument/2006/relationships/hyperlink" Target="http://www.nevo.co.il/case/23820020" TargetMode="External"/><Relationship Id="rId12" Type="http://schemas.openxmlformats.org/officeDocument/2006/relationships/hyperlink" Target="http://www.nevo.co.il/law/74903/74" TargetMode="External"/><Relationship Id="rId13" Type="http://schemas.openxmlformats.org/officeDocument/2006/relationships/hyperlink" Target="http://www.nevo.co.il/law/74903" TargetMode="External"/><Relationship Id="rId14" Type="http://schemas.openxmlformats.org/officeDocument/2006/relationships/hyperlink" Target="http://www.nevo.co.il/case/26258098" TargetMode="External"/><Relationship Id="rId15" Type="http://schemas.openxmlformats.org/officeDocument/2006/relationships/hyperlink" Target="http://www.nevo.co.il/law/74903/146.a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law/74903/74" TargetMode="External"/><Relationship Id="rId18" Type="http://schemas.openxmlformats.org/officeDocument/2006/relationships/hyperlink" Target="http://www.nevo.co.il/law/74903" TargetMode="External"/><Relationship Id="rId19" Type="http://schemas.openxmlformats.org/officeDocument/2006/relationships/hyperlink" Target="http://www.nevo.co.il/case/27351110" TargetMode="External"/><Relationship Id="rId20" Type="http://schemas.openxmlformats.org/officeDocument/2006/relationships/hyperlink" Target="http://www.nevo.co.il/law/74849/77a" TargetMode="External"/><Relationship Id="rId21" Type="http://schemas.openxmlformats.org/officeDocument/2006/relationships/hyperlink" Target="http://www.nevo.co.il/law/74849" TargetMode="External"/><Relationship Id="rId22" Type="http://schemas.openxmlformats.org/officeDocument/2006/relationships/hyperlink" Target="http://www.nevo.co.il/case/25845382" TargetMode="External"/><Relationship Id="rId23" Type="http://schemas.openxmlformats.org/officeDocument/2006/relationships/hyperlink" Target="http://www.nevo.co.il/case/17920008" TargetMode="External"/><Relationship Id="rId24" Type="http://schemas.openxmlformats.org/officeDocument/2006/relationships/hyperlink" Target="http://www.nevo.co.il/case/25998988" TargetMode="External"/><Relationship Id="rId25" Type="http://schemas.openxmlformats.org/officeDocument/2006/relationships/hyperlink" Target="http://www.nevo.co.il/case/27665265" TargetMode="External"/><Relationship Id="rId26" Type="http://schemas.openxmlformats.org/officeDocument/2006/relationships/hyperlink" Target="http://www.nevo.co.il/case/23116752" TargetMode="External"/><Relationship Id="rId27" Type="http://schemas.openxmlformats.org/officeDocument/2006/relationships/hyperlink" Target="http://www.nevo.co.il/case/26818871" TargetMode="External"/><Relationship Id="rId28" Type="http://schemas.openxmlformats.org/officeDocument/2006/relationships/hyperlink" Target="http://www.nevo.co.il/case/27682202" TargetMode="External"/><Relationship Id="rId29" Type="http://schemas.openxmlformats.org/officeDocument/2006/relationships/hyperlink" Target="http://www.nevo.co.il/case/27375889" TargetMode="External"/><Relationship Id="rId30" Type="http://schemas.openxmlformats.org/officeDocument/2006/relationships/hyperlink" Target="http://www.nevo.co.il/case/5868251" TargetMode="External"/><Relationship Id="rId31" Type="http://schemas.openxmlformats.org/officeDocument/2006/relationships/hyperlink" Target="http://www.nevo.co.il/case/17910925" TargetMode="External"/><Relationship Id="rId32" Type="http://schemas.openxmlformats.org/officeDocument/2006/relationships/hyperlink" Target="http://www.nevo.co.il/case/17937871" TargetMode="External"/><Relationship Id="rId33" Type="http://schemas.openxmlformats.org/officeDocument/2006/relationships/hyperlink" Target="http://www.nevo.co.il/case/6081335" TargetMode="External"/><Relationship Id="rId34" Type="http://schemas.openxmlformats.org/officeDocument/2006/relationships/hyperlink" Target="http://www.nevo.co.il/case/27880966" TargetMode="External"/><Relationship Id="rId35" Type="http://schemas.openxmlformats.org/officeDocument/2006/relationships/hyperlink" Target="http://www.nevo.co.il/law/74903/74" TargetMode="External"/><Relationship Id="rId36" Type="http://schemas.openxmlformats.org/officeDocument/2006/relationships/hyperlink" Target="http://www.nevo.co.il/law/74903/74.c" TargetMode="External"/><Relationship Id="rId37" Type="http://schemas.openxmlformats.org/officeDocument/2006/relationships/hyperlink" Target="http://www.nevo.co.il/law/74903" TargetMode="External"/><Relationship Id="rId38" Type="http://schemas.openxmlformats.org/officeDocument/2006/relationships/hyperlink" Target="http://www.nevo.co.il/case/27661691" TargetMode="External"/><Relationship Id="rId39" Type="http://schemas.openxmlformats.org/officeDocument/2006/relationships/hyperlink" Target="http://www.nevo.co.il/case/26895474" TargetMode="External"/><Relationship Id="rId40" Type="http://schemas.openxmlformats.org/officeDocument/2006/relationships/hyperlink" Target="http://www.nevo.co.il/case/27256351" TargetMode="External"/><Relationship Id="rId41" Type="http://schemas.openxmlformats.org/officeDocument/2006/relationships/hyperlink" Target="http://www.nevo.co.il/law/74903/74" TargetMode="External"/><Relationship Id="rId42" Type="http://schemas.openxmlformats.org/officeDocument/2006/relationships/hyperlink" Target="http://www.nevo.co.il/case/27144243" TargetMode="External"/><Relationship Id="rId43" Type="http://schemas.openxmlformats.org/officeDocument/2006/relationships/hyperlink" Target="http://www.nevo.co.il/case/5592089" TargetMode="External"/><Relationship Id="rId44" Type="http://schemas.openxmlformats.org/officeDocument/2006/relationships/hyperlink" Target="http://www.nevo.co.il/case/25014836" TargetMode="External"/><Relationship Id="rId45" Type="http://schemas.openxmlformats.org/officeDocument/2006/relationships/hyperlink" Target="http://www.nevo.co.il/case/27319795" TargetMode="External"/><Relationship Id="rId46" Type="http://schemas.openxmlformats.org/officeDocument/2006/relationships/hyperlink" Target="http://www.nevo.co.il/case/27915744" TargetMode="External"/><Relationship Id="rId47" Type="http://schemas.openxmlformats.org/officeDocument/2006/relationships/hyperlink" Target="http://www.nevo.co.il/law/74903/74.c" TargetMode="External"/><Relationship Id="rId48" Type="http://schemas.openxmlformats.org/officeDocument/2006/relationships/hyperlink" Target="http://www.nevo.co.il/law/74903" TargetMode="External"/><Relationship Id="rId49" Type="http://schemas.openxmlformats.org/officeDocument/2006/relationships/hyperlink" Target="http://www.nevo.co.il/case/27937479" TargetMode="External"/><Relationship Id="rId50" Type="http://schemas.openxmlformats.org/officeDocument/2006/relationships/hyperlink" Target="http://www.nevo.co.il/law/74903/146.a" TargetMode="External"/><Relationship Id="rId51" Type="http://schemas.openxmlformats.org/officeDocument/2006/relationships/hyperlink" Target="http://www.nevo.co.il/law/74903" TargetMode="External"/><Relationship Id="rId52" Type="http://schemas.openxmlformats.org/officeDocument/2006/relationships/hyperlink" Target="http://www.nevo.co.il/case/6103170" TargetMode="External"/><Relationship Id="rId53" Type="http://schemas.openxmlformats.org/officeDocument/2006/relationships/hyperlink" Target="http://www.nevo.co.il/case/24975571" TargetMode="External"/><Relationship Id="rId54" Type="http://schemas.openxmlformats.org/officeDocument/2006/relationships/hyperlink" Target="http://www.nevo.co.il/safrut/bookgroup/2252" TargetMode="External"/><Relationship Id="rId55" Type="http://schemas.openxmlformats.org/officeDocument/2006/relationships/hyperlink" Target="https://supreme.court.gov.il/" TargetMode="External"/><Relationship Id="rId56" Type="http://schemas.openxmlformats.org/officeDocument/2006/relationships/hyperlink" Target="http://www.nevo.co.il/advertisements/nevo-100.doc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2021-11-21T11:20:00Z</dcterms:created>
  <dc:creator>h4</dc:creator>
  <dc:description/>
  <cp:keywords/>
  <dc:language>en-IL</dc:language>
  <cp:lastModifiedBy>orly</cp:lastModifiedBy>
  <cp:lastPrinted>2021-11-18T17:00:00Z</cp:lastPrinted>
  <dcterms:modified xsi:type="dcterms:W3CDTF">2021-11-21T11:20:00Z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כטייר עודה;שרחביל עודה;תייר עינאש;הישאם סדה;אברהים קזמאר;סעיד עודה;מג'דה שמלי;מוג'הד פריג';מחמוד חמדאן;מוחמד בלאלו;אמין ג'אבר;מוחמד עראר;לואי מגארי;איימן ג'אבר;עלי סרייפי;יצחק ברמוחה;מוהנד עיראקי;מוסנה אלשער;אושר סיבוני;מוראד בחירה;חמדאללה עראר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23542386:2;27210784;23820020;26258098;27351110;25845382;17920008;25998988;27665265;23116752;26818871;27682202;27375889;5868251;17910925;17937871;6081335;27880966;27661691;26895474;27256351;27144243;5592089;25014836;27319795;27915744;27937479;6103170</vt:lpwstr>
  </property>
  <property fmtid="{D5CDD505-2E9C-101B-9397-08002B2CF9AE}" pid="9" name="CASESLISTTMP2">
    <vt:lpwstr>24975571</vt:lpwstr>
  </property>
  <property fmtid="{D5CDD505-2E9C-101B-9397-08002B2CF9AE}" pid="10" name="CITY">
    <vt:lpwstr/>
  </property>
  <property fmtid="{D5CDD505-2E9C-101B-9397-08002B2CF9AE}" pid="11" name="DATE">
    <vt:lpwstr>20211118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א' חיות</vt:lpwstr>
  </property>
  <property fmtid="{D5CDD505-2E9C-101B-9397-08002B2CF9AE}" pid="15" name="LAWLISTTMP1">
    <vt:lpwstr>74903/074:4;146.a:2;074.c:2</vt:lpwstr>
  </property>
  <property fmtid="{D5CDD505-2E9C-101B-9397-08002B2CF9AE}" pid="16" name="LAWLISTTMP2">
    <vt:lpwstr>74849/077a</vt:lpwstr>
  </property>
  <property fmtid="{D5CDD505-2E9C-101B-9397-08002B2CF9AE}" pid="17" name="LAWYER">
    <vt:lpwstr>שרית חתוקה;משה שרמן;רצון דרחי;שילה ענבר;ווליד כבוב;שחר חצרוני;יעקב קהן;שי נודל;נס בן נתן;שני מורן;משה יוחאי;אנואר פריג;חיים יצחקי;שי שורר;דוד ליבאי;נעמה אלחדד;שאדי נאטור;עינב יתח;איתי רוזין;שי טובים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BOOKNEVO">
    <vt:lpwstr>2252</vt:lpwstr>
  </property>
  <property fmtid="{D5CDD505-2E9C-101B-9397-08002B2CF9AE}" pid="29" name="NOSE11">
    <vt:lpwstr>בתי-משפט</vt:lpwstr>
  </property>
  <property fmtid="{D5CDD505-2E9C-101B-9397-08002B2CF9AE}" pid="30" name="NOSE110">
    <vt:lpwstr/>
  </property>
  <property fmtid="{D5CDD505-2E9C-101B-9397-08002B2CF9AE}" pid="31" name="NOSE12">
    <vt:lpwstr>בתי-משפט</vt:lpwstr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14;14</vt:lpwstr>
  </property>
  <property fmtid="{D5CDD505-2E9C-101B-9397-08002B2CF9AE}" pid="40" name="NOSE21">
    <vt:lpwstr>פסלות שופט</vt:lpwstr>
  </property>
  <property fmtid="{D5CDD505-2E9C-101B-9397-08002B2CF9AE}" pid="41" name="NOSE210">
    <vt:lpwstr/>
  </property>
  <property fmtid="{D5CDD505-2E9C-101B-9397-08002B2CF9AE}" pid="42" name="NOSE22">
    <vt:lpwstr>פסלות שופט</vt:lpwstr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336;336</vt:lpwstr>
  </property>
  <property fmtid="{D5CDD505-2E9C-101B-9397-08002B2CF9AE}" pid="51" name="NOSE31">
    <vt:lpwstr>חשש ממשי למשוא פנים</vt:lpwstr>
  </property>
  <property fmtid="{D5CDD505-2E9C-101B-9397-08002B2CF9AE}" pid="52" name="NOSE310">
    <vt:lpwstr/>
  </property>
  <property fmtid="{D5CDD505-2E9C-101B-9397-08002B2CF9AE}" pid="53" name="NOSE32">
    <vt:lpwstr>עילות הפסלות</vt:lpwstr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17095;17180</vt:lpwstr>
  </property>
  <property fmtid="{D5CDD505-2E9C-101B-9397-08002B2CF9AE}" pid="62" name="PADIDATE">
    <vt:lpwstr>20211121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6909</vt:lpwstr>
  </property>
  <property fmtid="{D5CDD505-2E9C-101B-9397-08002B2CF9AE}" pid="68" name="PROCYEAR">
    <vt:lpwstr>21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410120211118</vt:lpwstr>
  </property>
  <property fmtid="{D5CDD505-2E9C-101B-9397-08002B2CF9AE}" pid="72" name="TYPE_N_DATE">
    <vt:lpwstr>41020211118</vt:lpwstr>
  </property>
  <property fmtid="{D5CDD505-2E9C-101B-9397-08002B2CF9AE}" pid="73" name="VOLUME">
    <vt:lpwstr/>
  </property>
  <property fmtid="{D5CDD505-2E9C-101B-9397-08002B2CF9AE}" pid="74" name="WORDNUMPAGES">
    <vt:lpwstr>21</vt:lpwstr>
  </property>
</Properties>
</file>