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6918/21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         </w:t>
            </w:r>
            <w:r>
              <w:rPr>
                <w:sz w:val="24"/>
                <w:szCs w:val="24"/>
              </w:rPr>
              <w:t>59196-03-19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21.9.2022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רלי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סבג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6"/>
          <w:szCs w:val="10"/>
        </w:rPr>
      </w:pPr>
      <w:r>
        <w:rPr>
          <w:sz w:val="6"/>
          <w:szCs w:val="10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10"/>
        </w:rPr>
      </w:pPr>
      <w:r>
        <w:rPr>
          <w:rFonts w:cs="FrankRuehl" w:ascii="FrankRuehl" w:hAnsi="FrankRuehl"/>
          <w:sz w:val="24"/>
          <w:szCs w:val="10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405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406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הגנת הפרטיות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9" w:name="ABSTRACT_START"/>
      <w:bookmarkStart w:id="10" w:name="_Hlk122509403"/>
      <w:bookmarkEnd w:id="9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סחיטה באיומים היא עבירה המצדיקה הטלת עונשים מחמירים ללא פשרות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זו מסבה פגיעה חמורה במרקם חיי הנסחטים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כאשר חומרתה היתרה מוצאת ביטוי גם בעובדה שקיים בה ממד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קשר שתיקה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המונע מנפגעי העבירה לפנות לעזרת רשויות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מחשש למימוש איומי הסחיטה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חשש זה מתעצם כשבבסיס הסחיטה עומד איום בחשיפת מידע אינטימי בעל אופי 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הנדון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לקבל את טענת המערער לפיה הוא זכאי להקלה משמעותית בעונשו בשל כך שפעל כמעין לוכד עברייני מין במינוי עצמי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משנמצא כי פעל בעיקר מבצע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המאסר הממושך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ולאור 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נכון היה שלא להוסיף אליו במצטבר את המאסרים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שהופעלו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סחיטה באיומים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עונש –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גזר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במסגרתו הושתו על המערער 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הפעלה של מאסרים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כך שסה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 נגזר עליו לרצות בין כותלי הכלא </w:t>
      </w:r>
      <w:r>
        <w:rPr>
          <w:rFonts w:cs="Times New Roman" w:ascii="Times New Roman" w:hAnsi="Times New Roman"/>
          <w:spacing w:val="0"/>
          <w:szCs w:val="26"/>
        </w:rPr>
        <w:t>11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בגין 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 הודאתו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בסדרת מעשי סחיטה באיומים שבוצעו באופן שיטתי כלפי מספר רב של אנשים ובכמה עבירות נלוות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שגה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בהחליטו להטיל עליו עונש חמור מבלי שנתן משקל לנסיבותיו המיוחדות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שעיקרן תפיסת פדופילים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קיבל את הערעור באופן חלקי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6861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ערעור אינה נוהגת להתערב בעונש שהוטל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בנסיבות בהן גזר הדין מגלה סטייה ניכרת ממדיניות הענישה הנוהגת או במקרים חריגים בהם נפלה טעות מהותית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הדברים נכונים ביתר שאת במקרים כמו זה שבנדון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עונש המאסר שהושת על המערער לא חורג מהרף העליון לגביו הסכימו הצדדים להסדר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כי מכלול נסיבות המקרה מוביל למסקנה שהפעלת כל המאסרים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לריצוי במצטבר מחמירה עם המערער יתר על המידה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למרות שטיעוני המערער עסקו ברובם במוסריות ובחוקיות מעשיהם של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בהם קא עסקינן אלא במערער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אם אכן דבק אשם פלילי במעשי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שלצורך בחינת הדברים קיימים הליכים מתאימים הקבועים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המקום לדון ולהכריע באחריותם הפלילית של המתלוננים איננו 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הליך הערעור על גזר דינו של המערער לא נועד למטרה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בדבר אכיפה בררנית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דינה להידחות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אכיפה בררנית היא אכיפה הפוגעת בשוויון בין שווים כאשר הדבר נעשה למטרה פסולה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שרירות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לב או על בסיס שיקולים שלא ממין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שלנו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 בהם הורשע המערער והמעשים אותם הוא מיחס למתלוננים אינם אותם מעשים ואין מדובר בעבירות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 האכיפה הבררנית שבפי המערער לא יכולה אפוא לעמוד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התחשב בטענה זו במעט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ובנסיבות אלו לא נמצא להוסיף על התחשבות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בפסקי דין רבים עמד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על חומרתה וכיעורה של סחיטה באיומים – עבירה המצדיקה הטלת עונשים מחמירים ללא הקלות ופשרות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 זו מסבה פגיעה חמורה במרקם חייהם של הנסחטים – במישור האישי והכלכלי כאחד – כאשר הסוחט עושה דין לעצמו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גוזל את כספו ואת רכושו של הקורבן ופוגע בחירותו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חומרתה היתרה של העבירה מוצאת ביטוי נוסף בעובדה שקיים בה ממד ייחודי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קשר שתיקה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המונע מנפגעי העבירה לפנות לעזרתן של רשויות אכיפת החוק – </w:t>
      </w:r>
      <w:bookmarkStart w:id="11" w:name="_Hlk122510174"/>
      <w:r>
        <w:rPr>
          <w:rFonts w:ascii="Times New Roman" w:hAnsi="Times New Roman" w:cs="Times New Roman"/>
          <w:spacing w:val="0"/>
          <w:szCs w:val="26"/>
          <w:rtl w:val="true"/>
        </w:rPr>
        <w:t>וזאת מחשש למימוש איומי הסחיטה</w:t>
      </w:r>
      <w:bookmarkEnd w:id="11"/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חשש זה הולך ומתעצם כאשר בבסיס הסחיטה עומד איום בחשיפת מידע אינטימי בעל אופי מיני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קורבן הסחיטה סופג פגיעה קשה בצנעת הפרט ובאוטונומיה האישית שלו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פעל בשיטה ערמומית מתוכננת היטב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במניפולטיביות ובנחישות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מנת ליצור הזדמנות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פז לסחוט את המתלוננים ולהעמידם במצב בו חשיפת הסחיטה היא כמעט בלתי אפשרית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המקרים המערער הציג את דמותו הבדיונית בתחילת ההתקשרות כבגיר ורק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לעיתים זמן קצר ביותר לפני המפגש עם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היה מציין שלמעשה הוא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המפגש המערער הציג עצמו כבעל שררה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הראה בקיאות בחייהם הפרטיים של המתלוננים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 שמות של בני משפחתם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ודרס ברגל גסה את פרטיותם וכבודם של המתלוננים בכך שערך חיפושים בטלפונים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ברכביהם ובבתיהם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לקח מהם כספים שמצא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ולעיתים אף דחק בהם לקחת הלוואות מהבנק כדי לשלם את כספי הסחיטה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סירב אחד המתלוננים לסחיטה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מימש המערער את האיום ושלח הודעות מאיימות ואת התכתבויותיו עם המתלונן לאשתו של המתלונן וגם במעשים אלה יש חומרה 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נחישות המערער לטמון למתלוננים פח באה לידי ביטוי בשלושה מקרים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בהם סירבו המתלוננים מפורשות למפגש מיני עם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אחד ממקרים אלה יצר המערער תחבולה או אמתלת שווא שהובילו למפגש עם המתלונן ולסחיטה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לקבל את טענת המערער לפיה הוא זכאי להקלה משמעותית בעונשו בשל כך שפעל כמעין </w:t>
      </w:r>
      <w:r>
        <w:rPr>
          <w:rFonts w:cs="Times New Roman" w:ascii="Times New Roman" w:hAnsi="Times New Roman"/>
          <w:spacing w:val="0"/>
          <w:szCs w:val="26"/>
        </w:rPr>
        <w:t>vigilante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לוכד עברייני מין במינוי עצמי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במהלך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טרח המערער למסור את שמות המתלוננים למשטרה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ולמעשה במובן מסוים אף אִפשר להם לחמוק מעונש ולהמשיך במעשיהם ללא הפרעה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 מלמדות על כך שהמערער פעל בעיקר מתוך 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כיום מבקש המערער לחשוף את שמות המתלוננים ולהעמידם לדין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אף בקשה זו – כך נראה – אינה מונעת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רדיפת הצדק למען הצדק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בקשה זו מונעת בעיקרה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רצון המערער להעתיק את 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לפחות חלקה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שכבר צוין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שאלת אשמתם של המתלוננים צריכה להתברר במסגרת שנועדה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במשטרה ובפרקליטות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ההליך הנוכחי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להתמקד במעשיו הפליליים של המערער ובעונשו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לשעות לטענת המערער כי פעל מתוך נקם בשל פגיעה קשה שחווה בעברו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בטענה שלא נטענה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במהלך הטיעונים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 ועיקר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אפילו היה מדובר בטענה מבוססת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בה כדי לסייע למערער אחרי שידענו כי פעל בתחכום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בעורמה ובנחישות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בצע כסף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6861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 המערער אכן נוטה לחומרא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המספר הגדול של הקורבנות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סכומי הכסף הגבוהים שסחט מהם המערער במשך תקופה ארוכה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תחכומה של התכנית העבריינית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נחישות המערער להוציאה לפועל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הנזקים הממשיים שנגרמו למתלוננים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עברו הפלילי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והעובדה כי המערער לא שינה את דרכיו חרף ההליכים הטיפוליים – כל אלו מצדיקים את העונש מושא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המאסר הממושך שהושת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ולאור 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כי נכון היה שלא להוסיף אליו את המאסרים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לתקופות קצרות שהיו תלויים ועומדים נגדו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על כן נמצא לקבוע כי עונשי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ירוצו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המערער בחופף למאסר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2" w:name="ABSTRACT_END"/>
      <w:bookmarkStart w:id="13" w:name="ABSTRACT_END"/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8"/>
          <w:szCs w:val="14"/>
        </w:rPr>
      </w:pPr>
      <w:r>
        <w:rPr>
          <w:sz w:val="8"/>
          <w:szCs w:val="1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18"/>
          <w:szCs w:val="24"/>
          <w:u w:val="single"/>
        </w:rPr>
      </w:pPr>
      <w:r>
        <w:rPr>
          <w:rFonts w:cs="Miriam"/>
          <w:sz w:val="18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לפנינו ערעור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ברנט</w:t>
      </w:r>
      <w:r>
        <w:rPr>
          <w:rtl w:val="true"/>
        </w:rPr>
        <w:t xml:space="preserve">) </w:t>
      </w:r>
      <w:r>
        <w:rPr>
          <w:rtl w:val="true"/>
        </w:rPr>
        <w:t xml:space="preserve">אשר ניתן ביום </w:t>
      </w:r>
      <w:r>
        <w:rPr/>
        <w:t>9.9.2021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59196-03-19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במסגרתו הושתו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, </w:t>
      </w:r>
      <w:r>
        <w:rPr>
          <w:rtl w:val="true"/>
        </w:rPr>
        <w:t>וכן הפעלה של מאסרים על</w:t>
      </w:r>
      <w:r>
        <w:rPr>
          <w:rtl w:val="true"/>
        </w:rPr>
        <w:t>-</w:t>
      </w:r>
      <w:r>
        <w:rPr>
          <w:rtl w:val="true"/>
        </w:rPr>
        <w:t xml:space="preserve">תנאי כך שסך הכל נגזר עליו לרצות בין כותלי הכלא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27.1.2021</w:t>
      </w:r>
      <w:r>
        <w:rPr>
          <w:rtl w:val="true"/>
        </w:rPr>
        <w:t xml:space="preserve"> </w:t>
      </w:r>
      <w:r>
        <w:rPr>
          <w:rtl w:val="true"/>
        </w:rPr>
        <w:t>הורשע המערער</w:t>
      </w:r>
      <w:r>
        <w:rPr>
          <w:rtl w:val="true"/>
        </w:rPr>
        <w:t xml:space="preserve">, </w:t>
      </w:r>
      <w:r>
        <w:rPr>
          <w:rtl w:val="true"/>
        </w:rPr>
        <w:t>על יסוד הודאתו בכתב אישום מתוקן במסגרת הסדר טיעון</w:t>
      </w:r>
      <w:r>
        <w:rPr>
          <w:rtl w:val="true"/>
        </w:rPr>
        <w:t xml:space="preserve">, </w:t>
      </w:r>
      <w:r>
        <w:rPr>
          <w:rtl w:val="true"/>
        </w:rPr>
        <w:t>בסדרת מעשי סחיטה באיומים אשר בוצעו באופן שיטתי כלפי מספר רב של אנשים ובכמה עבירות נלוות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הסדר הטיעון הוסכם בין הצדדים כי המדינה תעתור לעונש של מאסר בפועל לתקופה של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ואילו ההגנה תהיה חופשית בטיעוניה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פעל המערער בתקופה שבין חודש אוקטובר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 xml:space="preserve">לחודש פברואר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 xml:space="preserve">כדי לסחוט כספים מגברים שונים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בשיטה קבועה כפי שיפורט להלן</w:t>
      </w:r>
      <w:r>
        <w:rPr>
          <w:rtl w:val="true"/>
        </w:rPr>
        <w:t xml:space="preserve">. </w:t>
      </w:r>
      <w:r>
        <w:rPr>
          <w:rtl w:val="true"/>
        </w:rPr>
        <w:t xml:space="preserve">תחילה הציג את עצמו המערער באתרים ציבוריים להתכתבויות באינטרנט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טים</w:t>
      </w:r>
      <w:r>
        <w:rPr>
          <w:rtl w:val="true"/>
        </w:rPr>
        <w:t xml:space="preserve">) </w:t>
      </w:r>
      <w:r>
        <w:rPr>
          <w:rtl w:val="true"/>
        </w:rPr>
        <w:t>באמצעות דמות פיקטיבי</w:t>
      </w:r>
      <w:r>
        <w:rPr>
          <w:rtl w:val="true"/>
        </w:rPr>
        <w:t>ת</w:t>
      </w:r>
      <w:r>
        <w:rPr>
          <w:rtl w:val="true"/>
        </w:rPr>
        <w:t xml:space="preserve"> של בגיר או בגירה צעירים ויצר קשר עם גבר כלשהו</w:t>
      </w:r>
      <w:r>
        <w:rPr>
          <w:rtl w:val="true"/>
        </w:rPr>
        <w:t xml:space="preserve">. </w:t>
      </w:r>
      <w:r>
        <w:rPr>
          <w:rtl w:val="true"/>
        </w:rPr>
        <w:t>המערער והגבר החליפו ביניה</w:t>
      </w:r>
      <w:r>
        <w:rPr>
          <w:rtl w:val="true"/>
        </w:rPr>
        <w:t>ם</w:t>
      </w:r>
      <w:r>
        <w:rPr>
          <w:rtl w:val="true"/>
        </w:rPr>
        <w:t xml:space="preserve"> מספרי טלפון ועברו להתכתבות באמצעות אפליקציית ווטסאפ שנשאה אופי מיני</w:t>
      </w:r>
      <w:r>
        <w:rPr>
          <w:rtl w:val="true"/>
        </w:rPr>
        <w:t xml:space="preserve">, </w:t>
      </w:r>
      <w:r>
        <w:rPr>
          <w:rtl w:val="true"/>
        </w:rPr>
        <w:t>כאשר המערער הביע עניין לקיים יחסי מין עם הגבר</w:t>
      </w:r>
      <w:r>
        <w:rPr>
          <w:rtl w:val="true"/>
        </w:rPr>
        <w:t xml:space="preserve">, </w:t>
      </w:r>
      <w:r>
        <w:rPr>
          <w:rtl w:val="true"/>
        </w:rPr>
        <w:t>לעיתים בתמורה לקבלת תשלום</w:t>
      </w:r>
      <w:r>
        <w:rPr>
          <w:rtl w:val="true"/>
        </w:rPr>
        <w:t xml:space="preserve">. </w:t>
      </w:r>
      <w:r>
        <w:rPr>
          <w:rtl w:val="true"/>
        </w:rPr>
        <w:t>בהמשך קבע המערער עם הגבר נקודת מפגש וזאת לצורך קיום יחסי מין</w:t>
      </w:r>
      <w:r>
        <w:rPr>
          <w:rtl w:val="true"/>
        </w:rPr>
        <w:t xml:space="preserve">. </w:t>
      </w:r>
      <w:r>
        <w:rPr>
          <w:rtl w:val="true"/>
        </w:rPr>
        <w:t>בחלק מהמקרים</w:t>
      </w:r>
      <w:r>
        <w:rPr>
          <w:rtl w:val="true"/>
        </w:rPr>
        <w:t xml:space="preserve">, </w:t>
      </w:r>
      <w:r>
        <w:rPr>
          <w:rtl w:val="true"/>
        </w:rPr>
        <w:t>במהלך ההתכתבות</w:t>
      </w:r>
      <w:r>
        <w:rPr>
          <w:rtl w:val="true"/>
        </w:rPr>
        <w:t xml:space="preserve">, </w:t>
      </w:r>
      <w:r>
        <w:rPr>
          <w:rtl w:val="true"/>
        </w:rPr>
        <w:t>ולעיתים דקות ספורות לפני המפגש</w:t>
      </w:r>
      <w:r>
        <w:rPr>
          <w:rtl w:val="true"/>
        </w:rPr>
        <w:t xml:space="preserve">, </w:t>
      </w:r>
      <w:r>
        <w:rPr>
          <w:rtl w:val="true"/>
        </w:rPr>
        <w:t>מסר המערער כי גילה של דמותו הפיקטיבי</w:t>
      </w:r>
      <w:r>
        <w:rPr>
          <w:rtl w:val="true"/>
        </w:rPr>
        <w:t>ת</w:t>
      </w:r>
      <w:r>
        <w:rPr>
          <w:rtl w:val="true"/>
        </w:rPr>
        <w:t xml:space="preserve"> הוא למעשה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15.5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בהגיעו של הגבר למקום המפגש</w:t>
      </w:r>
      <w:r>
        <w:rPr>
          <w:rtl w:val="true"/>
        </w:rPr>
        <w:t xml:space="preserve">, </w:t>
      </w:r>
      <w:r>
        <w:rPr>
          <w:rtl w:val="true"/>
        </w:rPr>
        <w:t>המערער היה מגיח מולו ומציג את עצמו כשוטר או כעובד במשרד העוסק באיתור פדופילים</w:t>
      </w:r>
      <w:r>
        <w:rPr>
          <w:rtl w:val="true"/>
        </w:rPr>
        <w:t xml:space="preserve">; </w:t>
      </w:r>
      <w:r>
        <w:rPr>
          <w:rtl w:val="true"/>
        </w:rPr>
        <w:t xml:space="preserve">מספר לגבר כי הוא </w:t>
      </w:r>
      <w:r>
        <w:rPr>
          <w:rtl w:val="true"/>
        </w:rPr>
        <w:t>"</w:t>
      </w:r>
      <w:r>
        <w:rPr>
          <w:rtl w:val="true"/>
        </w:rPr>
        <w:t>נתפס</w:t>
      </w:r>
      <w:r>
        <w:rPr>
          <w:rtl w:val="true"/>
        </w:rPr>
        <w:t xml:space="preserve">"; </w:t>
      </w:r>
      <w:r>
        <w:rPr>
          <w:rtl w:val="true"/>
        </w:rPr>
        <w:t>כי כל התקשורת ביניהם מתועדת</w:t>
      </w:r>
      <w:r>
        <w:rPr>
          <w:rtl w:val="true"/>
        </w:rPr>
        <w:t xml:space="preserve">, </w:t>
      </w:r>
      <w:r>
        <w:rPr>
          <w:rtl w:val="true"/>
        </w:rPr>
        <w:t>לרבות רצונו לקיים יחסי מין עם קטין</w:t>
      </w:r>
      <w:r>
        <w:rPr>
          <w:rtl w:val="true"/>
        </w:rPr>
        <w:t xml:space="preserve">; </w:t>
      </w:r>
      <w:r>
        <w:rPr>
          <w:rtl w:val="true"/>
        </w:rPr>
        <w:t>ומוסר כי מידע זה יפורסם ברשתות חברתיות ויעבור לטיפול המשטרה</w:t>
      </w:r>
      <w:r>
        <w:rPr>
          <w:rtl w:val="true"/>
        </w:rPr>
        <w:t xml:space="preserve">. </w:t>
      </w:r>
      <w:r>
        <w:rPr>
          <w:rtl w:val="true"/>
        </w:rPr>
        <w:t>במקביל השים עצמו המערער כאילו הוא מדבר במכשיר הטלפון הנייד עם המשרד</w:t>
      </w:r>
      <w:r>
        <w:rPr>
          <w:rtl w:val="true"/>
        </w:rPr>
        <w:t xml:space="preserve">, </w:t>
      </w:r>
      <w:r>
        <w:rPr>
          <w:rtl w:val="true"/>
        </w:rPr>
        <w:t>מבקש מאנשי המשרד להשהות את הפרסום ואת הזמנת המשטרה ופעל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כדי לשכנע את המשרד לתת לגבר מוצא מההסתבכות הצפויה לו</w:t>
      </w:r>
      <w:r>
        <w:rPr>
          <w:rtl w:val="true"/>
        </w:rPr>
        <w:t xml:space="preserve">. </w:t>
      </w:r>
      <w:r>
        <w:rPr>
          <w:rtl w:val="true"/>
        </w:rPr>
        <w:t>אז הציע המערער לגבר כי המקרה לא יפורסם ולא יועבר לטיפול משטרתי</w:t>
      </w:r>
      <w:r>
        <w:rPr>
          <w:rtl w:val="true"/>
        </w:rPr>
        <w:t xml:space="preserve">, </w:t>
      </w:r>
      <w:r>
        <w:rPr>
          <w:rtl w:val="true"/>
        </w:rPr>
        <w:t>וזאת בתמורה להתחייבות של הגבר לא ליצור עוד קשר מיני עם קטינים וכן למתן תרומה של סכום כסף</w:t>
      </w:r>
      <w:r>
        <w:rPr>
          <w:rtl w:val="true"/>
        </w:rPr>
        <w:t xml:space="preserve">, </w:t>
      </w:r>
      <w:r>
        <w:rPr>
          <w:rtl w:val="true"/>
        </w:rPr>
        <w:t xml:space="preserve">בסך עשרות אלפי שקלים אשר המערער טען שמיועדים עבור מחלקה אונקולוגית באחד מבתי החולים בארץ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התרומה</w:t>
      </w:r>
      <w:r>
        <w:rPr>
          <w:rtl w:val="true"/>
        </w:rPr>
        <w:t xml:space="preserve">). </w:t>
      </w:r>
      <w:r>
        <w:rPr>
          <w:rtl w:val="true"/>
        </w:rPr>
        <w:t>כן היה המערער דורש מהגבר כי יאפשר לו לערוך חיפוש במכשיר הנייד</w:t>
      </w:r>
      <w:r>
        <w:rPr>
          <w:rtl w:val="true"/>
        </w:rPr>
        <w:t xml:space="preserve">, </w:t>
      </w:r>
      <w:r>
        <w:rPr>
          <w:rtl w:val="true"/>
        </w:rPr>
        <w:t>ברכבו או בביתו כדי לוודא כי אין בנמצא חומר פדופילי או סמים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דחק המערער בגברים להעביר לו את התרומה בכמה דרכים אפשריות שכללו מסירת מזומן</w:t>
      </w:r>
      <w:r>
        <w:rPr>
          <w:rtl w:val="true"/>
        </w:rPr>
        <w:t xml:space="preserve">, </w:t>
      </w:r>
      <w:r>
        <w:rPr>
          <w:rtl w:val="true"/>
        </w:rPr>
        <w:t xml:space="preserve">העברת כספים מיידית באמצעות יישומון </w:t>
      </w:r>
      <w:r>
        <w:rPr>
          <w:rtl w:val="true"/>
        </w:rPr>
        <w:t>(</w:t>
      </w:r>
      <w:r>
        <w:rPr>
          <w:rtl w:val="true"/>
        </w:rPr>
        <w:t>אפליקציה</w:t>
      </w:r>
      <w:r>
        <w:rPr>
          <w:rtl w:val="true"/>
        </w:rPr>
        <w:t xml:space="preserve">) </w:t>
      </w:r>
      <w:r>
        <w:rPr>
          <w:rtl w:val="true"/>
        </w:rPr>
        <w:t>וכן ליווי הגבר לכספומט לצורך משיכת מזומן ומסירתו לידי המערער</w:t>
      </w:r>
      <w:r>
        <w:rPr>
          <w:rtl w:val="true"/>
        </w:rPr>
        <w:t xml:space="preserve">. </w:t>
      </w:r>
      <w:r>
        <w:rPr>
          <w:rtl w:val="true"/>
        </w:rPr>
        <w:t>במקרים בהם הסחיטה הצליחה</w:t>
      </w:r>
      <w:r>
        <w:rPr>
          <w:rtl w:val="true"/>
        </w:rPr>
        <w:t xml:space="preserve">, </w:t>
      </w:r>
      <w:r>
        <w:rPr>
          <w:rtl w:val="true"/>
        </w:rPr>
        <w:t>הכסף נמסר למערער או הועבר לחשבון אותו מסר המערער</w:t>
      </w:r>
      <w:r>
        <w:rPr>
          <w:rtl w:val="true"/>
        </w:rPr>
        <w:t xml:space="preserve">, </w:t>
      </w:r>
      <w:r>
        <w:rPr>
          <w:rtl w:val="true"/>
        </w:rPr>
        <w:t>כאשר בחלק מהמקרים הכסף הועבר ישירות לבעלי תחנות טוטו</w:t>
      </w:r>
      <w:r>
        <w:rPr>
          <w:rtl w:val="true"/>
        </w:rPr>
        <w:t>-</w:t>
      </w:r>
      <w:r>
        <w:rPr>
          <w:rtl w:val="true"/>
        </w:rPr>
        <w:t>ווינר שבהן הימר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באמצעות שיטה זו סחט המערער מהמתלוננים סכום כולל של </w:t>
      </w:r>
      <w:r>
        <w:rPr/>
        <w:t>713,000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/>
        <w:t>53,100</w:t>
      </w:r>
      <w:r>
        <w:rPr>
          <w:rtl w:val="true"/>
        </w:rPr>
        <w:t xml:space="preserve"> </w:t>
      </w:r>
      <w:r>
        <w:rPr>
          <w:rtl w:val="true"/>
        </w:rPr>
        <w:t>דולר 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יורו</w:t>
      </w:r>
      <w:r>
        <w:rPr>
          <w:rtl w:val="true"/>
        </w:rPr>
        <w:t xml:space="preserve">, </w:t>
      </w:r>
      <w:r>
        <w:rPr>
          <w:rtl w:val="true"/>
        </w:rPr>
        <w:t>תכשיטים שונים ושני מכשירי טלפון נייד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בשל מעשי העבירה האמורים והעבירות הנלוות</w:t>
      </w:r>
      <w:r>
        <w:rPr>
          <w:rtl w:val="true"/>
        </w:rPr>
        <w:t xml:space="preserve">, </w:t>
      </w:r>
      <w:r>
        <w:rPr>
          <w:rtl w:val="true"/>
        </w:rPr>
        <w:t>הורשע המערער בסחיטה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 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>סחיטה באיומים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לחוק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>התפרצות וגניבה ממקום מגורים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405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 xml:space="preserve">פגיעה בפרטיות </w:t>
      </w:r>
      <w:r>
        <w:rPr>
          <w:rtl w:val="true"/>
        </w:rPr>
        <w:t>(</w:t>
      </w:r>
      <w:r>
        <w:rPr>
          <w:rtl w:val="true"/>
        </w:rPr>
        <w:t>הטרדה אחרת</w:t>
      </w:r>
      <w:r>
        <w:rPr>
          <w:rtl w:val="true"/>
        </w:rPr>
        <w:t xml:space="preserve">),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</w:rPr>
          <w:t>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(</w:t>
      </w:r>
      <w:r>
        <w:rPr>
          <w:rtl w:val="true"/>
        </w:rPr>
        <w:t>ריבוי עבירות</w:t>
      </w:r>
      <w:r>
        <w:rPr>
          <w:rtl w:val="true"/>
        </w:rPr>
        <w:t xml:space="preserve">); </w:t>
      </w:r>
      <w:r>
        <w:rPr>
          <w:rtl w:val="true"/>
        </w:rPr>
        <w:t>ונהיגה ללא רישיון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הדין עמד בית המשפט המחוזי על חומרת העבירות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>וקבע כי במעשיו פגע</w:t>
      </w:r>
      <w:r>
        <w:rPr>
          <w:rtl w:val="true"/>
        </w:rPr>
        <w:t xml:space="preserve">, </w:t>
      </w:r>
      <w:r>
        <w:rPr>
          <w:rtl w:val="true"/>
        </w:rPr>
        <w:t>באופן קשה ביותר</w:t>
      </w:r>
      <w:r>
        <w:rPr>
          <w:rtl w:val="true"/>
        </w:rPr>
        <w:t xml:space="preserve">, </w:t>
      </w:r>
      <w:r>
        <w:rPr>
          <w:rtl w:val="true"/>
        </w:rPr>
        <w:t>בערכים החברתיים המוגנים אשר כוללים את שלוותו הנפשית של הקורבן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חירותו והאוטונומי</w:t>
      </w:r>
      <w:r>
        <w:rPr>
          <w:rtl w:val="true"/>
        </w:rPr>
        <w:t>ה</w:t>
      </w:r>
      <w:r>
        <w:rPr>
          <w:rtl w:val="true"/>
        </w:rPr>
        <w:t xml:space="preserve"> הפרטית שלו</w:t>
      </w:r>
      <w:r>
        <w:rPr>
          <w:rtl w:val="true"/>
        </w:rPr>
        <w:t xml:space="preserve">. </w:t>
      </w:r>
      <w:r>
        <w:rPr>
          <w:rtl w:val="true"/>
        </w:rPr>
        <w:t>עוד נקבע כי מעשי המערער פגעו ביסודות החברה ושלטון החוק ומחייבים ענישה הולמת</w:t>
      </w:r>
      <w:r>
        <w:rPr>
          <w:rtl w:val="true"/>
        </w:rPr>
        <w:t xml:space="preserve">. </w:t>
      </w:r>
      <w:r>
        <w:rPr>
          <w:rtl w:val="true"/>
        </w:rPr>
        <w:t>בנוסף נקבע כי מעשיו של המערער מהווים אירוע אחד שכן מדובר בתכנית עבריינית כוללת אשר הוצאה אל הפועל באופן שיטתי כלפי המתלוננים</w:t>
      </w:r>
      <w:r>
        <w:rPr>
          <w:rtl w:val="true"/>
        </w:rPr>
        <w:t xml:space="preserve">. </w:t>
      </w:r>
      <w:r>
        <w:rPr>
          <w:rtl w:val="true"/>
        </w:rPr>
        <w:t>לאחר שסקר את הפסיקה שעניינה ענישה נוהגת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ההולם בעניינו של המערער 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באשר לנסיבות בהן ביצע המערער את מעשיו הפליליים </w:t>
      </w:r>
      <w:r>
        <w:rPr>
          <w:rtl w:val="true"/>
        </w:rPr>
        <w:t>–</w:t>
      </w:r>
      <w:r>
        <w:rPr>
          <w:rtl w:val="true"/>
        </w:rPr>
        <w:t xml:space="preserve"> התייחס בית המשפט לכך שמעשיו אלו של המערער נמשכו זמן רב </w:t>
      </w:r>
      <w:r>
        <w:rPr>
          <w:rtl w:val="true"/>
        </w:rPr>
        <w:t>–</w:t>
      </w:r>
      <w:r>
        <w:rPr>
          <w:rtl w:val="true"/>
        </w:rPr>
        <w:t xml:space="preserve"> בין השנים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לאורך שנתיים וארבעה חודשים</w:t>
      </w:r>
      <w:r>
        <w:rPr>
          <w:rtl w:val="true"/>
        </w:rPr>
        <w:t xml:space="preserve">. </w:t>
      </w:r>
      <w:r>
        <w:rPr>
          <w:rtl w:val="true"/>
        </w:rPr>
        <w:t>כן ניתן משקל לעברו הפלילי המכביד של המערער אשר כולל ארבע הרשעות בגין עבירות סחיטה באיומים</w:t>
      </w:r>
      <w:r>
        <w:rPr>
          <w:rtl w:val="true"/>
        </w:rPr>
        <w:t xml:space="preserve">, </w:t>
      </w:r>
      <w:r>
        <w:rPr>
          <w:rtl w:val="true"/>
        </w:rPr>
        <w:t>הטרדה באמצעות מתקן בזק וגניבה</w:t>
      </w:r>
      <w:r>
        <w:rPr>
          <w:rtl w:val="true"/>
        </w:rPr>
        <w:t xml:space="preserve">. </w:t>
      </w:r>
      <w:r>
        <w:rPr>
          <w:rtl w:val="true"/>
        </w:rPr>
        <w:t>כן ניתן משקל לכך שבזמן שהמערער עמד לדין בגין העבירות הנוספות</w:t>
      </w:r>
      <w:r>
        <w:rPr>
          <w:rtl w:val="true"/>
        </w:rPr>
        <w:t xml:space="preserve">, </w:t>
      </w:r>
      <w:r>
        <w:rPr>
          <w:rtl w:val="true"/>
        </w:rPr>
        <w:t>הוא ביצע את העבירות מושא הדיון הנוכחי</w:t>
      </w:r>
      <w:r>
        <w:rPr>
          <w:rtl w:val="true"/>
        </w:rPr>
        <w:t xml:space="preserve">, </w:t>
      </w:r>
      <w:r>
        <w:rPr>
          <w:rtl w:val="true"/>
        </w:rPr>
        <w:t>תוך שהוא מצהיר לבית המשפט כי הוא מטפל בעצמו ועובר שיקום</w:t>
      </w:r>
      <w:r>
        <w:rPr>
          <w:rtl w:val="true"/>
        </w:rPr>
        <w:t xml:space="preserve">. </w:t>
      </w:r>
      <w:r>
        <w:rPr>
          <w:rtl w:val="true"/>
        </w:rPr>
        <w:t>חלק מהעבירות מושא הדיון הנוכחי אף בוצעו כאשר המערער נמצא תחת צו שירות מבחן</w:t>
      </w:r>
      <w:r>
        <w:rPr>
          <w:rtl w:val="true"/>
        </w:rPr>
        <w:t xml:space="preserve">. </w:t>
      </w:r>
      <w:r>
        <w:rPr>
          <w:rtl w:val="true"/>
        </w:rPr>
        <w:t>כמו כן נקבע כי יש לתת משקל מסוים להתנהלותם של המתלוננים</w:t>
      </w:r>
      <w:r>
        <w:rPr>
          <w:rtl w:val="true"/>
        </w:rPr>
        <w:t xml:space="preserve">. </w:t>
      </w:r>
      <w:r>
        <w:rPr>
          <w:rtl w:val="true"/>
        </w:rPr>
        <w:t>בהתחשב בשיקולים אלה</w:t>
      </w:r>
      <w:r>
        <w:rPr>
          <w:rtl w:val="true"/>
        </w:rPr>
        <w:t xml:space="preserve">, </w:t>
      </w:r>
      <w:r>
        <w:rPr>
          <w:rtl w:val="true"/>
        </w:rPr>
        <w:t>נקבע כי נכון יהיה למקם את עונשו של המערער בחלקו האמצעי של המתחם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הדגיש כי למרות שהמערער הכתיר את עצמו בשם </w:t>
      </w:r>
      <w:r>
        <w:rPr>
          <w:rtl w:val="true"/>
        </w:rPr>
        <w:t>"</w:t>
      </w:r>
      <w:r>
        <w:rPr>
          <w:rtl w:val="true"/>
        </w:rPr>
        <w:t>לוכד הפדופילים</w:t>
      </w:r>
      <w:r>
        <w:rPr>
          <w:rtl w:val="true"/>
        </w:rPr>
        <w:t xml:space="preserve">", </w:t>
      </w:r>
      <w:r>
        <w:rPr>
          <w:rtl w:val="true"/>
        </w:rPr>
        <w:t>הוא לא מסר למשטרה</w:t>
      </w:r>
      <w:r>
        <w:rPr>
          <w:rtl w:val="true"/>
        </w:rPr>
        <w:t xml:space="preserve">, </w:t>
      </w:r>
      <w:r>
        <w:rPr>
          <w:rtl w:val="true"/>
        </w:rPr>
        <w:t>במהלך ביצוע העבירות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tl w:val="true"/>
        </w:rPr>
        <w:t xml:space="preserve"> </w:t>
      </w:r>
      <w:r>
        <w:rPr>
          <w:rtl w:val="true"/>
        </w:rPr>
        <w:t>שם אחד משמות המתלוננים</w:t>
      </w:r>
      <w:r>
        <w:rPr>
          <w:rtl w:val="true"/>
        </w:rPr>
        <w:t xml:space="preserve">, </w:t>
      </w:r>
      <w:r>
        <w:rPr>
          <w:rtl w:val="true"/>
        </w:rPr>
        <w:t>ונמנע מלעשות כן אף לאחר מעצרו</w:t>
      </w:r>
      <w:r>
        <w:rPr>
          <w:rtl w:val="true"/>
        </w:rPr>
        <w:t xml:space="preserve">. </w:t>
      </w:r>
      <w:r>
        <w:rPr>
          <w:rtl w:val="true"/>
        </w:rPr>
        <w:t>בית המשפט קבע אפוא כי המערער ביצע את העבירות בהן הורשע מתוך מניע של בצע כסף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בהתאם לאמור</w:t>
      </w:r>
      <w:r>
        <w:rPr>
          <w:rtl w:val="true"/>
        </w:rPr>
        <w:t xml:space="preserve">, </w:t>
      </w:r>
      <w:r>
        <w:rPr>
          <w:rtl w:val="true"/>
        </w:rPr>
        <w:t xml:space="preserve">גזר בית המשפט המחוזי על המערער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; </w:t>
      </w:r>
      <w:r>
        <w:rPr>
          <w:rtl w:val="true"/>
        </w:rPr>
        <w:t>הפעלת מאסרים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 במצטבר</w:t>
      </w:r>
      <w:r>
        <w:rPr>
          <w:rtl w:val="true"/>
        </w:rPr>
        <w:t xml:space="preserve">, </w:t>
      </w:r>
      <w:r>
        <w:rPr>
          <w:rtl w:val="true"/>
        </w:rPr>
        <w:t xml:space="preserve">ובהם שני מאסרים מותנים בני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 xml:space="preserve">מאסר מותנה של חמישה חודשים ומאסר מותנה של חודשיים </w:t>
      </w:r>
      <w:r>
        <w:rPr>
          <w:rtl w:val="true"/>
        </w:rPr>
        <w:t>–</w:t>
      </w:r>
      <w:r>
        <w:rPr>
          <w:rtl w:val="true"/>
        </w:rPr>
        <w:t xml:space="preserve"> כך שבסך הכל נגזר על המערער לרצות בכלא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כמו כן נגזר על המערער לשלם קנס בסך של </w:t>
      </w:r>
      <w:r>
        <w:rPr/>
        <w:t>25,000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או לרצות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;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 xml:space="preserve">הוטלו עליו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ממאסרו עבירה של סחיטה באיומים או פריצה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תוך שנתיים מיום שחרורו ממאסרו עבירה על 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הפרטיות</w:t>
        </w:r>
      </w:hyperlink>
      <w:r>
        <w:rPr>
          <w:rtl w:val="true"/>
        </w:rPr>
        <w:t xml:space="preserve"> או עבירה של נהיגה ללא רישיון</w:t>
      </w:r>
      <w:r>
        <w:rPr>
          <w:rtl w:val="true"/>
        </w:rPr>
        <w:t xml:space="preserve">. </w:t>
      </w:r>
      <w:r>
        <w:rPr>
          <w:rtl w:val="true"/>
        </w:rPr>
        <w:t>לצד עונשים אלה</w:t>
      </w:r>
      <w:r>
        <w:rPr>
          <w:rtl w:val="true"/>
        </w:rPr>
        <w:t xml:space="preserve">, </w:t>
      </w:r>
      <w:r>
        <w:rPr>
          <w:rtl w:val="true"/>
        </w:rPr>
        <w:t xml:space="preserve">חויב המערער לשלם פיצוי בסך </w:t>
      </w:r>
      <w:r>
        <w:rPr/>
        <w:t>10,000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 אחד מהמתלוננים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שגה בית המשפט המחוזי בהחליטו להטיל עליו עונש חמור מבלי שנתן משקל לנסיבותיו המיוחדות של המקרה</w:t>
      </w:r>
      <w:r>
        <w:rPr>
          <w:rtl w:val="true"/>
        </w:rPr>
        <w:t xml:space="preserve">, </w:t>
      </w:r>
      <w:r>
        <w:rPr>
          <w:rtl w:val="true"/>
        </w:rPr>
        <w:t>שעיקרן תפיסת פדופילים על ידי המערער</w:t>
      </w:r>
      <w:r>
        <w:rPr>
          <w:rtl w:val="true"/>
        </w:rPr>
        <w:t xml:space="preserve">. </w:t>
      </w:r>
      <w:r>
        <w:rPr>
          <w:rtl w:val="true"/>
        </w:rPr>
        <w:t>עיקר טיעוניו של המערער מופנים כלפי הפער שנוצר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בין העונש שהושת עליו לבין גורל המתלוננים אשר לטענתו </w:t>
      </w:r>
      <w:r>
        <w:rPr>
          <w:rtl w:val="true"/>
        </w:rPr>
        <w:t>"</w:t>
      </w:r>
      <w:r>
        <w:rPr>
          <w:rtl w:val="true"/>
        </w:rPr>
        <w:t>זכו מההפקר</w:t>
      </w:r>
      <w:r>
        <w:rPr>
          <w:rtl w:val="true"/>
        </w:rPr>
        <w:t xml:space="preserve">" </w:t>
      </w:r>
      <w:r>
        <w:rPr>
          <w:rtl w:val="true"/>
        </w:rPr>
        <w:t>מאחר שלא נפתחו נגדם הליכים פליליים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נטען כי מדובר באכיפה בררנית</w:t>
      </w:r>
      <w:r>
        <w:rPr>
          <w:rtl w:val="true"/>
        </w:rPr>
        <w:t xml:space="preserve">. </w:t>
      </w:r>
      <w:r>
        <w:rPr>
          <w:rtl w:val="true"/>
        </w:rPr>
        <w:t>עוד נטען כי לא היה מקום ליחס למערער גרימת נזק למתלוננים שכן לא מדובר באנשים תמימים אלא במי שניסו לבצע מעשים פליליים קשים אשר כללו יחסי מין עם קטין</w:t>
      </w:r>
      <w:r>
        <w:rPr>
          <w:rtl w:val="true"/>
        </w:rPr>
        <w:t xml:space="preserve">. </w:t>
      </w:r>
      <w:r>
        <w:rPr>
          <w:rtl w:val="true"/>
        </w:rPr>
        <w:t>כמו כן נטען כי בית המשפט לא נתן משקל ראוי לכך שמעשיו של המערער היו בגדר פעולת נקם נגד אנשים הפוגעים בילדים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הוא עצמו נפל קורבן לעבירות דומות</w:t>
      </w:r>
      <w:r>
        <w:rPr>
          <w:rtl w:val="true"/>
        </w:rPr>
        <w:t xml:space="preserve">, </w:t>
      </w:r>
      <w:r>
        <w:rPr>
          <w:rtl w:val="true"/>
        </w:rPr>
        <w:t>אשר הותירוהו בטראומה שהובילה אותו להתמכרות להימורים</w:t>
      </w:r>
      <w:r>
        <w:rPr>
          <w:rtl w:val="true"/>
        </w:rPr>
        <w:t xml:space="preserve">. </w:t>
      </w:r>
      <w:r>
        <w:rPr>
          <w:rtl w:val="true"/>
        </w:rPr>
        <w:t>כן נטען כי היה מקום לתת משקל לשיקולים אלו לא רק במיקום עונשו של המערער במתחם שנקבע עבורו</w:t>
      </w:r>
      <w:r>
        <w:rPr>
          <w:rtl w:val="true"/>
        </w:rPr>
        <w:t xml:space="preserve">, </w:t>
      </w:r>
      <w:r>
        <w:rPr>
          <w:rtl w:val="true"/>
        </w:rPr>
        <w:t>אלא גם בקביעת המתחם עצמו</w:t>
      </w:r>
      <w:r>
        <w:rPr>
          <w:rtl w:val="true"/>
        </w:rPr>
        <w:t xml:space="preserve">. </w:t>
      </w:r>
      <w:r>
        <w:rPr>
          <w:rtl w:val="true"/>
        </w:rPr>
        <w:t>עוד נטען כי לא ניתן משקל לעובדה שהמערער הודה בכתב אישום מתוקן וחסך זמן שיפוטי והעדת עדי הגנה רבים</w:t>
      </w:r>
      <w:r>
        <w:rPr>
          <w:rtl w:val="true"/>
        </w:rPr>
        <w:t xml:space="preserve">. </w:t>
      </w:r>
      <w:r>
        <w:rPr>
          <w:rtl w:val="true"/>
        </w:rPr>
        <w:t>בנוסף נטען כי מעשיו של המערער חמורים פחות מהמקרים אשר נדונו בפסיקה אליה הפנה בית המשפט המחוזי בגזר דינו</w:t>
      </w:r>
      <w:r>
        <w:rPr>
          <w:rtl w:val="true"/>
        </w:rPr>
        <w:t xml:space="preserve">. </w:t>
      </w:r>
      <w:r>
        <w:rPr>
          <w:rtl w:val="true"/>
        </w:rPr>
        <w:t>עוד נטען כי לא היה מקום לקבוע כי מיקום עונשו של המערער יהיה באמצע מתחם הענישה ולא בתחתיתו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שגה בית המשפט המחוזי בכך שהפעיל את עונשי המאסר המותנה במצטבר </w:t>
      </w:r>
      <w:r>
        <w:rPr>
          <w:rtl w:val="true"/>
        </w:rPr>
        <w:t>–</w:t>
      </w:r>
      <w:r>
        <w:rPr>
          <w:rtl w:val="true"/>
        </w:rPr>
        <w:t xml:space="preserve"> דבר שהוביל להחמרה בלתי מידתית בעונשו של המערער</w:t>
      </w:r>
      <w:r>
        <w:rPr>
          <w:rtl w:val="true"/>
        </w:rPr>
        <w:t xml:space="preserve">. </w:t>
      </w:r>
      <w:r>
        <w:rPr>
          <w:rtl w:val="true"/>
        </w:rPr>
        <w:t>באשר לפיצוי</w:t>
      </w:r>
      <w:r>
        <w:rPr>
          <w:rtl w:val="true"/>
        </w:rPr>
        <w:t xml:space="preserve">, </w:t>
      </w:r>
      <w:r>
        <w:rPr>
          <w:rtl w:val="true"/>
        </w:rPr>
        <w:t>נטען כי אין זה ראוי לחייב את המערער לפצות את המתלוננים בסכומים שנפסקו</w:t>
      </w:r>
      <w:r>
        <w:rPr>
          <w:rtl w:val="true"/>
        </w:rPr>
        <w:t xml:space="preserve">, </w:t>
      </w:r>
      <w:r>
        <w:rPr>
          <w:rtl w:val="true"/>
        </w:rPr>
        <w:t>בשים לב למעשיהם הפדופיליים</w:t>
      </w:r>
      <w:r>
        <w:rPr>
          <w:rtl w:val="true"/>
        </w:rPr>
        <w:t xml:space="preserve">. </w:t>
      </w:r>
      <w:r>
        <w:rPr>
          <w:rtl w:val="true"/>
        </w:rPr>
        <w:t>כן מלין המערער על כך שבנוסף לשאר העונשים פסל אותו בית המשפט מלקבל או להחזיק רישיון נהיגה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חזר המערער על עיקרי טענותיו</w:t>
      </w:r>
      <w:r>
        <w:rPr>
          <w:rtl w:val="true"/>
        </w:rPr>
        <w:t xml:space="preserve">. </w:t>
      </w:r>
      <w:r>
        <w:rPr>
          <w:rtl w:val="true"/>
        </w:rPr>
        <w:t>המדינה מצידה</w:t>
      </w:r>
      <w:r>
        <w:rPr>
          <w:rtl w:val="true"/>
        </w:rPr>
        <w:t xml:space="preserve">, </w:t>
      </w:r>
      <w:r>
        <w:rPr>
          <w:rtl w:val="true"/>
        </w:rPr>
        <w:t>סמכה את ידיה על גזר דינו של בית המשפט המחוזי וביקשה שלא נתערב בו</w:t>
      </w:r>
      <w:r>
        <w:rPr>
          <w:rtl w:val="true"/>
        </w:rPr>
        <w:t xml:space="preserve">. </w:t>
      </w:r>
      <w:r>
        <w:rPr>
          <w:rtl w:val="true"/>
        </w:rPr>
        <w:t>ביחס לטענת האכיפה הבררנית נטען כי כלל לא מדובר באכיפה בררנית</w:t>
      </w:r>
      <w:r>
        <w:rPr>
          <w:rtl w:val="true"/>
        </w:rPr>
        <w:t xml:space="preserve">, </w:t>
      </w:r>
      <w:r>
        <w:rPr>
          <w:rtl w:val="true"/>
        </w:rPr>
        <w:t>ומכל מקום</w:t>
      </w:r>
      <w:r>
        <w:rPr>
          <w:rtl w:val="true"/>
        </w:rPr>
        <w:t xml:space="preserve">, </w:t>
      </w:r>
      <w:r>
        <w:rPr>
          <w:rtl w:val="true"/>
        </w:rPr>
        <w:t xml:space="preserve">בגזר הדין לא נקבע דבר ביחס להיות המתלוננים </w:t>
      </w:r>
      <w:r>
        <w:rPr>
          <w:rtl w:val="true"/>
        </w:rPr>
        <w:t>"</w:t>
      </w:r>
      <w:r>
        <w:rPr>
          <w:rtl w:val="true"/>
        </w:rPr>
        <w:t>פדופילים</w:t>
      </w:r>
      <w:r>
        <w:rPr>
          <w:rtl w:val="true"/>
        </w:rPr>
        <w:t xml:space="preserve">" </w:t>
      </w:r>
      <w:r>
        <w:rPr>
          <w:rtl w:val="true"/>
        </w:rPr>
        <w:t>כטענת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מכלול נסיבות המקרה </w:t>
      </w:r>
      <w:r>
        <w:rPr>
          <w:rtl w:val="true"/>
        </w:rPr>
        <w:t>–</w:t>
      </w:r>
      <w:r>
        <w:rPr>
          <w:rtl w:val="true"/>
        </w:rPr>
        <w:t xml:space="preserve"> ובהן</w:t>
      </w:r>
      <w:r>
        <w:rPr>
          <w:rtl w:val="true"/>
        </w:rPr>
        <w:t xml:space="preserve">: </w:t>
      </w:r>
      <w:r>
        <w:rPr>
          <w:rtl w:val="true"/>
        </w:rPr>
        <w:t>עברו הפלילי המכביד של המערער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tl w:val="true"/>
        </w:rPr>
        <w:t xml:space="preserve">; </w:t>
      </w:r>
      <w:r>
        <w:rPr>
          <w:rtl w:val="true"/>
        </w:rPr>
        <w:t>ביצוע חלק מהעבירות בצלו של צו מבחן</w:t>
      </w:r>
      <w:r>
        <w:rPr>
          <w:rtl w:val="true"/>
        </w:rPr>
        <w:t xml:space="preserve">, </w:t>
      </w:r>
      <w:r>
        <w:rPr>
          <w:rtl w:val="true"/>
        </w:rPr>
        <w:t>כאשר המערער מצהיר בערכאות שיפוטיות כי הוא אדם משוקם</w:t>
      </w:r>
      <w:r>
        <w:rPr>
          <w:rtl w:val="true"/>
        </w:rPr>
        <w:t xml:space="preserve">; </w:t>
      </w:r>
      <w:r>
        <w:rPr>
          <w:rtl w:val="true"/>
        </w:rPr>
        <w:t>וכן העובדה שעל אף שהמערער הודה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הוא לא חסך ולו עדות אחת של המתלוננים </w:t>
      </w:r>
      <w:r>
        <w:rPr>
          <w:rtl w:val="true"/>
        </w:rPr>
        <w:t>–</w:t>
      </w:r>
      <w:r>
        <w:rPr>
          <w:rtl w:val="true"/>
        </w:rPr>
        <w:t xml:space="preserve"> מצדיקות את העונש שנגזר עליו</w:t>
      </w:r>
      <w:r>
        <w:rPr>
          <w:rtl w:val="true"/>
        </w:rPr>
        <w:t xml:space="preserve">. </w:t>
      </w:r>
      <w:r>
        <w:rPr>
          <w:rtl w:val="true"/>
        </w:rPr>
        <w:t>כן נטען כי עונשו של המערער כלל אינו מחמיר איתו יתר על המידה בשים לב לעובדה שבית המשפט המחוזי קבע כי על עונשו להיות ממוקם באמצע מתחם הענישה</w:t>
      </w:r>
      <w:r>
        <w:rPr>
          <w:rtl w:val="true"/>
        </w:rPr>
        <w:t xml:space="preserve">, </w:t>
      </w:r>
      <w:r>
        <w:rPr>
          <w:rtl w:val="true"/>
        </w:rPr>
        <w:t>אך בפועל עונשו נקבע בתחתית מתחם הענישה</w:t>
      </w:r>
      <w:r>
        <w:rPr>
          <w:rtl w:val="true"/>
        </w:rPr>
        <w:t xml:space="preserve">. </w:t>
      </w:r>
      <w:r>
        <w:rPr>
          <w:rtl w:val="true"/>
        </w:rPr>
        <w:t>כן נטען כי הטענה שהמערער נפגע בילדותו נזנחה במהלך הטיעונים לעונש</w:t>
      </w:r>
      <w:r>
        <w:rPr>
          <w:rtl w:val="true"/>
        </w:rPr>
        <w:t xml:space="preserve">, </w:t>
      </w:r>
      <w:r>
        <w:rPr>
          <w:rtl w:val="true"/>
        </w:rPr>
        <w:t xml:space="preserve">וכי מדובר בעובדה שלא הוכחה </w:t>
      </w:r>
      <w:r>
        <w:rPr>
          <w:rtl w:val="true"/>
        </w:rPr>
        <w:t>–</w:t>
      </w:r>
      <w:r>
        <w:rPr>
          <w:rtl w:val="true"/>
        </w:rPr>
        <w:t xml:space="preserve"> ועל כן אין מקום לתת לה משקל במסגרת הליך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Normal"/>
        <w:shd w:fill="FFFFFF" w:val="clear"/>
        <w:overflowPunct w:val="true"/>
        <w:autoSpaceDE w:val="true"/>
        <w:ind w:end="0"/>
        <w:jc w:val="both"/>
        <w:textAlignment w:val="auto"/>
        <w:rPr>
          <w:rFonts w:ascii="FrankRuehl" w:hAnsi="FrankRuehl" w:cs="FrankRuehl"/>
          <w:b/>
          <w:spacing w:val="0"/>
          <w:sz w:val="32"/>
          <w:szCs w:val="24"/>
        </w:rPr>
      </w:pPr>
      <w:r>
        <w:rPr>
          <w:rFonts w:cs="FrankRuehl" w:ascii="FrankRuehl" w:hAnsi="FrankRuehl"/>
          <w:b/>
          <w:spacing w:val="0"/>
          <w:sz w:val="32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לאחר עיון בגזר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שניתן על ידי</w:t>
      </w:r>
      <w:r>
        <w:rPr>
          <w:rtl w:val="true"/>
        </w:rPr>
        <w:t xml:space="preserve"> בית המשפט המחוזי ו</w:t>
      </w:r>
      <w:r>
        <w:rPr>
          <w:rtl w:val="true"/>
        </w:rPr>
        <w:t>בחינת</w:t>
      </w:r>
      <w:r>
        <w:rPr>
          <w:rtl w:val="true"/>
        </w:rPr>
        <w:t xml:space="preserve"> טענות הצדדים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תי</w:t>
      </w:r>
      <w:r>
        <w:rPr>
          <w:rtl w:val="true"/>
        </w:rPr>
        <w:t xml:space="preserve"> לכלל מסקנה כי דין </w:t>
      </w:r>
      <w:r>
        <w:rPr>
          <w:rtl w:val="true"/>
        </w:rPr>
        <w:t>ה</w:t>
      </w:r>
      <w:r>
        <w:rPr>
          <w:rtl w:val="true"/>
        </w:rPr>
        <w:t>ערעור</w:t>
      </w:r>
      <w:r>
        <w:rPr>
          <w:rtl w:val="true"/>
        </w:rPr>
        <w:t xml:space="preserve"> להתקבל באופן חלקי</w:t>
      </w:r>
      <w:r>
        <w:rPr>
          <w:rtl w:val="true"/>
        </w:rPr>
        <w:t xml:space="preserve">. </w:t>
      </w:r>
      <w:r>
        <w:rPr>
          <w:rtl w:val="true"/>
        </w:rPr>
        <w:t>סבורני כי נכון נעשה אם נורה שעונשי המאסר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 של המערער אשר הופעלו לריצוי במצטבר ירוצו על ידו בחופף לתקופת מאסרו</w:t>
      </w:r>
      <w:r>
        <w:rPr>
          <w:rtl w:val="true"/>
        </w:rPr>
        <w:t xml:space="preserve">. </w:t>
      </w:r>
      <w:r>
        <w:rPr>
          <w:rtl w:val="true"/>
        </w:rPr>
        <w:t xml:space="preserve">תקופה זו תעמוד אפוא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הלכה היא עמנו כי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ערכאת ערעור אינה נוהגת להתערב בעונש שהוטל על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ידי הערכאה הדיונית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אלא בנסיבות בהן גזר הדין מגלה סטייה ניכרת ממדיניות הענישה הנוהגת או במקרים חריגים בהם נפלה טעות מהותית בגזר הדין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מני רבים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2092/21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32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30.10.22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2260/22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18.7.2022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5262/21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16.5.2022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8172/21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15.5.2022</w:t>
      </w:r>
      <w:r>
        <w:rPr>
          <w:rFonts w:cs="FrankRuehl" w:ascii="FrankRuehl" w:hAnsi="FrankRuehl"/>
          <w:color w:val="000000"/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הדברים נכונים ביתר שאת במקרים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כמו זה שבפנינו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שבהם עונש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המאסר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שהושת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על המערער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חורג מהרף העליון לגביו הסכימו הצדדים להסדר טיעון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hyperlink r:id="rId2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5932/21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Style w:val="a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קורובקוב</w:t>
      </w:r>
      <w:r>
        <w:rPr>
          <w:rStyle w:val="a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a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Style w:val="a"/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a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Style w:val="a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a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13.7.2022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סבורני כי מכלול נסיבותיו של המקרה שלפנינו מוביל למסקנה שהפעלת כל המאסרים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 לריצוי במצטבר מחמירה עם המערער יתר על המידה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ייאמר מיד כי למרות שטיעוני המערער עסקו ברובם במוסריות ובחוקיות מעשיהם של המתלוננים</w:t>
      </w:r>
      <w:r>
        <w:rPr>
          <w:rtl w:val="true"/>
        </w:rPr>
        <w:t xml:space="preserve">, </w:t>
      </w:r>
      <w:r>
        <w:rPr>
          <w:rtl w:val="true"/>
        </w:rPr>
        <w:t>לא בהם קא עסקינן אלא במערער עצמו</w:t>
      </w:r>
      <w:r>
        <w:rPr>
          <w:rtl w:val="true"/>
        </w:rPr>
        <w:t xml:space="preserve">. </w:t>
      </w:r>
      <w:r>
        <w:rPr>
          <w:rtl w:val="true"/>
        </w:rPr>
        <w:t>אם אכן דבק אשם פלילי במעשיהם של המתלוננים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>הרי שלצורך בחינת הדברים</w:t>
      </w:r>
      <w:r>
        <w:rPr>
          <w:rtl w:val="true"/>
        </w:rPr>
        <w:t xml:space="preserve">, </w:t>
      </w:r>
      <w:r>
        <w:rPr>
          <w:rtl w:val="true"/>
        </w:rPr>
        <w:t>קיימים הליכים מתאימים אשר קבועים בחוק</w:t>
      </w:r>
      <w:r>
        <w:rPr>
          <w:rtl w:val="true"/>
        </w:rPr>
        <w:t xml:space="preserve">. </w:t>
      </w:r>
      <w:r>
        <w:rPr>
          <w:rtl w:val="true"/>
        </w:rPr>
        <w:t>המקום לדון ולהכריע באחריותם הפלילית של המתלוננים איננו כאן</w:t>
      </w:r>
      <w:r>
        <w:rPr>
          <w:rtl w:val="true"/>
        </w:rPr>
        <w:t xml:space="preserve">. </w:t>
      </w:r>
      <w:r>
        <w:rPr>
          <w:rtl w:val="true"/>
        </w:rPr>
        <w:t>הליך הערעור על גזר דינו של המערער לא נועד למטרה זו ועל כן לא נסיט אליה את זרקורינו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טענת המערער בדבר אכיפה בררנית</w:t>
      </w:r>
      <w:r>
        <w:rPr>
          <w:rtl w:val="true"/>
        </w:rPr>
        <w:t xml:space="preserve">, </w:t>
      </w:r>
      <w:r>
        <w:rPr>
          <w:rtl w:val="true"/>
        </w:rPr>
        <w:t>דינה להידחות</w:t>
      </w:r>
      <w:r>
        <w:rPr>
          <w:rtl w:val="true"/>
        </w:rPr>
        <w:t xml:space="preserve">. </w:t>
      </w:r>
      <w:r>
        <w:rPr>
          <w:rtl w:val="true"/>
        </w:rPr>
        <w:t xml:space="preserve">אכיפה בררנית היא </w:t>
      </w:r>
      <w:r>
        <w:rPr>
          <w:rtl w:val="true"/>
        </w:rPr>
        <w:t>אכיפה</w:t>
      </w:r>
      <w:r>
        <w:rPr>
          <w:rtl w:val="true"/>
        </w:rPr>
        <w:t xml:space="preserve"> אשר </w:t>
      </w:r>
      <w:r>
        <w:rPr>
          <w:rtl w:val="true"/>
        </w:rPr>
        <w:t xml:space="preserve">פוגעת בשוויון </w:t>
      </w:r>
      <w:r>
        <w:rPr>
          <w:rtl w:val="true"/>
        </w:rPr>
        <w:t>בין שווים כאשר הדבר נעשה למטרה פסולה</w:t>
      </w:r>
      <w:r>
        <w:rPr>
          <w:rtl w:val="true"/>
        </w:rPr>
        <w:t xml:space="preserve">, </w:t>
      </w:r>
      <w:r>
        <w:rPr>
          <w:rtl w:val="true"/>
        </w:rPr>
        <w:t>מתוך שרירות</w:t>
      </w:r>
      <w:r>
        <w:rPr>
          <w:rtl w:val="true"/>
        </w:rPr>
        <w:t>-</w:t>
      </w:r>
      <w:r>
        <w:rPr>
          <w:rtl w:val="true"/>
        </w:rPr>
        <w:t>לב או על בסיס</w:t>
      </w:r>
      <w:r>
        <w:rPr>
          <w:rtl w:val="true"/>
        </w:rPr>
        <w:t xml:space="preserve"> שיקול</w:t>
      </w:r>
      <w:r>
        <w:rPr>
          <w:rtl w:val="true"/>
        </w:rPr>
        <w:t>ים שלא ממין העניין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0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4855/02</w:t>
        </w:r>
      </w:hyperlink>
      <w:r>
        <w:rPr>
          <w:sz w:val="28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בורוביץ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</w:t>
      </w:r>
      <w:r>
        <w:rPr>
          <w:sz w:val="28"/>
          <w:rtl w:val="true"/>
        </w:rPr>
        <w:t>''</w:t>
      </w:r>
      <w:r>
        <w:rPr>
          <w:sz w:val="28"/>
          <w:sz w:val="28"/>
          <w:rtl w:val="true"/>
        </w:rPr>
        <w:t>ד נט</w:t>
      </w:r>
      <w:r>
        <w:rPr>
          <w:sz w:val="28"/>
          <w:rtl w:val="true"/>
        </w:rPr>
        <w:t>(</w:t>
      </w:r>
      <w:r>
        <w:rPr>
          <w:sz w:val="28"/>
        </w:rPr>
        <w:t>6</w:t>
      </w:r>
      <w:r>
        <w:rPr>
          <w:sz w:val="28"/>
          <w:rtl w:val="true"/>
        </w:rPr>
        <w:t xml:space="preserve">) </w:t>
      </w:r>
      <w:r>
        <w:rPr>
          <w:sz w:val="28"/>
        </w:rPr>
        <w:t>776</w:t>
      </w:r>
      <w:r>
        <w:rPr>
          <w:rtl w:val="true"/>
        </w:rPr>
        <w:t xml:space="preserve">, </w:t>
      </w:r>
      <w:r>
        <w:rPr/>
        <w:t>814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6328/12</w:t>
        </w:r>
      </w:hyperlink>
      <w:r>
        <w:rPr>
          <w:rFonts w:cs="Century" w:ascii="Century" w:hAnsi="Century"/>
          <w:sz w:val="22"/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10.9.2013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-</w:t>
      </w:r>
      <w:r>
        <w:rPr>
          <w:rtl w:val="true"/>
        </w:rPr>
        <w:t>שלנו</w:t>
      </w:r>
      <w:r>
        <w:rPr>
          <w:rtl w:val="true"/>
        </w:rPr>
        <w:t xml:space="preserve">, </w:t>
      </w:r>
      <w:r>
        <w:rPr>
          <w:rtl w:val="true"/>
        </w:rPr>
        <w:t>המעשים בהם הורשע המערער והמעשים אותם הוא מיחס למתלוננים אינם אותם מעשים ואין מדובר בעבירות דומות</w:t>
      </w:r>
      <w:r>
        <w:rPr>
          <w:rtl w:val="true"/>
        </w:rPr>
        <w:t xml:space="preserve">. </w:t>
      </w:r>
      <w:r>
        <w:rPr>
          <w:rtl w:val="true"/>
        </w:rPr>
        <w:t>טענת האכיפה הבררנית שבפי המערער לא יכולה אפוא לעמוד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בטענה זו במעט</w:t>
      </w:r>
      <w:r>
        <w:rPr>
          <w:rtl w:val="true"/>
        </w:rPr>
        <w:t xml:space="preserve">, </w:t>
      </w:r>
      <w:r>
        <w:rPr>
          <w:rtl w:val="true"/>
        </w:rPr>
        <w:t>ובנסיבות אלו איני רואה לנכון להוסיף על התחשבות 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בפסקי דין רבים עמד בית משפט זה על חומרתה וכיעורה של סחיטה באיומים </w:t>
      </w:r>
      <w:r>
        <w:rPr>
          <w:rtl w:val="true"/>
        </w:rPr>
        <w:t>–</w:t>
      </w:r>
      <w:r>
        <w:rPr>
          <w:rtl w:val="true"/>
        </w:rPr>
        <w:t xml:space="preserve"> עבירה אשר מצדיקה הטלת עונשים מחמירים ללא הקלות ופשרות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סויטאת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21.7.2016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20.8.2020</w:t>
      </w:r>
      <w:r>
        <w:rPr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 xml:space="preserve">עבירה זו מסבה פגיעה חמורה </w:t>
      </w:r>
      <w:r>
        <w:rPr>
          <w:rFonts w:ascii="Century" w:hAnsi="Century" w:cs="Century"/>
          <w:sz w:val="22"/>
          <w:sz w:val="22"/>
          <w:rtl w:val="true"/>
        </w:rPr>
        <w:t>במרקם חייהם של הנסחטים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במישור האישי והכלכלי</w:t>
      </w:r>
      <w:r>
        <w:rPr>
          <w:rFonts w:ascii="Century" w:hAnsi="Century" w:cs="Century"/>
          <w:sz w:val="22"/>
          <w:sz w:val="22"/>
          <w:rtl w:val="true"/>
        </w:rPr>
        <w:t xml:space="preserve"> כאחד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כאשר הסוחט </w:t>
      </w:r>
      <w:r>
        <w:rPr>
          <w:rtl w:val="true"/>
        </w:rPr>
        <w:t>עושה דין לעצמו</w:t>
      </w:r>
      <w:r>
        <w:rPr>
          <w:rtl w:val="true"/>
        </w:rPr>
        <w:t xml:space="preserve">, </w:t>
      </w:r>
      <w:r>
        <w:rPr>
          <w:rtl w:val="true"/>
        </w:rPr>
        <w:t xml:space="preserve">גוזל את כספו ואת רכושו של הקורבן ופוגע בחירותו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5769/14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20.9.2015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חומרתה</w:t>
      </w:r>
      <w:r>
        <w:rPr>
          <w:rtl w:val="true"/>
        </w:rPr>
        <w:t xml:space="preserve"> היתרה של העבירה מוצאת ביטוי נוסף בעובדה שקיים בה ממד ייחודי של </w:t>
      </w:r>
      <w:r>
        <w:rPr>
          <w:rtl w:val="true"/>
        </w:rPr>
        <w:t>"</w:t>
      </w:r>
      <w:r>
        <w:rPr>
          <w:rtl w:val="true"/>
        </w:rPr>
        <w:t>קשר שתיקה</w:t>
      </w:r>
      <w:r>
        <w:rPr>
          <w:rtl w:val="true"/>
        </w:rPr>
        <w:t xml:space="preserve">" </w:t>
      </w:r>
      <w:r>
        <w:rPr>
          <w:rtl w:val="true"/>
        </w:rPr>
        <w:t xml:space="preserve">אשר מונע מנפגעי העבירה לפנות לעזרתן של רשויות אכיפת החוק </w:t>
      </w:r>
      <w:r>
        <w:rPr>
          <w:rtl w:val="true"/>
        </w:rPr>
        <w:t>–</w:t>
      </w:r>
      <w:r>
        <w:rPr>
          <w:rtl w:val="true"/>
        </w:rPr>
        <w:t xml:space="preserve"> וזאת מחשש למימוש איומי הסחיטה </w:t>
      </w:r>
      <w:r>
        <w:rPr>
          <w:rtl w:val="true"/>
        </w:rPr>
        <w:t>(</w:t>
      </w:r>
      <w:hyperlink r:id="rId3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4423/22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30.10.2022</w:t>
      </w:r>
      <w:r>
        <w:rPr>
          <w:rtl w:val="true"/>
        </w:rPr>
        <w:t xml:space="preserve">)). </w:t>
      </w:r>
      <w:r>
        <w:rPr>
          <w:rtl w:val="true"/>
        </w:rPr>
        <w:t>חשש זה הולך ומתעצם כאשר בבסיס הסחיטה עומד איום בחשיפת מידע אינטימי בעל אופי מיני</w:t>
      </w:r>
      <w:r>
        <w:rPr>
          <w:rtl w:val="true"/>
        </w:rPr>
        <w:t xml:space="preserve">. </w:t>
      </w:r>
      <w:r>
        <w:rPr>
          <w:rtl w:val="true"/>
        </w:rPr>
        <w:t>במקרים אלו</w:t>
      </w:r>
      <w:r>
        <w:rPr>
          <w:rtl w:val="true"/>
        </w:rPr>
        <w:t xml:space="preserve">, </w:t>
      </w:r>
      <w:r>
        <w:rPr>
          <w:rtl w:val="true"/>
        </w:rPr>
        <w:t>קורבן הסחיטה סופג פגיעה קשה בצנעת הפרט ובאוטונומי</w:t>
      </w:r>
      <w:r>
        <w:rPr>
          <w:rtl w:val="true"/>
        </w:rPr>
        <w:t>ה</w:t>
      </w:r>
      <w:r>
        <w:rPr>
          <w:rtl w:val="true"/>
        </w:rPr>
        <w:t xml:space="preserve"> האישית שלו</w:t>
      </w:r>
      <w:r>
        <w:rPr>
          <w:rtl w:val="true"/>
        </w:rPr>
        <w:t xml:space="preserve">. </w:t>
      </w:r>
      <w:r>
        <w:rPr>
          <w:rtl w:val="true"/>
        </w:rPr>
        <w:t xml:space="preserve">יפים לעניין זה דבריו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סולברג</w:t>
      </w:r>
      <w:r>
        <w:rPr>
          <w:rtl w:val="true"/>
        </w:rPr>
        <w:t xml:space="preserve"> אשר נאמרו 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18.5.2022</w:t>
      </w:r>
      <w:r>
        <w:rPr>
          <w:rtl w:val="true"/>
        </w:rPr>
        <w:t>):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טרילמה</w:t>
      </w:r>
      <w:r>
        <w:rPr>
          <w:rtl w:val="true"/>
        </w:rPr>
        <w:t xml:space="preserve">'.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ומעמידות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מנשוא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שייחשף</w:t>
      </w:r>
      <w:r>
        <w:rPr>
          <w:rtl w:val="true"/>
        </w:rPr>
        <w:t xml:space="preserve">.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הסוחט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).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tl w:val="true"/>
        </w:rPr>
        <w:t xml:space="preserve">;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לקרוביו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חשיפה</w:t>
      </w:r>
      <w:r>
        <w:rPr>
          <w:rtl w:val="true"/>
        </w:rPr>
        <w:t xml:space="preserve">, </w:t>
      </w:r>
      <w:r>
        <w:rPr>
          <w:rtl w:val="true"/>
        </w:rPr>
        <w:t>שהסוחט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הפניה</w:t>
      </w:r>
      <w:r>
        <w:rPr>
          <w:rtl w:val="true"/>
        </w:rPr>
        <w:t xml:space="preserve">, </w:t>
      </w:r>
      <w:r>
        <w:rPr>
          <w:rtl w:val="true"/>
        </w:rPr>
        <w:t>ויממש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צומת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נתיבים</w:t>
      </w:r>
      <w:r>
        <w:rPr>
          <w:rtl w:val="true"/>
        </w:rPr>
        <w:t xml:space="preserve">;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וניצולם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הסוחט</w:t>
      </w:r>
      <w:r>
        <w:rPr>
          <w:rtl w:val="true"/>
        </w:rPr>
        <w:t xml:space="preserve">, </w:t>
      </w:r>
      <w:r>
        <w:rPr>
          <w:rtl w:val="true"/>
        </w:rPr>
        <w:t>מחדד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הנסחט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הסוחט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הסוחט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דכאן פעל בשיטה ערמומית</w:t>
      </w:r>
      <w:r>
        <w:rPr>
          <w:rtl w:val="true"/>
        </w:rPr>
        <w:t xml:space="preserve">, </w:t>
      </w:r>
      <w:r>
        <w:rPr>
          <w:rtl w:val="true"/>
        </w:rPr>
        <w:t>מתוכננת היטב</w:t>
      </w:r>
      <w:r>
        <w:rPr>
          <w:rtl w:val="true"/>
        </w:rPr>
        <w:t xml:space="preserve">, </w:t>
      </w:r>
      <w:r>
        <w:rPr>
          <w:rtl w:val="true"/>
        </w:rPr>
        <w:t>וכן במניפולטיביות ובנחישות רבה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 ליצור הזדמנות</w:t>
      </w:r>
      <w:r>
        <w:rPr>
          <w:rtl w:val="true"/>
        </w:rPr>
        <w:t>-</w:t>
      </w:r>
      <w:r>
        <w:rPr>
          <w:rtl w:val="true"/>
        </w:rPr>
        <w:t xml:space="preserve">פז </w:t>
      </w:r>
      <w:r>
        <w:rPr>
          <w:rtl w:val="true"/>
        </w:rPr>
        <w:t>(</w:t>
      </w:r>
      <w:r>
        <w:rPr>
          <w:rtl w:val="true"/>
        </w:rPr>
        <w:t>תרתי משמע</w:t>
      </w:r>
      <w:r>
        <w:rPr>
          <w:rtl w:val="true"/>
        </w:rPr>
        <w:t xml:space="preserve">) </w:t>
      </w:r>
      <w:r>
        <w:rPr>
          <w:rtl w:val="true"/>
        </w:rPr>
        <w:t>לסחוט את המתלוננים ולהעמידם במצב בו חשיפת הסחיטה היא כמעט בלתי אפשרית</w:t>
      </w:r>
      <w:r>
        <w:rPr>
          <w:rtl w:val="true"/>
        </w:rPr>
        <w:t xml:space="preserve">. </w:t>
      </w:r>
      <w:r>
        <w:rPr>
          <w:rtl w:val="true"/>
        </w:rPr>
        <w:t>יש להדגיש כי בכל המקרים שבהם עסקינן המערער הציג את דמותו הבדיונית בתחילת ההתקשרות כבגיר ורק לאחר מכן</w:t>
      </w:r>
      <w:r>
        <w:rPr>
          <w:rtl w:val="true"/>
        </w:rPr>
        <w:t xml:space="preserve">, </w:t>
      </w:r>
      <w:r>
        <w:rPr>
          <w:rtl w:val="true"/>
        </w:rPr>
        <w:t>לעיתים זמן קצר ביותר לפני המפגש עם המתלונן</w:t>
      </w:r>
      <w:r>
        <w:rPr>
          <w:rtl w:val="true"/>
        </w:rPr>
        <w:t xml:space="preserve">, </w:t>
      </w:r>
      <w:r>
        <w:rPr>
          <w:rtl w:val="true"/>
        </w:rPr>
        <w:t>היה מציין שלמעשה הוא קטין</w:t>
      </w:r>
      <w:r>
        <w:rPr>
          <w:rtl w:val="true"/>
        </w:rPr>
        <w:t xml:space="preserve">. </w:t>
      </w:r>
      <w:r>
        <w:rPr>
          <w:rtl w:val="true"/>
        </w:rPr>
        <w:t>בעת המפגש המערער הציג את עצמו כבעל שררה</w:t>
      </w:r>
      <w:r>
        <w:rPr>
          <w:rtl w:val="true"/>
        </w:rPr>
        <w:t xml:space="preserve">, </w:t>
      </w:r>
      <w:r>
        <w:rPr>
          <w:rtl w:val="true"/>
        </w:rPr>
        <w:t>הראה בקיאות בחייהם הפרטיים של המתלוננים</w:t>
      </w:r>
      <w:r>
        <w:rPr>
          <w:rtl w:val="true"/>
        </w:rPr>
        <w:t xml:space="preserve">, </w:t>
      </w:r>
      <w:r>
        <w:rPr>
          <w:rtl w:val="true"/>
        </w:rPr>
        <w:t>כולל שמות של בני משפחתם</w:t>
      </w:r>
      <w:r>
        <w:rPr>
          <w:rtl w:val="true"/>
        </w:rPr>
        <w:t xml:space="preserve">, </w:t>
      </w:r>
      <w:r>
        <w:rPr>
          <w:rtl w:val="true"/>
        </w:rPr>
        <w:t>ודרס ברגל גסה את פרטיותם וכבודם של המתלוננים בכך שערך חיפושים בטלפונים</w:t>
      </w:r>
      <w:r>
        <w:rPr>
          <w:rtl w:val="true"/>
        </w:rPr>
        <w:t xml:space="preserve">, </w:t>
      </w:r>
      <w:r>
        <w:rPr>
          <w:rtl w:val="true"/>
        </w:rPr>
        <w:t>ברכביהם ובבתיהם</w:t>
      </w:r>
      <w:r>
        <w:rPr>
          <w:rtl w:val="true"/>
        </w:rPr>
        <w:t xml:space="preserve">, </w:t>
      </w:r>
      <w:r>
        <w:rPr>
          <w:rtl w:val="true"/>
        </w:rPr>
        <w:t>לקח מהם כספים שמצא בחיפושיו</w:t>
      </w:r>
      <w:r>
        <w:rPr>
          <w:rtl w:val="true"/>
        </w:rPr>
        <w:t xml:space="preserve">, </w:t>
      </w:r>
      <w:r>
        <w:rPr>
          <w:rtl w:val="true"/>
        </w:rPr>
        <w:t>ולעיתים אף דחק בהם לקחת הלוואות מהבנק כדי לשלם את כספי הסחיטה</w:t>
      </w:r>
      <w:r>
        <w:rPr>
          <w:rtl w:val="true"/>
        </w:rPr>
        <w:t xml:space="preserve">. </w:t>
      </w:r>
      <w:r>
        <w:rPr>
          <w:rtl w:val="true"/>
        </w:rPr>
        <w:t xml:space="preserve">כאשר סירב אחד המתלוננים לסחיטה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>מימש המערער את האיום ושלח הודעות מאיימות ואת התכתבויותיו עם המתלונן לאשתו של המתלונן וכאמור גם במעשים אלה יש חומרה יתרה</w:t>
      </w:r>
      <w:r>
        <w:rPr>
          <w:rtl w:val="true"/>
        </w:rPr>
        <w:t xml:space="preserve">.  </w:t>
      </w:r>
      <w:r>
        <w:rPr>
          <w:rtl w:val="true"/>
        </w:rPr>
        <w:t xml:space="preserve">נחישותו של המערער לטמון למתלוננים פח באה לידי ביטוי בשלושה מקרים </w:t>
      </w:r>
      <w:r>
        <w:rPr>
          <w:rtl w:val="true"/>
        </w:rPr>
        <w:t>(</w:t>
      </w:r>
      <w:r>
        <w:rPr>
          <w:rtl w:val="true"/>
        </w:rPr>
        <w:t xml:space="preserve">אישומים </w:t>
      </w:r>
      <w:r>
        <w:rPr/>
        <w:t>5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בהם סירבו המתלוננים מפורשות למפגש מיני עם קטין</w:t>
      </w:r>
      <w:r>
        <w:rPr>
          <w:rtl w:val="true"/>
        </w:rPr>
        <w:t xml:space="preserve">. </w:t>
      </w:r>
      <w:r>
        <w:rPr>
          <w:rtl w:val="true"/>
        </w:rPr>
        <w:t>בכל אחד ממקרים אלה</w:t>
      </w:r>
      <w:r>
        <w:rPr>
          <w:rtl w:val="true"/>
        </w:rPr>
        <w:t xml:space="preserve">, </w:t>
      </w:r>
      <w:r>
        <w:rPr>
          <w:rtl w:val="true"/>
        </w:rPr>
        <w:t>יצר המערער תחבולה או אמתלת שווא אשר הובילו למפגש עם המתלונן ולמעשה הסחיטה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אין לקבל את טענת המערער לפיה הוא זכאי להקלה משמעותית בעונשו בשל כך שפעל כמעין </w:t>
      </w:r>
      <w:r>
        <w:rPr>
          <w:rFonts w:cs="Times New Roman" w:ascii="Times New Roman" w:hAnsi="Times New Roman"/>
        </w:rPr>
        <w:t>vigilante</w:t>
      </w:r>
      <w:r>
        <w:rPr>
          <w:rtl w:val="true"/>
        </w:rPr>
        <w:t xml:space="preserve">: </w:t>
      </w:r>
      <w:r>
        <w:rPr>
          <w:rtl w:val="true"/>
        </w:rPr>
        <w:t>לוכד עברייני מין במינוי עצמי</w:t>
      </w:r>
      <w:r>
        <w:rPr>
          <w:rtl w:val="true"/>
        </w:rPr>
        <w:t xml:space="preserve">. </w:t>
      </w:r>
      <w:r>
        <w:rPr>
          <w:rtl w:val="true"/>
        </w:rPr>
        <w:t>כפי שציין בית המשפט המחוזי בגזר הדין</w:t>
      </w:r>
      <w:r>
        <w:rPr>
          <w:rtl w:val="true"/>
        </w:rPr>
        <w:t xml:space="preserve">, </w:t>
      </w:r>
      <w:r>
        <w:rPr>
          <w:rtl w:val="true"/>
        </w:rPr>
        <w:t>במהלך ביצוע העבירות</w:t>
      </w:r>
      <w:r>
        <w:rPr>
          <w:rtl w:val="true"/>
        </w:rPr>
        <w:t xml:space="preserve">, </w:t>
      </w:r>
      <w:r>
        <w:rPr>
          <w:rtl w:val="true"/>
        </w:rPr>
        <w:t>לא טרח המערער למסור את שמותיהם של המתלוננים למשטרה</w:t>
      </w:r>
      <w:r>
        <w:rPr>
          <w:rtl w:val="true"/>
        </w:rPr>
        <w:t xml:space="preserve">, </w:t>
      </w:r>
      <w:r>
        <w:rPr>
          <w:rtl w:val="true"/>
        </w:rPr>
        <w:t>ולמעשה במובן מסוים אף אִפשר להם לחמוק מעונש ולהמשיך במעשיהם ללא הפרעה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נסיבות המקרים שבהם עסקינן מלמדות על כך שהמערער פעל בעיקר מתוך בצע כסף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מבקש המערער לחשוף את שמותיהם של המתלוננים ולהעמידם לדין</w:t>
      </w:r>
      <w:r>
        <w:rPr>
          <w:rtl w:val="true"/>
        </w:rPr>
        <w:t xml:space="preserve">, </w:t>
      </w:r>
      <w:r>
        <w:rPr>
          <w:rtl w:val="true"/>
        </w:rPr>
        <w:t xml:space="preserve">אולם אף בקשה זו </w:t>
      </w:r>
      <w:r>
        <w:rPr>
          <w:rtl w:val="true"/>
        </w:rPr>
        <w:t>–</w:t>
      </w:r>
      <w:r>
        <w:rPr>
          <w:rtl w:val="true"/>
        </w:rPr>
        <w:t xml:space="preserve"> כך נראה </w:t>
      </w:r>
      <w:r>
        <w:rPr>
          <w:rtl w:val="true"/>
        </w:rPr>
        <w:t>–</w:t>
      </w:r>
      <w:r>
        <w:rPr>
          <w:rtl w:val="true"/>
        </w:rPr>
        <w:t xml:space="preserve"> אינה מונעת על ידי רדיפת הצדק למען הצדק</w:t>
      </w:r>
      <w:r>
        <w:rPr>
          <w:rtl w:val="true"/>
        </w:rPr>
        <w:t xml:space="preserve">. </w:t>
      </w:r>
      <w:r>
        <w:rPr>
          <w:rtl w:val="true"/>
        </w:rPr>
        <w:t>בקשה זו מונעת בעיקרה על ידי רצון המערער להעתיק את האשמה</w:t>
      </w:r>
      <w:r>
        <w:rPr>
          <w:rtl w:val="true"/>
        </w:rPr>
        <w:t xml:space="preserve">, </w:t>
      </w:r>
      <w:r>
        <w:rPr>
          <w:rtl w:val="true"/>
        </w:rPr>
        <w:t>או לפחות חלק מהאשמה</w:t>
      </w:r>
      <w:r>
        <w:rPr>
          <w:rtl w:val="true"/>
        </w:rPr>
        <w:t xml:space="preserve">, </w:t>
      </w:r>
      <w:r>
        <w:rPr>
          <w:rtl w:val="true"/>
        </w:rPr>
        <w:t>ממנו למתלוננים</w:t>
      </w:r>
      <w:r>
        <w:rPr>
          <w:rtl w:val="true"/>
        </w:rPr>
        <w:t xml:space="preserve">. </w:t>
      </w:r>
      <w:r>
        <w:rPr>
          <w:rtl w:val="true"/>
        </w:rPr>
        <w:t>כפי שכבר ציינתי</w:t>
      </w:r>
      <w:r>
        <w:rPr>
          <w:rtl w:val="true"/>
        </w:rPr>
        <w:t xml:space="preserve">, </w:t>
      </w:r>
      <w:r>
        <w:rPr>
          <w:rtl w:val="true"/>
        </w:rPr>
        <w:t>שאלת אשמתם של המתלוננים צריכה להתברר במסגרת שנועדה לה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במשטרה ובפרקליטות המדינה</w:t>
      </w:r>
      <w:r>
        <w:rPr>
          <w:rtl w:val="true"/>
        </w:rPr>
        <w:t xml:space="preserve">. </w:t>
      </w:r>
      <w:r>
        <w:rPr>
          <w:rtl w:val="true"/>
        </w:rPr>
        <w:t>במסגרת ההליך הנוכחי</w:t>
      </w:r>
      <w:r>
        <w:rPr>
          <w:rtl w:val="true"/>
        </w:rPr>
        <w:t xml:space="preserve">, </w:t>
      </w:r>
      <w:r>
        <w:rPr>
          <w:rtl w:val="true"/>
        </w:rPr>
        <w:t>עלינו להתמקד במעשיו הפליליים של המערער ובעונש שראוי להשית עליו בגין מעשים אלו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כמו כן לא נוכל </w:t>
      </w:r>
      <w:r>
        <w:rPr>
          <w:rtl w:val="true"/>
        </w:rPr>
        <w:t>–</w:t>
      </w:r>
      <w:r>
        <w:rPr>
          <w:rtl w:val="true"/>
        </w:rPr>
        <w:t xml:space="preserve"> וממילא לא נרצה </w:t>
      </w:r>
      <w:r>
        <w:rPr>
          <w:rtl w:val="true"/>
        </w:rPr>
        <w:t>–</w:t>
      </w:r>
      <w:r>
        <w:rPr>
          <w:rtl w:val="true"/>
        </w:rPr>
        <w:t xml:space="preserve"> לשעות לטענת המערער כי פעל מתוך נקם בשל פגיעה קשה שחווה בעברו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מדובר בטענה אשר לא נטענה בבית המשפט המחוזי במהלך הטיעונים לעונש</w:t>
      </w:r>
      <w:r>
        <w:rPr>
          <w:rtl w:val="true"/>
        </w:rPr>
        <w:t xml:space="preserve">. </w:t>
      </w:r>
      <w:r>
        <w:rPr>
          <w:rtl w:val="true"/>
        </w:rPr>
        <w:t>שנית וזאת העיקר</w:t>
      </w:r>
      <w:r>
        <w:rPr>
          <w:rtl w:val="true"/>
        </w:rPr>
        <w:t xml:space="preserve">: </w:t>
      </w:r>
      <w:r>
        <w:rPr>
          <w:rtl w:val="true"/>
        </w:rPr>
        <w:t>גם אילו היה מדובר בטענה מבוססת</w:t>
      </w:r>
      <w:r>
        <w:rPr>
          <w:rtl w:val="true"/>
        </w:rPr>
        <w:t xml:space="preserve">, </w:t>
      </w:r>
      <w:r>
        <w:rPr>
          <w:rtl w:val="true"/>
        </w:rPr>
        <w:t xml:space="preserve">לא היה בה כדי לסייע למערער אחרי שידענו כי הלה פעל כפי שפעל </w:t>
      </w:r>
      <w:r>
        <w:rPr>
          <w:rtl w:val="true"/>
        </w:rPr>
        <w:t>–</w:t>
      </w:r>
      <w:r>
        <w:rPr>
          <w:rtl w:val="true"/>
        </w:rPr>
        <w:t xml:space="preserve"> בתחכום</w:t>
      </w:r>
      <w:r>
        <w:rPr>
          <w:rtl w:val="true"/>
        </w:rPr>
        <w:t xml:space="preserve">, </w:t>
      </w:r>
      <w:r>
        <w:rPr>
          <w:rtl w:val="true"/>
        </w:rPr>
        <w:t xml:space="preserve">בעורמה ובנחישות </w:t>
      </w:r>
      <w:r>
        <w:rPr>
          <w:rtl w:val="true"/>
        </w:rPr>
        <w:t>–</w:t>
      </w:r>
      <w:r>
        <w:rPr>
          <w:rtl w:val="true"/>
        </w:rPr>
        <w:t xml:space="preserve"> מתוך בצע כסף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העונש שנגזר על המערער אכן נוטה לחומרא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tl w:val="true"/>
        </w:rPr>
        <w:t xml:space="preserve">: </w:t>
      </w:r>
      <w:r>
        <w:rPr>
          <w:rtl w:val="true"/>
        </w:rPr>
        <w:t>המספר הגדול של הקורבנות</w:t>
      </w:r>
      <w:r>
        <w:rPr>
          <w:rtl w:val="true"/>
        </w:rPr>
        <w:t xml:space="preserve">; </w:t>
      </w:r>
      <w:r>
        <w:rPr>
          <w:rtl w:val="true"/>
        </w:rPr>
        <w:t>סכומי הכסף הגבוהים שסחט מהם המערער במשך תקופה ארוכה</w:t>
      </w:r>
      <w:r>
        <w:rPr>
          <w:rtl w:val="true"/>
        </w:rPr>
        <w:t xml:space="preserve">; </w:t>
      </w:r>
      <w:r>
        <w:rPr>
          <w:rtl w:val="true"/>
        </w:rPr>
        <w:t>תחכומה של התכנית העבריינית</w:t>
      </w:r>
      <w:r>
        <w:rPr>
          <w:rtl w:val="true"/>
        </w:rPr>
        <w:t xml:space="preserve">; </w:t>
      </w:r>
      <w:r>
        <w:rPr>
          <w:rtl w:val="true"/>
        </w:rPr>
        <w:t>נחישותו של המערער להוציאה לפועל</w:t>
      </w:r>
      <w:r>
        <w:rPr>
          <w:rtl w:val="true"/>
        </w:rPr>
        <w:t xml:space="preserve">; </w:t>
      </w:r>
      <w:r>
        <w:rPr>
          <w:rtl w:val="true"/>
        </w:rPr>
        <w:t>הנזקים הממשיים שנגרמו למתלוננים</w:t>
      </w:r>
      <w:r>
        <w:rPr>
          <w:rtl w:val="true"/>
        </w:rPr>
        <w:t xml:space="preserve">; </w:t>
      </w:r>
      <w:r>
        <w:rPr>
          <w:rtl w:val="true"/>
        </w:rPr>
        <w:t>עברו הפלילי של המערער שכולל הרשעות בעבירות דומות</w:t>
      </w:r>
      <w:r>
        <w:rPr>
          <w:rtl w:val="true"/>
        </w:rPr>
        <w:t xml:space="preserve">; </w:t>
      </w:r>
      <w:r>
        <w:rPr>
          <w:rtl w:val="true"/>
        </w:rPr>
        <w:t xml:space="preserve">וכן העובדה כי המערער לא שינה את דרכיו חרף ההליכים הטיפוליים </w:t>
      </w:r>
      <w:r>
        <w:rPr>
          <w:rtl w:val="true"/>
        </w:rPr>
        <w:t>–</w:t>
      </w:r>
      <w:r>
        <w:rPr>
          <w:rtl w:val="true"/>
        </w:rPr>
        <w:t xml:space="preserve"> כל אלו מצדיקים את העונש מושא הערעור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לנוכח המאסר הממושך </w:t>
      </w:r>
      <w:r>
        <w:rPr>
          <w:rtl w:val="true"/>
        </w:rPr>
        <w:t>–</w:t>
      </w:r>
      <w:r>
        <w:rPr>
          <w:rtl w:val="true"/>
        </w:rPr>
        <w:t xml:space="preserve">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שנים </w:t>
      </w:r>
      <w:r>
        <w:rPr>
          <w:rtl w:val="true"/>
        </w:rPr>
        <w:t>–</w:t>
      </w:r>
      <w:r>
        <w:rPr>
          <w:rtl w:val="true"/>
        </w:rPr>
        <w:t xml:space="preserve"> שהושת על המערער</w:t>
      </w:r>
      <w:r>
        <w:rPr>
          <w:rtl w:val="true"/>
        </w:rPr>
        <w:t xml:space="preserve">, </w:t>
      </w:r>
      <w:r>
        <w:rPr>
          <w:rtl w:val="true"/>
        </w:rPr>
        <w:t>ולאור מכלול הנסיבות</w:t>
      </w:r>
      <w:r>
        <w:rPr>
          <w:rtl w:val="true"/>
        </w:rPr>
        <w:t xml:space="preserve">, </w:t>
      </w:r>
      <w:r>
        <w:rPr>
          <w:rtl w:val="true"/>
        </w:rPr>
        <w:t>סבורני כי נכון היה שלא להוסיף אליו את המאסרים על</w:t>
      </w:r>
      <w:r>
        <w:rPr>
          <w:rtl w:val="true"/>
        </w:rPr>
        <w:t>-</w:t>
      </w:r>
      <w:r>
        <w:rPr>
          <w:rtl w:val="true"/>
        </w:rPr>
        <w:t>תנאי לתקופות קצרות שהיו תלויים ועומדים נגדו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לקבל את הערעור שלפנינו באופן חלקי ולקבוע כי עונשי המאסר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 שבית המשפט המחוזי ראה לנכון להפעיל</w:t>
      </w:r>
      <w:r>
        <w:rPr>
          <w:rtl w:val="true"/>
        </w:rPr>
        <w:t xml:space="preserve">, </w:t>
      </w:r>
      <w:r>
        <w:rPr>
          <w:rtl w:val="true"/>
        </w:rPr>
        <w:t>ירוצו על ידי המערער בחופף למאסר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שנגזר עליו לרצות בגין העבירות בהן הוא הורשע בהליך קמא</w:t>
      </w:r>
      <w:r>
        <w:rPr>
          <w:rtl w:val="true"/>
        </w:rPr>
        <w:t xml:space="preserve">. </w:t>
      </w:r>
      <w:r>
        <w:rPr>
          <w:rtl w:val="true"/>
        </w:rPr>
        <w:t>יתר רכיבי גזר הדין יעמדו על 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20.12.2022</w:t>
      </w:r>
      <w:r>
        <w:rPr>
          <w:rtl w:val="true"/>
        </w:rPr>
        <w:t xml:space="preserve">). </w:t>
      </w:r>
      <w:bookmarkEnd w:id="20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21069180</w:t>
      </w:r>
      <w:r>
        <w:rPr>
          <w:sz w:val="16"/>
          <w:rtl w:val="true"/>
        </w:rPr>
        <w:t>_</w:t>
      </w:r>
      <w:r>
        <w:rPr>
          <w:sz w:val="16"/>
        </w:rPr>
        <w:t>F09.docx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54678313-6918/21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6918/21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אלעד בן נון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6861"/>
        </w:tabs>
        <w:ind w:start="5954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a">
    <w:name w:val="a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5.d" TargetMode="External"/><Relationship Id="rId4" Type="http://schemas.openxmlformats.org/officeDocument/2006/relationships/hyperlink" Target="http://www.nevo.co.il/law/70301/406.b" TargetMode="External"/><Relationship Id="rId5" Type="http://schemas.openxmlformats.org/officeDocument/2006/relationships/hyperlink" Target="http://www.nevo.co.il/law/70301/428" TargetMode="External"/><Relationship Id="rId6" Type="http://schemas.openxmlformats.org/officeDocument/2006/relationships/hyperlink" Target="http://www.nevo.co.il/law/71631" TargetMode="External"/><Relationship Id="rId7" Type="http://schemas.openxmlformats.org/officeDocument/2006/relationships/hyperlink" Target="http://www.nevo.co.il/law/71631/2.1" TargetMode="External"/><Relationship Id="rId8" Type="http://schemas.openxmlformats.org/officeDocument/2006/relationships/hyperlink" Target="http://www.nevo.co.il/law/71631/5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10" TargetMode="External"/><Relationship Id="rId11" Type="http://schemas.openxmlformats.org/officeDocument/2006/relationships/hyperlink" Target="http://www.nevo.co.il/law/5227/62.1" TargetMode="External"/><Relationship Id="rId12" Type="http://schemas.openxmlformats.org/officeDocument/2006/relationships/hyperlink" Target="http://www.nevo.co.il/case/25569912" TargetMode="External"/><Relationship Id="rId13" Type="http://schemas.openxmlformats.org/officeDocument/2006/relationships/hyperlink" Target="http://www.nevo.co.il/law/70301/428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28" TargetMode="External"/><Relationship Id="rId16" Type="http://schemas.openxmlformats.org/officeDocument/2006/relationships/hyperlink" Target="http://www.nevo.co.il/law/70301/406.b" TargetMode="External"/><Relationship Id="rId17" Type="http://schemas.openxmlformats.org/officeDocument/2006/relationships/hyperlink" Target="http://www.nevo.co.il/law/70301/405.d" TargetMode="External"/><Relationship Id="rId18" Type="http://schemas.openxmlformats.org/officeDocument/2006/relationships/hyperlink" Target="http://www.nevo.co.il/law/71631/2.1" TargetMode="External"/><Relationship Id="rId19" Type="http://schemas.openxmlformats.org/officeDocument/2006/relationships/hyperlink" Target="http://www.nevo.co.il/law/71631/5" TargetMode="External"/><Relationship Id="rId20" Type="http://schemas.openxmlformats.org/officeDocument/2006/relationships/hyperlink" Target="http://www.nevo.co.il/law/71631" TargetMode="External"/><Relationship Id="rId21" Type="http://schemas.openxmlformats.org/officeDocument/2006/relationships/hyperlink" Target="http://www.nevo.co.il/law/5227/10" TargetMode="External"/><Relationship Id="rId22" Type="http://schemas.openxmlformats.org/officeDocument/2006/relationships/hyperlink" Target="http://www.nevo.co.il/law/5227/62.1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1631" TargetMode="External"/><Relationship Id="rId25" Type="http://schemas.openxmlformats.org/officeDocument/2006/relationships/hyperlink" Target="http://www.nevo.co.il/case/27499271" TargetMode="External"/><Relationship Id="rId26" Type="http://schemas.openxmlformats.org/officeDocument/2006/relationships/hyperlink" Target="http://www.nevo.co.il/case/28452957" TargetMode="External"/><Relationship Id="rId27" Type="http://schemas.openxmlformats.org/officeDocument/2006/relationships/hyperlink" Target="http://www.nevo.co.il/case/27820945" TargetMode="External"/><Relationship Id="rId28" Type="http://schemas.openxmlformats.org/officeDocument/2006/relationships/hyperlink" Target="http://www.nevo.co.il/case/28142541" TargetMode="External"/><Relationship Id="rId29" Type="http://schemas.openxmlformats.org/officeDocument/2006/relationships/hyperlink" Target="http://www.nevo.co.il/case/27907115" TargetMode="External"/><Relationship Id="rId30" Type="http://schemas.openxmlformats.org/officeDocument/2006/relationships/hyperlink" Target="http://www.nevo.co.il/case/5819116" TargetMode="External"/><Relationship Id="rId31" Type="http://schemas.openxmlformats.org/officeDocument/2006/relationships/hyperlink" Target="http://www.nevo.co.il/case/5594221" TargetMode="External"/><Relationship Id="rId32" Type="http://schemas.openxmlformats.org/officeDocument/2006/relationships/hyperlink" Target="http://www.nevo.co.il/case/25383303" TargetMode="External"/><Relationship Id="rId33" Type="http://schemas.openxmlformats.org/officeDocument/2006/relationships/hyperlink" Target="http://www.nevo.co.il/case/21477455" TargetMode="External"/><Relationship Id="rId34" Type="http://schemas.openxmlformats.org/officeDocument/2006/relationships/hyperlink" Target="http://www.nevo.co.il/case/26322525" TargetMode="External"/><Relationship Id="rId35" Type="http://schemas.openxmlformats.org/officeDocument/2006/relationships/hyperlink" Target="http://www.nevo.co.il/case/17948153" TargetMode="External"/><Relationship Id="rId36" Type="http://schemas.openxmlformats.org/officeDocument/2006/relationships/hyperlink" Target="http://www.nevo.co.il/case/28735014" TargetMode="External"/><Relationship Id="rId37" Type="http://schemas.openxmlformats.org/officeDocument/2006/relationships/hyperlink" Target="http://www.nevo.co.il/case/28250209" TargetMode="External"/><Relationship Id="rId38" Type="http://schemas.openxmlformats.org/officeDocument/2006/relationships/hyperlink" Target="https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2022-12-21T10:44:00Z</dcterms:created>
  <dc:creator>h4</dc:creator>
  <dc:description/>
  <cp:keywords/>
  <dc:language>en-IL</dc:language>
  <cp:lastModifiedBy>orly</cp:lastModifiedBy>
  <cp:lastPrinted>2022-12-20T12:17:00Z</cp:lastPrinted>
  <dcterms:modified xsi:type="dcterms:W3CDTF">2022-12-21T10:44:00Z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אלעד בן נון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25569912;27499271;28452957;27820945;28142541;27907115;5819116;5594221;25383303;21477455;26322525;17948153;28735014;28250209</vt:lpwstr>
  </property>
  <property fmtid="{D5CDD505-2E9C-101B-9397-08002B2CF9AE}" pid="9" name="CITY">
    <vt:lpwstr/>
  </property>
  <property fmtid="{D5CDD505-2E9C-101B-9397-08002B2CF9AE}" pid="10" name="DATE">
    <vt:lpwstr>20221220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ברון;א' שטיין;ח' כבוב</vt:lpwstr>
  </property>
  <property fmtid="{D5CDD505-2E9C-101B-9397-08002B2CF9AE}" pid="14" name="LAWLISTTMP1">
    <vt:lpwstr>70301/428:2;406.b;405.d</vt:lpwstr>
  </property>
  <property fmtid="{D5CDD505-2E9C-101B-9397-08002B2CF9AE}" pid="15" name="LAWLISTTMP2">
    <vt:lpwstr>71631/002.1;005</vt:lpwstr>
  </property>
  <property fmtid="{D5CDD505-2E9C-101B-9397-08002B2CF9AE}" pid="16" name="LAWLISTTMP3">
    <vt:lpwstr>5227/010;062.1</vt:lpwstr>
  </property>
  <property fmtid="{D5CDD505-2E9C-101B-9397-08002B2CF9AE}" pid="17" name="LAWYER">
    <vt:lpwstr>שרית משגב;רועי לוס;צ'רלי סבג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דיון פלילי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עונש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1446;1446;1446;498</vt:lpwstr>
  </property>
  <property fmtid="{D5CDD505-2E9C-101B-9397-08002B2CF9AE}" pid="50" name="NOSE31">
    <vt:lpwstr>מדיניות ענישה: עבירת סחיטה באיומים</vt:lpwstr>
  </property>
  <property fmtid="{D5CDD505-2E9C-101B-9397-08002B2CF9AE}" pid="51" name="NOSE310">
    <vt:lpwstr/>
  </property>
  <property fmtid="{D5CDD505-2E9C-101B-9397-08002B2CF9AE}" pid="52" name="NOSE32">
    <vt:lpwstr>מדיניות ענישה: שיקולים</vt:lpwstr>
  </property>
  <property fmtid="{D5CDD505-2E9C-101B-9397-08002B2CF9AE}" pid="53" name="NOSE33">
    <vt:lpwstr>התערבות ערכאת הערעור</vt:lpwstr>
  </property>
  <property fmtid="{D5CDD505-2E9C-101B-9397-08002B2CF9AE}" pid="54" name="NOSE34">
    <vt:lpwstr>ערעור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13706;8994;8978;3814</vt:lpwstr>
  </property>
  <property fmtid="{D5CDD505-2E9C-101B-9397-08002B2CF9AE}" pid="61" name="PADIDATE">
    <vt:lpwstr>20221221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6918</vt:lpwstr>
  </property>
  <property fmtid="{D5CDD505-2E9C-101B-9397-08002B2CF9AE}" pid="67" name="PROCYEAR">
    <vt:lpwstr>21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410120221220</vt:lpwstr>
  </property>
  <property fmtid="{D5CDD505-2E9C-101B-9397-08002B2CF9AE}" pid="71" name="TYPE_N_DATE">
    <vt:lpwstr>41020221220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