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6938/17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69671-03-17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20.7.2017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נטע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פת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– קטין יליד </w:t>
      </w:r>
      <w:r>
        <w:rPr>
          <w:rFonts w:cs="Times New Roman" w:ascii="Times New Roman" w:hAnsi="Times New Roman"/>
          <w:spacing w:val="0"/>
          <w:szCs w:val="26"/>
        </w:rPr>
        <w:t>2002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בביצוע עבירות אלימות מרובות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בפרק זמן קצר של כשנה והוטל עליו עונש של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ומאסרים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הנסיבות המקלות שציין המערער נלקחו בחשבון במסגרת קביעת העונש הראוי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איזן כראוי בין הצורך במתן דגש על שיקולי הרתעה ושיקום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השתת עונש אשר מחד גיסא יותיר למערער פתח של תקווה ומאידך גיסא יאפשר לו לעבור שינוי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היעזרות בגורמי טיפול ושיקום של שירות בתי הסוהר הן בעת מאסרו והן לאחר שחרורו מהמאסר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התערבות ערכאת הערעור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לנוער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במסגרתו הושתו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קטין יליד </w:t>
      </w:r>
      <w:r>
        <w:rPr>
          <w:rFonts w:cs="Times New Roman" w:ascii="Times New Roman" w:hAnsi="Times New Roman"/>
          <w:spacing w:val="0"/>
          <w:szCs w:val="26"/>
        </w:rPr>
        <w:t>2002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ומאסרים על תנאי וזאת בעקבות הרשעתו על יסוד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בתיק העיקרי בעבירת שוד בנסיבות מחמירות וכן בעבירות לפי 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349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,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hyperlink r:id="rId17">
        <w:r>
          <w:rPr>
            <w:rStyle w:val="Hyperlink"/>
            <w:rFonts w:cs="Times New Roman" w:ascii="Times New Roman" w:hAnsi="Times New Roman"/>
            <w:spacing w:val="0"/>
            <w:szCs w:val="26"/>
          </w:rPr>
          <w:t>192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186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hyperlink r:id="rId18">
        <w:r>
          <w:rPr>
            <w:rStyle w:val="Hyperlink"/>
            <w:rFonts w:cs="Times New Roman" w:ascii="Times New Roman" w:hAnsi="Times New Roman"/>
            <w:spacing w:val="0"/>
            <w:szCs w:val="26"/>
          </w:rPr>
          <w:t>275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19">
        <w:r>
          <w:rPr>
            <w:rStyle w:val="Hyperlink"/>
            <w:rFonts w:cs="Times New Roman" w:ascii="Times New Roman" w:hAnsi="Times New Roman"/>
            <w:spacing w:val="0"/>
            <w:szCs w:val="26"/>
          </w:rPr>
          <w:t>244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בצירוף 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25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1">
        <w:r>
          <w:rPr>
            <w:rStyle w:val="Hyperlink"/>
            <w:rFonts w:cs="Times New Roman" w:ascii="Times New Roman" w:hAnsi="Times New Roman"/>
            <w:spacing w:val="0"/>
            <w:szCs w:val="26"/>
          </w:rPr>
          <w:t>379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22">
        <w:r>
          <w:rPr>
            <w:rStyle w:val="Hyperlink"/>
            <w:rFonts w:cs="Times New Roman" w:ascii="Times New Roman" w:hAnsi="Times New Roman"/>
            <w:spacing w:val="0"/>
            <w:szCs w:val="26"/>
          </w:rPr>
          <w:t>287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צירוף שני תיקים תלויים ועומדים נגדו וכן תמציות אישום נוספות שעניינן בעבירות אלימות נוספות שביצע המערער בטווח של 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גילו הצעיר מאד בעת ביצוע העבירה ולאור נסיבות חייו המורכבות יש להקל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לא בנקל תתערב ערכאת הערעור בחומרת העונש שהוטל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בהם נפלה בגזר הדין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שעה שהעונש שנגזר על ידה חורג באופן ממשי מרמת הענישה המקובלת או הראויה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נמנה על אותם מקרים מיוחדים המצדיקים את התערבותה של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מערכת השיקולים שיש להפעיל בעת גזירת עונשו של קטין היא שונה וייחודית מזו שיש להפעיל ביחס לעבריין 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ליתן משקל מיוחד לנסיבותיו האישיות של העבריין הקטין ולסיכויי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השאיפה היא להעדיף ככל האפשר את האפיק השיקומי על פני האפיק הענישתי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עצם היותו של העבריין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מקנה לו חסינות מפני ענישה הכוללת רכיב של 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לחומרת העבירה ולניסיונות השיקום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נשקלו 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השיקולים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הורשע בביצוע עבירות אלימות מרובות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בפרק זמן קצר של כשנה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ציין כי מדובר במי שעל אף גילו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נדד בין מסגרות שונות ולמרות מאמצי טיפול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טיפולים תרופתיים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המאמצים לא צלחו והמערער נהג באלימות במסגרות השונות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התרשם כי דווקא בין כותלי בית הסוהר מצא המערער את מקומו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 קבע כי במסגרת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הגבולות ברורים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סיכוי כי המערער ישלים את לימודיו ויעבור טיפול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הנסיבות המקלות שציין המערער בערעורו נלקחו בחשבון במסגרת קביעת העונש הראוי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איזן בין הצורך במתן דגש על שיקולי הרתעה ושיקום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השתת עונש אשר מחד גיסא יותיר למערער פתח של תקווה ומאידך גיסא יאפשר לו לעבור שינוי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היעזרות בגורמי טיפול ושיקום של שירות בתי הסוהר הן בעת מאסרו והן לאחר שחרורו מהמאסר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 מתסקיר שירות המבחן העדכני עולה כי הוא מביע נכונות להתגייס להליך טיפולי בכלא ולהיתרם 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נוטל אחריות מלאה על העבירות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מבין את חומרת מעשיו ומביע עליהם 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מוכן לשתף פעולה עם שירות המבחן רק בתנאי שישוב להתגורר בביתו ובתנאי שישולב בתכניות הטיפול בהן הוא מעוניין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בעת הזאת לא בא שירות המבחן בהמלצה טיפולית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הטיפול החיובי בו החל בין כותלי הכלא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במידת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שהינו ראוי ומאוזן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center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ערעור על גזר דינו של בית המשפט המחוזי בירושלים בשבתו כבית משפט לנוער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69671-03-17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20.7.2017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במסגרתו הושתו על המערער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 ומאסרים על תנאי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קטין יליד שנת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 xml:space="preserve">הורשע על יסוד הודאתו בעבירת שוד בנסיבות מחמירות 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בצירוף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צורפו שני תיקים תלויים ועומדים נגדו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2814-06-17</w:t>
        </w:r>
      </w:hyperlink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13024-04-17</w:t>
        </w:r>
      </w:hyperlink>
      <w:r>
        <w:rPr>
          <w:rtl w:val="true"/>
        </w:rPr>
        <w:t xml:space="preserve">) </w:t>
      </w:r>
      <w:r>
        <w:rPr>
          <w:rtl w:val="true"/>
        </w:rPr>
        <w:t>וכן שתי תמציות אישום נוספות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הודה בעובדות כתבי האישום ותמציות האישום ונקבעה אשמתו בעבירות לפי 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בהמשך ביקש המערער לצרף שלוש תמציות אישום נוספות בהן הודה</w:t>
      </w:r>
      <w:r>
        <w:rPr>
          <w:rtl w:val="true"/>
        </w:rPr>
        <w:t xml:space="preserve">, </w:t>
      </w:r>
      <w:r>
        <w:rPr>
          <w:rtl w:val="true"/>
        </w:rPr>
        <w:t xml:space="preserve">ונקבעה אשמתו בעבירות לפי </w:t>
      </w:r>
      <w:hyperlink r:id="rId3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</w:t>
        </w:r>
      </w:hyperlink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, </w:t>
      </w:r>
      <w:hyperlink r:id="rId35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, </w:t>
      </w:r>
      <w:hyperlink r:id="rId36"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 בתיק העיקרי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25.3.2017</w:t>
      </w:r>
      <w:r>
        <w:rPr>
          <w:rtl w:val="true"/>
        </w:rPr>
        <w:t xml:space="preserve">, </w:t>
      </w:r>
      <w:r>
        <w:rPr>
          <w:rtl w:val="true"/>
        </w:rPr>
        <w:t>בשעות הערב המאוחרות</w:t>
      </w:r>
      <w:r>
        <w:rPr>
          <w:rtl w:val="true"/>
        </w:rPr>
        <w:t xml:space="preserve">, </w:t>
      </w:r>
      <w:r>
        <w:rPr>
          <w:rtl w:val="true"/>
        </w:rPr>
        <w:t>נמלט המערער</w:t>
      </w:r>
      <w:r>
        <w:rPr>
          <w:rtl w:val="true"/>
        </w:rPr>
        <w:t xml:space="preserve">, </w:t>
      </w:r>
      <w:r>
        <w:rPr>
          <w:rtl w:val="true"/>
        </w:rPr>
        <w:t>ביחד עם אחרים</w:t>
      </w:r>
      <w:r>
        <w:rPr>
          <w:rtl w:val="true"/>
        </w:rPr>
        <w:t xml:space="preserve">, </w:t>
      </w:r>
      <w:r>
        <w:rPr>
          <w:rtl w:val="true"/>
        </w:rPr>
        <w:t xml:space="preserve">מהוסטל </w:t>
      </w:r>
      <w:r>
        <w:rPr>
          <w:rtl w:val="true"/>
        </w:rPr>
        <w:t>"</w:t>
      </w:r>
      <w:r>
        <w:rPr>
          <w:rtl w:val="true"/>
        </w:rPr>
        <w:t>בית הצייר</w:t>
      </w:r>
      <w:r>
        <w:rPr>
          <w:rtl w:val="true"/>
        </w:rPr>
        <w:t xml:space="preserve">". </w:t>
      </w:r>
      <w:r>
        <w:rPr>
          <w:rtl w:val="true"/>
        </w:rPr>
        <w:t xml:space="preserve">סמוך לשעה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>נפגשו המערער והאחרים עם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נודע למערער ולנאשם הנוסף בכתב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 xml:space="preserve">כי ברשות המתלונן סך של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המערער פנה אל המתלונן וביקש ממנו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אך האחרון סירב לבקשתו</w:t>
      </w:r>
      <w:r>
        <w:rPr>
          <w:rtl w:val="true"/>
        </w:rPr>
        <w:t xml:space="preserve">. </w:t>
      </w:r>
      <w:r>
        <w:rPr>
          <w:rtl w:val="true"/>
        </w:rPr>
        <w:t>בהמשך לאותו אירוע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1:30</w:t>
      </w:r>
      <w:r>
        <w:rPr>
          <w:rtl w:val="true"/>
        </w:rPr>
        <w:t xml:space="preserve">, </w:t>
      </w:r>
      <w:r>
        <w:rPr>
          <w:rtl w:val="true"/>
        </w:rPr>
        <w:t>עלו כולם על אוטובוס לכיוון שכונת גילה בירושלים</w:t>
      </w:r>
      <w:r>
        <w:rPr>
          <w:rtl w:val="true"/>
        </w:rPr>
        <w:t xml:space="preserve">. </w:t>
      </w:r>
      <w:r>
        <w:rPr>
          <w:rtl w:val="true"/>
        </w:rPr>
        <w:t>במהלך הנסיעה שם לב המערער למצלמת אבטחה המותקנת בחלק האחורי של האוטובוס</w:t>
      </w:r>
      <w:r>
        <w:rPr>
          <w:rtl w:val="true"/>
        </w:rPr>
        <w:t xml:space="preserve">, </w:t>
      </w:r>
      <w:r>
        <w:rPr>
          <w:rtl w:val="true"/>
        </w:rPr>
        <w:t>וניסה לכסותה באמצעות כובעו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ניגשו המערער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אל המתלונן</w:t>
      </w:r>
      <w:r>
        <w:rPr>
          <w:rtl w:val="true"/>
        </w:rPr>
        <w:t xml:space="preserve">, </w:t>
      </w:r>
      <w:r>
        <w:rPr>
          <w:rtl w:val="true"/>
        </w:rPr>
        <w:t>הטיחו את ראשו בשמשת האוטובוס</w:t>
      </w:r>
      <w:r>
        <w:rPr>
          <w:rtl w:val="true"/>
        </w:rPr>
        <w:t xml:space="preserve">, </w:t>
      </w:r>
      <w:r>
        <w:rPr>
          <w:rtl w:val="true"/>
        </w:rPr>
        <w:t>ודרשו ממנו לתת להם את כל הכסף שברשותו</w:t>
      </w:r>
      <w:r>
        <w:rPr>
          <w:rtl w:val="true"/>
        </w:rPr>
        <w:t xml:space="preserve">. </w:t>
      </w:r>
      <w:r>
        <w:rPr>
          <w:rtl w:val="true"/>
        </w:rPr>
        <w:t>משלא נענה לבקשתם</w:t>
      </w:r>
      <w:r>
        <w:rPr>
          <w:rtl w:val="true"/>
        </w:rPr>
        <w:t xml:space="preserve">, </w:t>
      </w:r>
      <w:r>
        <w:rPr>
          <w:rtl w:val="true"/>
        </w:rPr>
        <w:t>איימו עליו כי אם לא ירד איתם בתחנה הקרובה</w:t>
      </w:r>
      <w:r>
        <w:rPr>
          <w:rtl w:val="true"/>
        </w:rPr>
        <w:t xml:space="preserve">, </w:t>
      </w:r>
      <w:r>
        <w:rPr>
          <w:rtl w:val="true"/>
        </w:rPr>
        <w:t>הם יכו וידקרו אותו</w:t>
      </w:r>
      <w:r>
        <w:rPr>
          <w:rtl w:val="true"/>
        </w:rPr>
        <w:t xml:space="preserve">. </w:t>
      </w:r>
      <w:r>
        <w:rPr>
          <w:rtl w:val="true"/>
        </w:rPr>
        <w:t>לאחר שירדו כולם מהאוטובוס</w:t>
      </w:r>
      <w:r>
        <w:rPr>
          <w:rtl w:val="true"/>
        </w:rPr>
        <w:t xml:space="preserve">, </w:t>
      </w:r>
      <w:r>
        <w:rPr>
          <w:rtl w:val="true"/>
        </w:rPr>
        <w:t>ניגשו שוב המערער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אל המתלונן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שלף סכין שהייתה ברשותו והצמידה לבטנו של המתלונן</w:t>
      </w:r>
      <w:r>
        <w:rPr>
          <w:rtl w:val="true"/>
        </w:rPr>
        <w:t xml:space="preserve">, </w:t>
      </w:r>
      <w:r>
        <w:rPr>
          <w:rtl w:val="true"/>
        </w:rPr>
        <w:t>בעוד המערער לקח מהמתלונן את הכסף שהיה ברשותו</w:t>
      </w:r>
      <w:r>
        <w:rPr>
          <w:rtl w:val="true"/>
        </w:rPr>
        <w:t xml:space="preserve">. </w:t>
      </w:r>
      <w:r>
        <w:rPr>
          <w:rtl w:val="true"/>
        </w:rPr>
        <w:t>המתלונן שהיה מפוחד ומבוהל נמלט מהמקום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מעובדות כתב האישום 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2814-06-17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עולה כי ביום </w:t>
      </w:r>
      <w:r>
        <w:rPr/>
        <w:t>22.6.2016</w:t>
      </w:r>
      <w:r>
        <w:rPr>
          <w:rtl w:val="true"/>
        </w:rPr>
        <w:t xml:space="preserve">, </w:t>
      </w:r>
      <w:r>
        <w:rPr>
          <w:rtl w:val="true"/>
        </w:rPr>
        <w:t>בעת נסיעה ברכבת הקלה ביקש המערער לבצע שיחה מטלפון נייד של נוסעת</w:t>
      </w:r>
      <w:r>
        <w:rPr>
          <w:rtl w:val="true"/>
        </w:rPr>
        <w:t xml:space="preserve">. </w:t>
      </w:r>
      <w:r>
        <w:rPr>
          <w:rtl w:val="true"/>
        </w:rPr>
        <w:t>הנוסעת נענתה לבקשתו והמערער נמלט מהמקום עם המכשיר</w:t>
      </w:r>
      <w:r>
        <w:rPr>
          <w:rtl w:val="true"/>
        </w:rPr>
        <w:t xml:space="preserve">. </w:t>
      </w:r>
      <w:r>
        <w:rPr>
          <w:rtl w:val="true"/>
        </w:rPr>
        <w:t>מעובדות כתב האישום ב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13024-04-17</w:t>
        </w:r>
      </w:hyperlink>
      <w:r>
        <w:rPr>
          <w:rtl w:val="true"/>
        </w:rPr>
        <w:t xml:space="preserve"> </w:t>
      </w:r>
      <w:r>
        <w:rPr>
          <w:rtl w:val="true"/>
        </w:rPr>
        <w:t>עולה כי המערער ונאשם נוסף בכתב האישום למדו בבית ספר הסמוך לבית הספר בו למד המתלונן בתיק זה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המערער והנאשם הנוסף איימו על המתלונן</w:t>
      </w:r>
      <w:r>
        <w:rPr>
          <w:rtl w:val="true"/>
        </w:rPr>
        <w:t xml:space="preserve">, </w:t>
      </w:r>
      <w:r>
        <w:rPr>
          <w:rtl w:val="true"/>
        </w:rPr>
        <w:t>במספר הזדמנויות</w:t>
      </w:r>
      <w:r>
        <w:rPr>
          <w:rtl w:val="true"/>
        </w:rPr>
        <w:t xml:space="preserve">, </w:t>
      </w:r>
      <w:r>
        <w:rPr>
          <w:rtl w:val="true"/>
        </w:rPr>
        <w:t>שייתן להם כסף עבור אוכל ושתייה שאם לא כן יכו אותו</w:t>
      </w:r>
      <w:r>
        <w:rPr>
          <w:rtl w:val="true"/>
        </w:rPr>
        <w:t xml:space="preserve">. </w:t>
      </w:r>
      <w:r>
        <w:rPr>
          <w:rtl w:val="true"/>
        </w:rPr>
        <w:t>בעקבות תלונת המתלונן נעצרו המערער והנאשם הנוסף</w:t>
      </w:r>
      <w:r>
        <w:rPr>
          <w:rtl w:val="true"/>
        </w:rPr>
        <w:t xml:space="preserve">. </w:t>
      </w:r>
      <w:r>
        <w:rPr>
          <w:rtl w:val="true"/>
        </w:rPr>
        <w:t>בית המשפט הורה על שחרורם בתנאי שלא ייצרו קשר עם המתלונן ולא ישהו במרחק הקטן מ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מטרים מהמתלונן</w:t>
      </w:r>
      <w:r>
        <w:rPr>
          <w:rtl w:val="true"/>
        </w:rPr>
        <w:t xml:space="preserve">. </w:t>
      </w:r>
      <w:r>
        <w:rPr>
          <w:rtl w:val="true"/>
        </w:rPr>
        <w:t>המערער הפר את תנאי שחרורו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תמציות האישום בהן הודה המערער</w:t>
      </w:r>
      <w:r>
        <w:rPr>
          <w:rtl w:val="true"/>
        </w:rPr>
        <w:t xml:space="preserve">, </w:t>
      </w:r>
      <w:r>
        <w:rPr>
          <w:rtl w:val="true"/>
        </w:rPr>
        <w:t>הוא ביצע את המעשים הבאים</w:t>
      </w:r>
      <w:r>
        <w:rPr>
          <w:rtl w:val="true"/>
        </w:rPr>
        <w:t xml:space="preserve">: </w:t>
      </w:r>
      <w:r>
        <w:rPr>
          <w:rtl w:val="true"/>
        </w:rPr>
        <w:t xml:space="preserve">ביום </w:t>
      </w:r>
      <w:r>
        <w:rPr/>
        <w:t>31.5.2016</w:t>
      </w:r>
      <w:r>
        <w:rPr>
          <w:rtl w:val="true"/>
        </w:rPr>
        <w:t xml:space="preserve">, </w:t>
      </w:r>
      <w:r>
        <w:rPr>
          <w:rtl w:val="true"/>
        </w:rPr>
        <w:t xml:space="preserve">במעון חסות לנוער </w:t>
      </w:r>
      <w:r>
        <w:rPr>
          <w:rtl w:val="true"/>
        </w:rPr>
        <w:t>"</w:t>
      </w:r>
      <w:r>
        <w:rPr>
          <w:rtl w:val="true"/>
        </w:rPr>
        <w:t>בית הילד</w:t>
      </w:r>
      <w:r>
        <w:rPr>
          <w:rtl w:val="true"/>
        </w:rPr>
        <w:t xml:space="preserve">" </w:t>
      </w:r>
      <w:r>
        <w:rPr>
          <w:rtl w:val="true"/>
        </w:rPr>
        <w:t>תקף וחבל המערער במתלונן</w:t>
      </w:r>
      <w:r>
        <w:rPr>
          <w:rtl w:val="true"/>
        </w:rPr>
        <w:t xml:space="preserve">, </w:t>
      </w:r>
      <w:r>
        <w:rPr>
          <w:rtl w:val="true"/>
        </w:rPr>
        <w:t xml:space="preserve">קטין יליד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תוך שימוש בנשק קר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20.2.2017</w:t>
      </w:r>
      <w:r>
        <w:rPr>
          <w:rtl w:val="true"/>
        </w:rPr>
        <w:t xml:space="preserve"> </w:t>
      </w:r>
      <w:r>
        <w:rPr>
          <w:rtl w:val="true"/>
        </w:rPr>
        <w:t xml:space="preserve">תקף המערער את מנהל </w:t>
      </w:r>
      <w:r>
        <w:rPr>
          <w:rtl w:val="true"/>
        </w:rPr>
        <w:t>"</w:t>
      </w:r>
      <w:r>
        <w:rPr>
          <w:rtl w:val="true"/>
        </w:rPr>
        <w:t>בית הצייר</w:t>
      </w:r>
      <w:r>
        <w:rPr>
          <w:rtl w:val="true"/>
        </w:rPr>
        <w:t xml:space="preserve">" </w:t>
      </w:r>
      <w:r>
        <w:rPr>
          <w:rtl w:val="true"/>
        </w:rPr>
        <w:t>בכך שבעט ברגלו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21.4.2017</w:t>
      </w:r>
      <w:r>
        <w:rPr>
          <w:rtl w:val="true"/>
        </w:rPr>
        <w:t xml:space="preserve">, </w:t>
      </w:r>
      <w:r>
        <w:rPr>
          <w:rtl w:val="true"/>
        </w:rPr>
        <w:t xml:space="preserve">בעת ששהה המערער בחלופת מעצר </w:t>
      </w:r>
      <w:r>
        <w:rPr>
          <w:rtl w:val="true"/>
        </w:rPr>
        <w:t>"</w:t>
      </w:r>
      <w:r>
        <w:rPr>
          <w:rtl w:val="true"/>
        </w:rPr>
        <w:t>רוח מדבר</w:t>
      </w:r>
      <w:r>
        <w:rPr>
          <w:rtl w:val="true"/>
        </w:rPr>
        <w:t xml:space="preserve">" </w:t>
      </w:r>
      <w:r>
        <w:rPr>
          <w:rtl w:val="true"/>
        </w:rPr>
        <w:t>היכה המערער את המתלונן א</w:t>
      </w:r>
      <w:r>
        <w:rPr>
          <w:rtl w:val="true"/>
        </w:rPr>
        <w:t>.</w:t>
      </w:r>
      <w:r>
        <w:rPr>
          <w:rtl w:val="true"/>
        </w:rPr>
        <w:t>ק בבעיטות ובאגרופים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22.4.2017</w:t>
      </w:r>
      <w:r>
        <w:rPr>
          <w:rtl w:val="true"/>
        </w:rPr>
        <w:t xml:space="preserve">, </w:t>
      </w:r>
      <w:r>
        <w:rPr>
          <w:rtl w:val="true"/>
        </w:rPr>
        <w:t xml:space="preserve">בלובי חלופת מעצר </w:t>
      </w:r>
      <w:r>
        <w:rPr>
          <w:rtl w:val="true"/>
        </w:rPr>
        <w:t>"</w:t>
      </w:r>
      <w:r>
        <w:rPr>
          <w:rtl w:val="true"/>
        </w:rPr>
        <w:t>רוח מדבר</w:t>
      </w:r>
      <w:r>
        <w:rPr>
          <w:rtl w:val="true"/>
        </w:rPr>
        <w:t xml:space="preserve">" </w:t>
      </w:r>
      <w:r>
        <w:rPr>
          <w:rtl w:val="true"/>
        </w:rPr>
        <w:t>הוריד המערער את מכנסיו וחשף את איבר מינו בפני אחרים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24.4.2017</w:t>
      </w:r>
      <w:r>
        <w:rPr>
          <w:rtl w:val="true"/>
        </w:rPr>
        <w:t xml:space="preserve"> </w:t>
      </w:r>
      <w:r>
        <w:rPr>
          <w:rtl w:val="true"/>
        </w:rPr>
        <w:t>הגיע שוטר ל</w:t>
      </w:r>
      <w:r>
        <w:rPr>
          <w:rtl w:val="true"/>
        </w:rPr>
        <w:t>"</w:t>
      </w:r>
      <w:r>
        <w:rPr>
          <w:rtl w:val="true"/>
        </w:rPr>
        <w:t>רוח מדבר</w:t>
      </w:r>
      <w:r>
        <w:rPr>
          <w:rtl w:val="true"/>
        </w:rPr>
        <w:t xml:space="preserve">", </w:t>
      </w:r>
      <w:r>
        <w:rPr>
          <w:rtl w:val="true"/>
        </w:rPr>
        <w:t>המערער ניגש אליו ביחד עם אחרים והחל לקלל אותו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בגזר הדין מיום </w:t>
      </w:r>
      <w:r>
        <w:rPr/>
        <w:t>20.7.2017</w:t>
      </w:r>
      <w:r>
        <w:rPr>
          <w:rtl w:val="true"/>
        </w:rPr>
        <w:t xml:space="preserve"> </w:t>
      </w:r>
      <w:r>
        <w:rPr>
          <w:rtl w:val="true"/>
        </w:rPr>
        <w:t>קבע בית המשפט המחוזי כי מדובר במקרה נדיר בו נער כה צעיר עבר עבירות כה רבות במשך תקופה של שנה</w:t>
      </w:r>
      <w:r>
        <w:rPr>
          <w:rtl w:val="true"/>
        </w:rPr>
        <w:t xml:space="preserve">, </w:t>
      </w:r>
      <w:r>
        <w:rPr>
          <w:rtl w:val="true"/>
        </w:rPr>
        <w:t>ואין כל 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צוין כי מדובר במי שעל אף גילו הצעיר</w:t>
      </w:r>
      <w:r>
        <w:rPr>
          <w:rtl w:val="true"/>
        </w:rPr>
        <w:t xml:space="preserve">, </w:t>
      </w:r>
      <w:r>
        <w:rPr>
          <w:rtl w:val="true"/>
        </w:rPr>
        <w:t>נדד בין מסגרות לא מעטות וגם לאחר שנעצר במסגרת התיק העיקרי והועבר לחלופת מעצר</w:t>
      </w:r>
      <w:r>
        <w:rPr>
          <w:rtl w:val="true"/>
        </w:rPr>
        <w:t xml:space="preserve">, </w:t>
      </w:r>
      <w:r>
        <w:rPr>
          <w:rtl w:val="true"/>
        </w:rPr>
        <w:t>המשיך בהתנהגותו האלימה ולא השתלב במקום</w:t>
      </w:r>
      <w:r>
        <w:rPr>
          <w:rtl w:val="true"/>
        </w:rPr>
        <w:t xml:space="preserve">. </w:t>
      </w:r>
      <w:r>
        <w:rPr>
          <w:rtl w:val="true"/>
        </w:rPr>
        <w:t>שירות המבחן לא בא בכל המלצה טיפולית בעניינו</w:t>
      </w:r>
      <w:r>
        <w:rPr>
          <w:rtl w:val="true"/>
        </w:rPr>
        <w:t xml:space="preserve">, </w:t>
      </w:r>
      <w:r>
        <w:rPr>
          <w:rtl w:val="true"/>
        </w:rPr>
        <w:t>בין היתר בשל סירובו להשתלב בהליך טיפולי במסגרת סגורה ונוכח כישלון העבר</w:t>
      </w:r>
      <w:r>
        <w:rPr>
          <w:rtl w:val="true"/>
        </w:rPr>
        <w:t xml:space="preserve">. </w:t>
      </w:r>
      <w:r>
        <w:rPr>
          <w:rtl w:val="true"/>
        </w:rPr>
        <w:t>עוד צוין כי למרבה הצער</w:t>
      </w:r>
      <w:r>
        <w:rPr>
          <w:rtl w:val="true"/>
        </w:rPr>
        <w:t xml:space="preserve">, </w:t>
      </w:r>
      <w:r>
        <w:rPr>
          <w:rtl w:val="true"/>
        </w:rPr>
        <w:t>דווקא בין כותלי בית הסוהר מצא המערער את מקומו</w:t>
      </w:r>
      <w:r>
        <w:rPr>
          <w:rtl w:val="true"/>
        </w:rPr>
        <w:t xml:space="preserve">. </w:t>
      </w:r>
      <w:r>
        <w:rPr>
          <w:rtl w:val="true"/>
        </w:rPr>
        <w:t>על כן נשקלו הנסיבות לחומרה ובהן חומרת העבירות וריבויין</w:t>
      </w:r>
      <w:r>
        <w:rPr>
          <w:rtl w:val="true"/>
        </w:rPr>
        <w:t xml:space="preserve">, </w:t>
      </w:r>
      <w:r>
        <w:rPr>
          <w:rtl w:val="true"/>
        </w:rPr>
        <w:t>וכן הצורך בהרתעת המערער אשר ביצע את העבירות תוך כדי ניהול ההליך</w:t>
      </w:r>
      <w:r>
        <w:rPr>
          <w:rtl w:val="true"/>
        </w:rPr>
        <w:t xml:space="preserve">, </w:t>
      </w:r>
      <w:r>
        <w:rPr>
          <w:rtl w:val="true"/>
        </w:rPr>
        <w:t>לרבות בעת שהותו בחלופת מעצר</w:t>
      </w:r>
      <w:r>
        <w:rPr>
          <w:rtl w:val="true"/>
        </w:rPr>
        <w:t xml:space="preserve">, </w:t>
      </w:r>
      <w:r>
        <w:rPr>
          <w:rtl w:val="true"/>
        </w:rPr>
        <w:t>את העדר האופק השיקומי בעניינו והסיכון הגבוה להישנות עבירות</w:t>
      </w:r>
      <w:r>
        <w:rPr>
          <w:rtl w:val="true"/>
        </w:rPr>
        <w:t xml:space="preserve">. </w:t>
      </w:r>
      <w:r>
        <w:rPr>
          <w:rtl w:val="true"/>
        </w:rPr>
        <w:t>מאידך נשקלו גם גילו הצעיר</w:t>
      </w:r>
      <w:r>
        <w:rPr>
          <w:rtl w:val="true"/>
        </w:rPr>
        <w:t xml:space="preserve">, </w:t>
      </w:r>
      <w:r>
        <w:rPr>
          <w:rtl w:val="true"/>
        </w:rPr>
        <w:t>נסיבות חייו הלא פשוטות ושאיפתו לסיים את לימודיו ולעבור הליך של טיפול במסגרת מאסרו</w:t>
      </w:r>
      <w:r>
        <w:rPr>
          <w:rtl w:val="true"/>
        </w:rPr>
        <w:t xml:space="preserve">. </w:t>
      </w:r>
      <w:r>
        <w:rPr>
          <w:rtl w:val="true"/>
        </w:rPr>
        <w:t xml:space="preserve">על רקע האמור גזר בית המשפט על המערער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תקופות שונות של מאסר על תנאי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בערעורו מלין המערער על חומרת עונש המאסר בפועל שהוטל עליו</w:t>
      </w:r>
      <w:r>
        <w:rPr>
          <w:rtl w:val="true"/>
        </w:rPr>
        <w:t xml:space="preserve">. </w:t>
      </w:r>
      <w:r>
        <w:rPr>
          <w:rtl w:val="true"/>
        </w:rPr>
        <w:t>לטענת 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משתלה את כל האשם בגין אי הצלחת הליכי השיקום על המערער</w:t>
      </w:r>
      <w:r>
        <w:rPr>
          <w:rtl w:val="true"/>
        </w:rPr>
        <w:t xml:space="preserve">, </w:t>
      </w:r>
      <w:r>
        <w:rPr>
          <w:rtl w:val="true"/>
        </w:rPr>
        <w:t>בעוד בפועל הניסיונות השיקומיים שהתקיימו בעניינו במסגרת ההליך הפלילי היו מועטים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הוצא מביתו בגיל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 במסגרת צו נזקקות</w:t>
      </w:r>
      <w:r>
        <w:rPr>
          <w:rtl w:val="true"/>
        </w:rPr>
        <w:t xml:space="preserve">, </w:t>
      </w:r>
      <w:r>
        <w:rPr>
          <w:rtl w:val="true"/>
        </w:rPr>
        <w:t>לאחר גירושי הוריו ובעקבות אלימות במשפחה</w:t>
      </w:r>
      <w:r>
        <w:rPr>
          <w:rtl w:val="true"/>
        </w:rPr>
        <w:t xml:space="preserve">. </w:t>
      </w:r>
      <w:r>
        <w:rPr>
          <w:rtl w:val="true"/>
        </w:rPr>
        <w:t>נטען כי המסוכנות אשר יוחסה לו היא פועל יוצא ישיר של היעדר מסגרת מותאמת למצבו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כאשר גזר עליו תקופת מאסר ממושכת</w:t>
      </w:r>
      <w:r>
        <w:rPr>
          <w:rtl w:val="true"/>
        </w:rPr>
        <w:t xml:space="preserve">, </w:t>
      </w:r>
      <w:r>
        <w:rPr>
          <w:rtl w:val="true"/>
        </w:rPr>
        <w:t>ולא הורה לרשויות למצוא לו מסגרת ההולמת את צרכיו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פירטה באת</w:t>
      </w:r>
      <w:r>
        <w:rPr>
          <w:rtl w:val="true"/>
        </w:rPr>
        <w:t>-</w:t>
      </w:r>
      <w:r>
        <w:rPr>
          <w:rtl w:val="true"/>
        </w:rPr>
        <w:t>כוחו את נסיבות חייו הקשות של המערער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אשר סבלה ממחלות שונות</w:t>
      </w:r>
      <w:r>
        <w:rPr>
          <w:rtl w:val="true"/>
        </w:rPr>
        <w:t xml:space="preserve">, </w:t>
      </w:r>
      <w:r>
        <w:rPr>
          <w:rtl w:val="true"/>
        </w:rPr>
        <w:t>לקתה באירוע מוחי אשר הפך אותה לחסרת תפקוד לחלוטין וכיום היא מאושפזת בבית אבות סיעודי</w:t>
      </w:r>
      <w:r>
        <w:rPr>
          <w:rtl w:val="true"/>
        </w:rPr>
        <w:t xml:space="preserve">. </w:t>
      </w:r>
      <w:r>
        <w:rPr>
          <w:rtl w:val="true"/>
        </w:rPr>
        <w:t>עם גירושי הוריו הוצא המערער מחזקתם והוחזק במשפחתון של העדה החרדית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בעקבות קשיים רגשיים והתנהגותיים הועבר לפנימייה ושולב בבית ספר לילדים עם קשיים רגשיים</w:t>
      </w:r>
      <w:r>
        <w:rPr>
          <w:rtl w:val="true"/>
        </w:rPr>
        <w:t xml:space="preserve">. </w:t>
      </w:r>
      <w:r>
        <w:rPr>
          <w:rtl w:val="true"/>
        </w:rPr>
        <w:t>במהלך שהותו בפנימייה היה מעורב באירועים אלימים</w:t>
      </w:r>
      <w:r>
        <w:rPr>
          <w:rtl w:val="true"/>
        </w:rPr>
        <w:t xml:space="preserve">, </w:t>
      </w:r>
      <w:r>
        <w:rPr>
          <w:rtl w:val="true"/>
        </w:rPr>
        <w:t>ולבסוף הוחזר לבית אביו</w:t>
      </w:r>
      <w:r>
        <w:rPr>
          <w:rtl w:val="true"/>
        </w:rPr>
        <w:t xml:space="preserve">. </w:t>
      </w:r>
      <w:r>
        <w:rPr>
          <w:rtl w:val="true"/>
        </w:rPr>
        <w:t>לאחר כשנה בה שהה בבית אביו</w:t>
      </w:r>
      <w:r>
        <w:rPr>
          <w:rtl w:val="true"/>
        </w:rPr>
        <w:t xml:space="preserve">, </w:t>
      </w:r>
      <w:r>
        <w:rPr>
          <w:rtl w:val="true"/>
        </w:rPr>
        <w:t>אושפז בבית חולים פסיכיאטרי ולאחר מכן הושם בהוסטל</w:t>
      </w:r>
      <w:r>
        <w:rPr>
          <w:rtl w:val="true"/>
        </w:rPr>
        <w:t xml:space="preserve">. </w:t>
      </w:r>
      <w:r>
        <w:rPr>
          <w:rtl w:val="true"/>
        </w:rPr>
        <w:t>נטען כי אין ספק באשר לכך שנסיבות חייו המורכבות הן שהובילו להתנהגותו פורעת החוק</w:t>
      </w:r>
      <w:r>
        <w:rPr>
          <w:rtl w:val="true"/>
        </w:rPr>
        <w:t xml:space="preserve">. </w:t>
      </w:r>
      <w:r>
        <w:rPr>
          <w:rtl w:val="true"/>
        </w:rPr>
        <w:t>העבירות שביצע אינן במדרג חומרה גבוה</w:t>
      </w:r>
      <w:r>
        <w:rPr>
          <w:rtl w:val="true"/>
        </w:rPr>
        <w:t xml:space="preserve">, </w:t>
      </w:r>
      <w:r>
        <w:rPr>
          <w:rtl w:val="true"/>
        </w:rPr>
        <w:t xml:space="preserve">וניכר כי אם הייתה בנמצא מסגרת מתאימה עבורו </w:t>
      </w:r>
      <w:r>
        <w:rPr>
          <w:rtl w:val="true"/>
        </w:rPr>
        <w:t>–</w:t>
      </w:r>
      <w:r>
        <w:rPr>
          <w:rtl w:val="true"/>
        </w:rPr>
        <w:t xml:space="preserve"> לא היה נשלח למאסר</w:t>
      </w:r>
      <w:r>
        <w:rPr>
          <w:rtl w:val="true"/>
        </w:rPr>
        <w:t xml:space="preserve">. </w:t>
      </w:r>
      <w:r>
        <w:rPr>
          <w:rtl w:val="true"/>
        </w:rPr>
        <w:t>נטען כי לאור גילו הצעיר מאד בעת ביצוע העבירה ולאור נסיבות חייו המורכבות יש להקל בעונשו</w:t>
      </w:r>
      <w:r>
        <w:rPr>
          <w:rtl w:val="true"/>
        </w:rPr>
        <w:t xml:space="preserve">, </w:t>
      </w:r>
      <w:r>
        <w:rPr>
          <w:rtl w:val="true"/>
        </w:rPr>
        <w:t>כאשר יש משמעות גדולה גם להפחתה של מספר חודשים מתקופת המאסר בפועל</w:t>
      </w:r>
      <w:r>
        <w:rPr>
          <w:rtl w:val="true"/>
        </w:rPr>
        <w:t xml:space="preserve">. </w:t>
      </w:r>
      <w:r>
        <w:rPr>
          <w:rtl w:val="true"/>
        </w:rPr>
        <w:t>העונש אשר הוטל עליו חורג ממדיניות הענישה הנוהגת בבתי המשפט לנוער</w:t>
      </w:r>
      <w:r>
        <w:rPr>
          <w:rtl w:val="true"/>
        </w:rPr>
        <w:t xml:space="preserve">, </w:t>
      </w:r>
      <w:r>
        <w:rPr>
          <w:rtl w:val="true"/>
        </w:rPr>
        <w:t>גם במקרים בהם לא ניתנת המלצה טיפולית</w:t>
      </w:r>
      <w:r>
        <w:rPr>
          <w:rtl w:val="true"/>
        </w:rPr>
        <w:t xml:space="preserve">. </w:t>
      </w:r>
      <w:r>
        <w:rPr>
          <w:rtl w:val="true"/>
        </w:rPr>
        <w:t>המשך החזקתו בכלא טומן בחובו סיכונים רבים</w:t>
      </w:r>
      <w:r>
        <w:rPr>
          <w:rtl w:val="true"/>
        </w:rPr>
        <w:t xml:space="preserve">, </w:t>
      </w:r>
      <w:r>
        <w:rPr>
          <w:rtl w:val="true"/>
        </w:rPr>
        <w:t>ביניהם הסתגלות למוסד הכליאה</w:t>
      </w:r>
      <w:r>
        <w:rPr>
          <w:rtl w:val="true"/>
        </w:rPr>
        <w:t xml:space="preserve">, </w:t>
      </w:r>
      <w:r>
        <w:rPr>
          <w:rtl w:val="true"/>
        </w:rPr>
        <w:t>סיכון מוגבר לעבריינות חוזרת והתרופפות הקשר עם הקהילה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סמכה את ידה על פסק דינו של בית המשפט המחוזי וביקשה לדחות את הערעור</w:t>
      </w:r>
      <w:r>
        <w:rPr>
          <w:rtl w:val="true"/>
        </w:rPr>
        <w:t xml:space="preserve">. </w:t>
      </w:r>
      <w:r>
        <w:rPr>
          <w:rtl w:val="true"/>
        </w:rPr>
        <w:t>נטען כי כל הנסיבות המקלות בעניינו נלקחו בחשבון והמערער קיבל עונש מאסר קצר יחסית</w:t>
      </w:r>
      <w:r>
        <w:rPr>
          <w:rtl w:val="true"/>
        </w:rPr>
        <w:t xml:space="preserve">. </w:t>
      </w:r>
      <w:r>
        <w:rPr>
          <w:rtl w:val="true"/>
        </w:rPr>
        <w:t>אכן מדובר בקטין צעיר מאוד</w:t>
      </w:r>
      <w:r>
        <w:rPr>
          <w:rtl w:val="true"/>
        </w:rPr>
        <w:t xml:space="preserve">, </w:t>
      </w:r>
      <w:r>
        <w:rPr>
          <w:rtl w:val="true"/>
        </w:rPr>
        <w:t>וגורמי שירות המבחן סבורים כי החלופה המתאימה עבורו היא מסגרת חוץ ביתית עם גבולות ברורים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המערער מתנגד לפתרון זה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ניתן לקצר את עונשו על בסיס חלופה פתוחה בבית אביו</w:t>
      </w:r>
      <w:r>
        <w:rPr>
          <w:rtl w:val="true"/>
        </w:rPr>
        <w:t xml:space="preserve">. </w:t>
      </w:r>
      <w:r>
        <w:rPr>
          <w:rtl w:val="true"/>
        </w:rPr>
        <w:t>שהות המערער בכלא מוכיחה כי מבחינה שיקומית לא מדובר בחלופה גרועה עבורו</w:t>
      </w:r>
      <w:r>
        <w:rPr>
          <w:rtl w:val="true"/>
        </w:rPr>
        <w:t xml:space="preserve">. </w:t>
      </w:r>
      <w:r>
        <w:rPr>
          <w:rtl w:val="true"/>
        </w:rPr>
        <w:t>מה גם שמדובר במאסר למשך עוד מספר חודשים בודדים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בהודעת הערעור ובחומר שצורף לה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מסקנתנו הינה כי יש לדחות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8255/16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פורסם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בנבו</w:t>
      </w:r>
      <w:r>
        <w:rPr>
          <w:sz w:val="24"/>
          <w:rtl w:val="true"/>
        </w:rPr>
        <w:t>]</w:t>
      </w:r>
      <w:r>
        <w:rPr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9.4.2017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4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6699/17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מסארוה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פורסם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בנבו</w:t>
      </w:r>
      <w:r>
        <w:rPr>
          <w:sz w:val="24"/>
          <w:rtl w:val="true"/>
        </w:rPr>
        <w:t>]</w:t>
      </w:r>
      <w:r>
        <w:rPr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2.11.2017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4701/16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סבלאן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פורסם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בנבו</w:t>
      </w:r>
      <w:r>
        <w:rPr>
          <w:sz w:val="24"/>
          <w:rtl w:val="true"/>
        </w:rPr>
        <w:t>]</w:t>
      </w:r>
      <w:r>
        <w:rPr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25.10.2017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/>
          <w:spacing w:val="10"/>
          <w:sz w:val="22"/>
          <w:szCs w:val="28"/>
          <w:rtl w:val="true"/>
        </w:rPr>
        <w:t xml:space="preserve">.   </w:t>
      </w:r>
    </w:p>
    <w:p>
      <w:pPr>
        <w:pStyle w:val="Style14"/>
        <w:ind w:end="0"/>
        <w:jc w:val="start"/>
        <w:rPr>
          <w:rFonts w:ascii="Garamond" w:hAnsi="Garamond" w:cs="Garamond"/>
          <w:spacing w:val="10"/>
          <w:sz w:val="24"/>
          <w:szCs w:val="28"/>
        </w:rPr>
      </w:pPr>
      <w:r>
        <w:rPr>
          <w:rFonts w:cs="Garamond" w:ascii="Garamond" w:hAnsi="Garamond"/>
          <w:spacing w:val="10"/>
          <w:sz w:val="24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מערכת השיקולים שיש להפעיל בעת גזירת עונשו של קטין היא שונה וייחודית מזו שיש להפעיל ביחס לעבריין בגיר</w:t>
      </w:r>
      <w:r>
        <w:rPr>
          <w:rtl w:val="true"/>
        </w:rPr>
        <w:t xml:space="preserve">, </w:t>
      </w:r>
      <w:r>
        <w:rPr>
          <w:rtl w:val="true"/>
        </w:rPr>
        <w:t xml:space="preserve">כאשר ההתייחסות השונה נגזרת מהוראותיו של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hyperlink r:id="rId4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49/09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פלוני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cs="Century" w:ascii="Century" w:hAnsi="Century"/>
            <w:sz w:val="22"/>
            <w:rtl w:val="true"/>
          </w:rPr>
          <w:t>''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ד סג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752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על בית המשפט ליתן משקל מיוחד לנסיבותיו האישיות של העבריין הקטין ולסיכויי שיקומו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השאיפה היא להעדיף ככל האפשר את האפיק השיקומי על פני האפיק הענישתי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7">
        <w:bookmarkStart w:id="17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7516/12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</w:t>
      </w:r>
      <w:bookmarkEnd w:id="17"/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1.8.2013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 כי עצם היותו של העבריין 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מקנה לו חסינות מפני ענישה הכוללת רכיב של מאסר מאחורי סורג ובריח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בשים לב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 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לחומרת העבירה ולניסיונות השיקום בעבר </w:t>
      </w:r>
      <w:r>
        <w:rPr>
          <w:sz w:val="22"/>
          <w:rtl w:val="true"/>
        </w:rPr>
        <w:t>(</w:t>
      </w:r>
      <w:hyperlink r:id="rId4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9828/06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10.6.2007</w:t>
      </w:r>
      <w:r>
        <w:rPr>
          <w:sz w:val="22"/>
          <w:rtl w:val="true"/>
        </w:rPr>
        <w:t xml:space="preserve">)). 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עיון בגזר דינו של בית המשפט המחוזי מלמד כי נשקלו בגדרו כלל השיקולים בעניינו של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 הורשע בביצוע עבירות אלימות מרובות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בפרק זמן קצר של כשנה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 המשפט המחוזי ציין כי מדובר במי שעל אף גילו 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נדד בין מסגרות שונות ולמרות מאמצי טיפול רבים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 טיפולים תרופתיים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המאמצים לא צלחו והמערער נהג באלימות במסגרות השונות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 המשפט התרשם כי דווקא בין כותלי בית הסוהר מצא המערער את מקומו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 כן קבע כי במסגרת 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 הגבולות ברורים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 סיכוי כי המערער ישלים את לימודיו ויעבור טיפול משמעותי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 הנסיבות המקלות אותן ציינה באת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 המערער בבקשתה נלקחו בחשבון במסגרת קביעת העונש הראוי בעניינו של המערער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 המשפט איזן בין הצורך במתן דגש על שיקולי הרתעה ושיקום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 השתת עונש אשר מחד גיסא יותיר למערער פתח של תקווה ומאידך גיסא יאפשר לו לעבור שינוי של ממש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 היעזרות בגורמי טיפול ושיקול של שירות בתי הסוהר הן בעת מאסרו והן לאחר שחרורו מהמאסר</w:t>
      </w:r>
      <w:r>
        <w:rPr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2"/>
          <w:sz w:val="22"/>
          <w:rtl w:val="true"/>
        </w:rPr>
        <w:t>ואכן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מתסקיר שירות המבחן שנערך לקראת הדיון בעניינו של המערער עולה כי הוא מביע נכונות להתגייס להליך טיפולי בכלא ולהיתרם ממנו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 נוטל אחריות מלאה על העבירות שביצע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מבין את חומרת מעשיו ומביע עליהם חרטה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 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המערער מסרב נחרצות לאפשרות שילובו לאחר שחרורו במסגרת טיפולית חוץ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ביתית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ודבק ברצונו לשוב לביתו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מתסקיר שירות המבחן עולה עוד כי המערער מוכן לשתף פעולה עם שירות המבחן רק בתנאי שישוב להתגורר בביתו ובתנאי שישולב בתכניות הטיפול בהן הוא מעוניין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לאור 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 בעת הזאת לא בא שירות המבחן בהמלצה טיפולית בעניינו</w:t>
      </w:r>
      <w:r>
        <w:rPr>
          <w:sz w:val="22"/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על אף הטיפול החיובי בו החל בין כותלי הכלא</w:t>
      </w:r>
      <w:r>
        <w:rPr>
          <w:rtl w:val="true"/>
        </w:rPr>
        <w:t xml:space="preserve">, </w:t>
      </w:r>
      <w:r>
        <w:rPr>
          <w:rtl w:val="true"/>
        </w:rPr>
        <w:t>אין מקום להתערב במידת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שהינו ראוי ומאוזן בנסיבות העניין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לא נפל פגם המצדיק את התערבותנו ודין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26.12.2017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17069380</w:t>
      </w:r>
      <w:r>
        <w:rPr>
          <w:sz w:val="16"/>
          <w:rtl w:val="true"/>
        </w:rPr>
        <w:t>_</w:t>
      </w:r>
      <w:r>
        <w:rPr>
          <w:sz w:val="16"/>
        </w:rPr>
        <w:t>N03.doc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54678313-6938/17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6938/17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4">
    <w:name w:val="פיסקת רשימה"/>
    <w:basedOn w:val="Normal"/>
    <w:qFormat/>
    <w:pPr>
      <w:spacing w:lineRule="auto" w:line="360" w:before="0" w:after="0"/>
      <w:ind w:hanging="0" w:start="720" w:end="0"/>
      <w:contextualSpacing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736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287.a" TargetMode="External"/><Relationship Id="rId11" Type="http://schemas.openxmlformats.org/officeDocument/2006/relationships/hyperlink" Target="http://www.nevo.co.il/law/70301/349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48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379" TargetMode="External"/><Relationship Id="rId22" Type="http://schemas.openxmlformats.org/officeDocument/2006/relationships/hyperlink" Target="http://www.nevo.co.il/law/70301/287.a" TargetMode="External"/><Relationship Id="rId23" Type="http://schemas.openxmlformats.org/officeDocument/2006/relationships/hyperlink" Target="http://www.nevo.co.il/case/22373643" TargetMode="External"/><Relationship Id="rId24" Type="http://schemas.openxmlformats.org/officeDocument/2006/relationships/hyperlink" Target="http://www.nevo.co.il/law/70301/402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22696999" TargetMode="External"/><Relationship Id="rId28" Type="http://schemas.openxmlformats.org/officeDocument/2006/relationships/hyperlink" Target="http://www.nevo.co.il/case/22521617" TargetMode="External"/><Relationship Id="rId29" Type="http://schemas.openxmlformats.org/officeDocument/2006/relationships/hyperlink" Target="http://www.nevo.co.il/law/70301/380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/379" TargetMode="External"/><Relationship Id="rId32" Type="http://schemas.openxmlformats.org/officeDocument/2006/relationships/hyperlink" Target="http://www.nevo.co.il/law/70301/287.a" TargetMode="External"/><Relationship Id="rId33" Type="http://schemas.openxmlformats.org/officeDocument/2006/relationships/hyperlink" Target="http://www.nevo.co.il/law/70301/349" TargetMode="External"/><Relationship Id="rId34" Type="http://schemas.openxmlformats.org/officeDocument/2006/relationships/hyperlink" Target="http://www.nevo.co.il/law/70301/380" TargetMode="External"/><Relationship Id="rId35" Type="http://schemas.openxmlformats.org/officeDocument/2006/relationships/hyperlink" Target="http://www.nevo.co.il/law/70301/192" TargetMode="External"/><Relationship Id="rId36" Type="http://schemas.openxmlformats.org/officeDocument/2006/relationships/hyperlink" Target="http://www.nevo.co.il/law/70301/186" TargetMode="External"/><Relationship Id="rId37" Type="http://schemas.openxmlformats.org/officeDocument/2006/relationships/hyperlink" Target="http://www.nevo.co.il/law/70301/275" TargetMode="External"/><Relationship Id="rId38" Type="http://schemas.openxmlformats.org/officeDocument/2006/relationships/hyperlink" Target="http://www.nevo.co.il/law/70301/244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case/22696999" TargetMode="External"/><Relationship Id="rId41" Type="http://schemas.openxmlformats.org/officeDocument/2006/relationships/hyperlink" Target="http://www.nevo.co.il/case/22521617" TargetMode="External"/><Relationship Id="rId42" Type="http://schemas.openxmlformats.org/officeDocument/2006/relationships/hyperlink" Target="http://www.nevo.co.il/case/22530117" TargetMode="External"/><Relationship Id="rId43" Type="http://schemas.openxmlformats.org/officeDocument/2006/relationships/hyperlink" Target="http://www.nevo.co.il/case/22944893" TargetMode="External"/><Relationship Id="rId44" Type="http://schemas.openxmlformats.org/officeDocument/2006/relationships/hyperlink" Target="http://www.nevo.co.il/case/21475354" TargetMode="External"/><Relationship Id="rId45" Type="http://schemas.openxmlformats.org/officeDocument/2006/relationships/hyperlink" Target="http://www.nevo.co.il/law/70348" TargetMode="External"/><Relationship Id="rId46" Type="http://schemas.openxmlformats.org/officeDocument/2006/relationships/hyperlink" Target="http://www.nevo.co.il/case/2237972" TargetMode="External"/><Relationship Id="rId47" Type="http://schemas.openxmlformats.org/officeDocument/2006/relationships/hyperlink" Target="http://www.nevo.co.il/case/6247854" TargetMode="External"/><Relationship Id="rId48" Type="http://schemas.openxmlformats.org/officeDocument/2006/relationships/hyperlink" Target="http://www.nevo.co.il/case/6240786" TargetMode="External"/><Relationship Id="rId49" Type="http://schemas.openxmlformats.org/officeDocument/2006/relationships/hyperlink" Target="http://www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2017-12-27T12:24:00Z</dcterms:created>
  <dc:creator> </dc:creator>
  <dc:description/>
  <cp:keywords/>
  <dc:language>en-IL</dc:language>
  <cp:lastModifiedBy>orly</cp:lastModifiedBy>
  <cp:lastPrinted>2017-12-25T10:41:00Z</cp:lastPrinted>
  <dcterms:modified xsi:type="dcterms:W3CDTF">2017-12-27T12:24:00Z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22373643:2;22696999:2;22521617:2;22530117;22944893;21475354;2237972;6247854;6240786</vt:lpwstr>
  </property>
  <property fmtid="{D5CDD505-2E9C-101B-9397-08002B2CF9AE}" pid="9" name="CITY">
    <vt:lpwstr/>
  </property>
  <property fmtid="{D5CDD505-2E9C-101B-9397-08002B2CF9AE}" pid="10" name="DATE">
    <vt:lpwstr>20171226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מינץ;ח' מלצר</vt:lpwstr>
  </property>
  <property fmtid="{D5CDD505-2E9C-101B-9397-08002B2CF9AE}" pid="14" name="LAWLISTTMP1">
    <vt:lpwstr>70301/402.b;029;380:2;192:2;379;287.a;349;186;275;244;025</vt:lpwstr>
  </property>
  <property fmtid="{D5CDD505-2E9C-101B-9397-08002B2CF9AE}" pid="15" name="LAWLISTTMP2">
    <vt:lpwstr>70348</vt:lpwstr>
  </property>
  <property fmtid="{D5CDD505-2E9C-101B-9397-08002B2CF9AE}" pid="16" name="LAWYER">
    <vt:lpwstr>מירי קולומבוס;נטע פת;טלי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נוער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מדיניות ענישה: שיקום</vt:lpwstr>
  </property>
  <property fmtid="{D5CDD505-2E9C-101B-9397-08002B2CF9AE}" pid="53" name="NOSE34">
    <vt:lpwstr>התערבות ערכאת הערעור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8983;8995;14346;8978</vt:lpwstr>
  </property>
  <property fmtid="{D5CDD505-2E9C-101B-9397-08002B2CF9AE}" pid="60" name="PADIDATE">
    <vt:lpwstr>20171227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6938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410120171226</vt:lpwstr>
  </property>
  <property fmtid="{D5CDD505-2E9C-101B-9397-08002B2CF9AE}" pid="70" name="TYPE_N_DATE">
    <vt:lpwstr>41020171226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