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6943/16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גנדי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גלקין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רוטנברג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רוטנברג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55905-01-16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ברדוגו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FrankRuehl" w:hAnsi="FrankRuehl;FrankRuehl" w:cs="FrankRuehl;FrankRuehl"/>
          <w:sz w:val="24"/>
        </w:rPr>
      </w:pPr>
      <w:r>
        <w:rPr>
          <w:rFonts w:cs="FrankRuehl;FrankRuehl" w:ascii="FrankRuehl;FrankRuehl" w:hAnsi="FrankRuehl;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FrankRuehl" w:hAnsi="FrankRuehl;FrankRuehl" w:cs="FrankRuehl;FrankRuehl"/>
          <w:sz w:val="24"/>
        </w:rPr>
      </w:pPr>
      <w:r>
        <w:rPr>
          <w:rFonts w:ascii="FrankRuehl;FrankRuehl" w:hAnsi="FrankRuehl;FrankRuehl" w:cs="FrankRuehl;FrankRuehl"/>
          <w:sz w:val="24"/>
          <w:sz w:val="24"/>
          <w:rtl w:val="true"/>
        </w:rPr>
        <w:t>חקיקה שאוזכרה</w:t>
      </w:r>
      <w:r>
        <w:rPr>
          <w:rFonts w:cs="FrankRuehl;FrankRuehl" w:ascii="FrankRuehl;FrankRuehl" w:hAnsi="FrankRuehl;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FrankRuehl" w:hAnsi="FrankRuehl;FrankRuehl" w:cs="FrankRuehl;FrankRuehl"/>
          <w:sz w:val="24"/>
        </w:rPr>
      </w:pPr>
      <w:hyperlink r:id="rId3"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FrankRuehl" w:hAnsi="FrankRuehl;FrankRuehl" w:cs="FrankRuehl;FrankRuehl"/>
          <w:sz w:val="24"/>
        </w:rPr>
      </w:pPr>
      <w:hyperlink r:id="rId4"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FrankRuehl" w:hAnsi="FrankRuehl;FrankRuehl" w:cs="FrankRuehl;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FrankRuehl" w:ascii="FrankRuehl;FrankRuehl" w:hAnsi="FrankRuehl;FrankRuehl"/>
            <w:color w:val="0000FF"/>
            <w:sz w:val="24"/>
            <w:u w:val="single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FrankRuehl" w:hAnsi="FrankRuehl;FrankRuehl" w:cs="FrankRuehl;FrankRuehl"/>
          <w:sz w:val="24"/>
        </w:rPr>
      </w:pPr>
      <w:r>
        <w:rPr>
          <w:rFonts w:cs="FrankRuehl;FrankRuehl" w:ascii="FrankRuehl;FrankRuehl" w:hAnsi="FrankRuehl;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FrankRuehl"/>
          <w:sz w:val="24"/>
          <w:sz w:val="24"/>
          <w:szCs w:val="26"/>
          <w:rtl w:val="true"/>
        </w:rPr>
        <w:t>מיני</w:t>
      </w:r>
      <w:r>
        <w:rPr>
          <w:rFonts w:cs="FrankRuehl;FrankRuehl"/>
          <w:sz w:val="24"/>
          <w:szCs w:val="26"/>
          <w:rtl w:val="true"/>
        </w:rPr>
        <w:t>-</w:t>
      </w:r>
      <w:r>
        <w:rPr>
          <w:rFonts w:cs="FrankRuehl;FrankRuehl"/>
          <w:sz w:val="24"/>
          <w:sz w:val="24"/>
          <w:szCs w:val="26"/>
          <w:rtl w:val="true"/>
        </w:rPr>
        <w:t>רציו</w:t>
      </w:r>
      <w:r>
        <w:rPr>
          <w:rFonts w:cs="FrankRuehl;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Cs w:val="26"/>
          <w:rtl w:val="true"/>
        </w:rPr>
        <w:t xml:space="preserve">* </w:t>
      </w:r>
      <w:r>
        <w:rPr>
          <w:rFonts w:cs="FrankRuehl;FrankRuehl"/>
          <w:sz w:val="24"/>
          <w:sz w:val="24"/>
          <w:szCs w:val="26"/>
          <w:rtl w:val="true"/>
        </w:rPr>
        <w:t>קטילת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משמעותית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החפצת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המעורבת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כזו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ממושכת</w:t>
      </w:r>
      <w:r>
        <w:rPr>
          <w:rFonts w:cs="FrankRuehl;FrankRuehl"/>
          <w:sz w:val="24"/>
          <w:szCs w:val="26"/>
          <w:rtl w:val="true"/>
        </w:rPr>
        <w:t xml:space="preserve">; </w:t>
      </w:r>
      <w:r>
        <w:rPr>
          <w:rFonts w:cs="FrankRuehl;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Cs w:val="26"/>
        </w:rPr>
        <w:t>113</w:t>
      </w:r>
      <w:r>
        <w:rPr>
          <w:rFonts w:cs="FrankRuehl;FrankRuehl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ברור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;FrankRuehl"/>
          <w:sz w:val="24"/>
          <w:sz w:val="24"/>
          <w:szCs w:val="26"/>
          <w:rtl w:val="true"/>
        </w:rPr>
        <w:t>להרחיב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כשטווח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FrankRuehl;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FrankRuehl"/>
          <w:sz w:val="24"/>
          <w:szCs w:val="26"/>
          <w:rtl w:val="true"/>
        </w:rPr>
        <w:t xml:space="preserve">* </w:t>
      </w:r>
      <w:r>
        <w:rPr>
          <w:rFonts w:cs="FrankRuehl;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ענישה</w:t>
      </w:r>
      <w:r>
        <w:rPr>
          <w:rFonts w:cs="FrankRuehl;FrankRuehl"/>
          <w:sz w:val="24"/>
          <w:szCs w:val="26"/>
          <w:rtl w:val="true"/>
        </w:rPr>
        <w:t xml:space="preserve">: </w:t>
      </w:r>
      <w:r>
        <w:rPr>
          <w:rFonts w:cs="FrankRuehl;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FrankRuehl"/>
          <w:sz w:val="24"/>
          <w:szCs w:val="26"/>
          <w:rtl w:val="true"/>
        </w:rPr>
        <w:t xml:space="preserve">* </w:t>
      </w:r>
      <w:r>
        <w:rPr>
          <w:rFonts w:cs="FrankRuehl;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FrankRuehl"/>
          <w:sz w:val="24"/>
          <w:szCs w:val="26"/>
        </w:rPr>
      </w:pPr>
      <w:r>
        <w:rPr>
          <w:rFonts w:cs="FrankRuehl;FrankRuehl"/>
          <w:sz w:val="24"/>
          <w:szCs w:val="26"/>
          <w:rtl w:val="true"/>
        </w:rPr>
        <w:t xml:space="preserve">* </w:t>
      </w:r>
      <w:r>
        <w:rPr>
          <w:rFonts w:cs="FrankRuehl;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FrankRuehl"/>
          <w:sz w:val="24"/>
          <w:szCs w:val="26"/>
        </w:rPr>
      </w:pPr>
      <w:r>
        <w:rPr>
          <w:rFonts w:cs="FrankRuehl;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ביהמ</w:t>
      </w:r>
      <w:r>
        <w:rPr>
          <w:rFonts w:cs="FrankRuehl;FrankRuehl"/>
          <w:sz w:val="24"/>
          <w:szCs w:val="26"/>
          <w:rtl w:val="true"/>
        </w:rPr>
        <w:t>"</w:t>
      </w:r>
      <w:r>
        <w:rPr>
          <w:rFonts w:cs="FrankRuehl;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המערער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ע</w:t>
      </w:r>
      <w:r>
        <w:rPr>
          <w:rFonts w:cs="FrankRuehl;FrankRuehl"/>
          <w:sz w:val="24"/>
          <w:szCs w:val="26"/>
          <w:rtl w:val="true"/>
        </w:rPr>
        <w:t>"</w:t>
      </w:r>
      <w:r>
        <w:rPr>
          <w:rFonts w:cs="FrankRuehl;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הודאתו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בהריגה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</w:t>
      </w:r>
      <w:r>
        <w:rPr>
          <w:rFonts w:cs="FrankRuehl;FrankRuehl"/>
          <w:sz w:val="24"/>
          <w:szCs w:val="26"/>
          <w:rtl w:val="true"/>
        </w:rPr>
        <w:t>-</w:t>
      </w:r>
      <w:r>
        <w:rPr>
          <w:rFonts w:cs="FrankRuehl;FrankRuehl"/>
          <w:sz w:val="24"/>
          <w:szCs w:val="26"/>
        </w:rPr>
        <w:t>15</w:t>
      </w:r>
      <w:r>
        <w:rPr>
          <w:rFonts w:cs="FrankRuehl;FrankRuehl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בפועל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המנוח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Cs w:val="26"/>
        </w:rPr>
        <w:t>12-16</w:t>
      </w:r>
      <w:r>
        <w:rPr>
          <w:rFonts w:cs="FrankRuehl;FrankRuehl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מאסר</w:t>
      </w:r>
      <w:r>
        <w:rPr>
          <w:rFonts w:cs="FrankRuehl;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FrankRuehl"/>
          <w:sz w:val="24"/>
          <w:szCs w:val="26"/>
        </w:rPr>
      </w:pPr>
      <w:r>
        <w:rPr>
          <w:rFonts w:cs="FrankRuehl;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ביהמ</w:t>
      </w:r>
      <w:r>
        <w:rPr>
          <w:rFonts w:cs="FrankRuehl;FrankRuehl"/>
          <w:sz w:val="24"/>
          <w:szCs w:val="26"/>
          <w:rtl w:val="true"/>
        </w:rPr>
        <w:t>"</w:t>
      </w:r>
      <w:r>
        <w:rPr>
          <w:rFonts w:cs="FrankRuehl;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המאסר</w:t>
      </w:r>
      <w:r>
        <w:rPr>
          <w:rFonts w:cs="FrankRuehl;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אי</w:t>
      </w:r>
      <w:r>
        <w:rPr>
          <w:rFonts w:cs="FrankRuehl;FrankRuehl"/>
          <w:sz w:val="24"/>
          <w:szCs w:val="26"/>
          <w:rtl w:val="true"/>
        </w:rPr>
        <w:t>-</w:t>
      </w:r>
      <w:r>
        <w:rPr>
          <w:rFonts w:cs="FrankRuehl;FrankRuehl"/>
          <w:sz w:val="24"/>
          <w:sz w:val="24"/>
          <w:szCs w:val="26"/>
          <w:rtl w:val="true"/>
        </w:rPr>
        <w:t>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הריגת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גבר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המעשה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קטילת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בקדושת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משמעותית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הזרז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הנחות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הפעולה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שלא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והאיסור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במעשה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מוריד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נצרף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רובד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נוסף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סמוי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פחות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במקרנו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החפצת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המעורבת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שייכת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אחד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כמובן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ממושכת</w:t>
      </w:r>
      <w:r>
        <w:rPr>
          <w:rFonts w:cs="FrankRuehl;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קונקרטי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יותר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</w:t>
      </w:r>
      <w:r>
        <w:rPr>
          <w:rFonts w:cs="FrankRuehl;FrankRuehl"/>
          <w:sz w:val="24"/>
          <w:szCs w:val="26"/>
          <w:rtl w:val="true"/>
        </w:rPr>
        <w:t>"</w:t>
      </w:r>
      <w:r>
        <w:rPr>
          <w:rFonts w:cs="FrankRuehl;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הטיעון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ניצב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המקסימלי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שלו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הדברים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משוכה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הטוענת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משפטית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הסניגור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בגרמניה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</w:t>
      </w:r>
      <w:r>
        <w:rPr>
          <w:rFonts w:cs="FrankRuehl;FrankRuehl"/>
          <w:sz w:val="24"/>
          <w:szCs w:val="26"/>
          <w:rtl w:val="true"/>
        </w:rPr>
        <w:t>-</w:t>
      </w:r>
      <w:r>
        <w:rPr>
          <w:rFonts w:cs="FrankRuehl;FrankRuehl"/>
          <w:sz w:val="24"/>
          <w:szCs w:val="26"/>
        </w:rPr>
        <w:t>18</w:t>
      </w:r>
      <w:r>
        <w:rPr>
          <w:rFonts w:cs="FrankRuehl;FrankRuehl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בצללים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זכויות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זו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אובייקטיבית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בעונש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ברי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לברוח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ולטעון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הבריחה</w:t>
      </w:r>
      <w:r>
        <w:rPr>
          <w:rFonts w:cs="FrankRuehl;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הערות</w:t>
      </w:r>
      <w:r>
        <w:rPr>
          <w:rFonts w:cs="FrankRuehl;FrankRuehl"/>
          <w:sz w:val="24"/>
          <w:szCs w:val="26"/>
          <w:rtl w:val="true"/>
        </w:rPr>
        <w:t xml:space="preserve">: </w:t>
      </w:r>
      <w:r>
        <w:rPr>
          <w:rFonts w:cs="FrankRuehl;FrankRuehl"/>
          <w:sz w:val="24"/>
          <w:sz w:val="24"/>
          <w:szCs w:val="26"/>
          <w:rtl w:val="true"/>
        </w:rPr>
        <w:t>ראשית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</w:t>
      </w:r>
      <w:r>
        <w:rPr>
          <w:rFonts w:cs="FrankRuehl;FrankRuehl"/>
          <w:sz w:val="24"/>
          <w:szCs w:val="26"/>
          <w:rtl w:val="true"/>
        </w:rPr>
        <w:t>"</w:t>
      </w:r>
      <w:r>
        <w:rPr>
          <w:rFonts w:cs="FrankRuehl;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ביהמ</w:t>
      </w:r>
      <w:r>
        <w:rPr>
          <w:rFonts w:cs="FrankRuehl;FrankRuehl"/>
          <w:sz w:val="24"/>
          <w:szCs w:val="26"/>
          <w:rtl w:val="true"/>
        </w:rPr>
        <w:t>"</w:t>
      </w:r>
      <w:r>
        <w:rPr>
          <w:rFonts w:cs="FrankRuehl;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מסכימים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טיעון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דייקה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באבחנה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זו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שנית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Cs w:val="26"/>
        </w:rPr>
        <w:t>113</w:t>
      </w:r>
      <w:r>
        <w:rPr>
          <w:rFonts w:cs="FrankRuehl;FrankRuehl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ברור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FrankRuehl;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להרחיב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הענישה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סביב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ההסדר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סביב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שנקבע</w:t>
      </w:r>
      <w:r>
        <w:rPr>
          <w:rFonts w:cs="FrankRuehl;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Cs w:val="26"/>
        </w:rPr>
        <w:t>180,000</w:t>
      </w:r>
      <w:r>
        <w:rPr>
          <w:rFonts w:cs="FrankRuehl;FrankRuehl"/>
          <w:sz w:val="24"/>
          <w:szCs w:val="26"/>
          <w:rtl w:val="true"/>
        </w:rPr>
        <w:t xml:space="preserve"> ₪ </w:t>
      </w:r>
      <w:r>
        <w:rPr>
          <w:rFonts w:cs="FrankRuehl;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המקסימלי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המקרה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זאת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יתוקן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</w:t>
      </w:r>
      <w:r>
        <w:rPr>
          <w:rFonts w:cs="FrankRuehl;FrankRuehl"/>
          <w:sz w:val="24"/>
          <w:szCs w:val="26"/>
          <w:rtl w:val="true"/>
        </w:rPr>
        <w:t>-</w:t>
      </w:r>
      <w:r>
        <w:rPr>
          <w:rFonts w:cs="FrankRuehl;FrankRuehl"/>
          <w:sz w:val="24"/>
          <w:szCs w:val="26"/>
        </w:rPr>
        <w:t>125,000</w:t>
      </w:r>
      <w:r>
        <w:rPr>
          <w:rFonts w:cs="FrankRuehl;FrankRuehl"/>
          <w:sz w:val="24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מסכים</w:t>
      </w:r>
      <w:r>
        <w:rPr>
          <w:rFonts w:cs="FrankRuehl;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FrankRuehl"/>
          <w:sz w:val="24"/>
          <w:sz w:val="24"/>
          <w:szCs w:val="26"/>
          <w:rtl w:val="true"/>
        </w:rPr>
        <w:t>מסכים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אכן</w:t>
      </w:r>
      <w:r>
        <w:rPr>
          <w:rFonts w:cs="FrankRuehl;FrankRuehl"/>
          <w:sz w:val="24"/>
          <w:szCs w:val="26"/>
          <w:rtl w:val="true"/>
        </w:rPr>
        <w:t xml:space="preserve">, </w:t>
      </w:r>
      <w:r>
        <w:rPr>
          <w:rFonts w:cs="FrankRuehl;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Cs w:val="26"/>
        </w:rPr>
        <w:t>113</w:t>
      </w:r>
      <w:r>
        <w:rPr>
          <w:rFonts w:cs="FrankRuehl;FrankRuehl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ברור</w:t>
      </w:r>
      <w:r>
        <w:rPr>
          <w:rFonts w:cs="FrankRuehl;FrankRuehl"/>
          <w:sz w:val="24"/>
          <w:szCs w:val="26"/>
          <w:rtl w:val="true"/>
        </w:rPr>
        <w:t xml:space="preserve">. </w:t>
      </w:r>
      <w:r>
        <w:rPr>
          <w:rFonts w:cs="FrankRuehl;FrankRuehl"/>
          <w:sz w:val="24"/>
          <w:sz w:val="24"/>
          <w:szCs w:val="26"/>
          <w:rtl w:val="true"/>
        </w:rPr>
        <w:t>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שהמופקדים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במערכת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החקיקה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דעתם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FrankRuehl"/>
          <w:sz w:val="24"/>
          <w:sz w:val="24"/>
          <w:szCs w:val="26"/>
          <w:rtl w:val="true"/>
        </w:rPr>
        <w:t>לכך</w:t>
      </w:r>
      <w:r>
        <w:rPr>
          <w:rFonts w:cs="FrankRuehl;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FrankRuehl"/>
          <w:sz w:val="24"/>
          <w:szCs w:val="26"/>
        </w:rPr>
      </w:pPr>
      <w:r>
        <w:rPr>
          <w:rFonts w:cs="FrankRuehl;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55905-01-16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סלע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12-16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בגרמניה</w:t>
      </w:r>
      <w:r>
        <w:rPr>
          <w:rtl w:val="true"/>
        </w:rPr>
        <w:t xml:space="preserve">.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. </w:t>
      </w:r>
      <w:r>
        <w:rPr>
          <w:rtl w:val="true"/>
        </w:rPr>
        <w:t>כחמישה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tl w:val="true"/>
        </w:rPr>
        <w:t xml:space="preserve">, </w:t>
      </w:r>
      <w:r>
        <w:rPr>
          <w:rtl w:val="true"/>
        </w:rPr>
        <w:t>אדוארד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רוטברג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ומתגפפים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ובגבו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לגרמניה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קטילת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מוריד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בצללים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הוודאות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אעיר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שמסתיימים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1958/98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נז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577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621-620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לפסק דינה של הנשיאה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2002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-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>-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להתרכז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10-16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.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ובדרוש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113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הסדרי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>-</w:t>
      </w:r>
      <w:r>
        <w:rPr>
          <w:rtl w:val="true"/>
        </w:rPr>
        <w:t>הגומלין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שנוגע</w:t>
      </w:r>
      <w:r>
        <w:rPr>
          <w:rFonts w:ascii="BrowalliaUPC" w:hAnsi="BrowalliaUPC" w:cs="BrowalliaUPC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zCs w:val="24"/>
          <w:rtl w:val="true"/>
        </w:rPr>
        <w:t>מתחם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הענישה</w:t>
      </w:r>
      <w:r>
        <w:rPr>
          <w:rFonts w:ascii="BrowalliaUPC" w:hAnsi="BrowalliaUPC" w:cs="BrowalliaUPC"/>
          <w:rtl w:val="true"/>
        </w:rPr>
        <w:t xml:space="preserve"> </w:t>
      </w:r>
      <w:r>
        <w:rPr>
          <w:rtl w:val="true"/>
        </w:rPr>
        <w:t>מזה</w:t>
      </w:r>
      <w:r>
        <w:rPr>
          <w:rFonts w:cs="BrowalliaUPC" w:ascii="BrowalliaUPC" w:hAnsi="BrowalliaUPC"/>
          <w:rtl w:val="true"/>
        </w:rPr>
        <w:t xml:space="preserve">, </w:t>
      </w:r>
      <w:r>
        <w:rPr>
          <w:rtl w:val="true"/>
        </w:rPr>
        <w:t>ול</w:t>
      </w:r>
      <w:r>
        <w:rPr>
          <w:rFonts w:ascii="Times New Roman" w:hAnsi="Times New Roman" w:cs="Miriam"/>
          <w:szCs w:val="24"/>
          <w:rtl w:val="true"/>
        </w:rPr>
        <w:t>טווח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ascii="BrowalliaUPC" w:hAnsi="BrowalliaUPC" w:cs="BrowalliaUPC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BrowalliaUPC" w:ascii="BrowalliaUPC" w:hAnsi="BrowalliaUPC"/>
          <w:rtl w:val="true"/>
        </w:rPr>
        <w:t>-</w:t>
      </w:r>
      <w:r>
        <w:rPr>
          <w:rtl w:val="true"/>
        </w:rPr>
        <w:t>טיעון</w:t>
      </w:r>
      <w:r>
        <w:rPr>
          <w:rFonts w:ascii="BrowalliaUPC" w:hAnsi="BrowalliaUPC" w:cs="BrowalliaUPC"/>
          <w:rtl w:val="true"/>
        </w:rPr>
        <w:t xml:space="preserve"> </w:t>
      </w:r>
      <w:r>
        <w:rPr>
          <w:rtl w:val="true"/>
        </w:rPr>
        <w:t>מזה</w:t>
      </w:r>
      <w:r>
        <w:rPr>
          <w:rFonts w:cs="BrowalliaUPC" w:ascii="BrowalliaUPC" w:hAnsi="BrowalliaUPC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נדרשתי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פלוני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14.12.2013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2021/17</w:t>
        </w:r>
      </w:hyperlink>
      <w:r>
        <w:rPr>
          <w:rtl w:val="true"/>
        </w:rPr>
        <w:t xml:space="preserve">  </w:t>
      </w:r>
      <w:r>
        <w:rPr>
          <w:rFonts w:ascii="Times New Roman" w:hAnsi="Times New Roman" w:cs="Miriam"/>
          <w:szCs w:val="24"/>
          <w:rtl w:val="true"/>
        </w:rPr>
        <w:t>מצגר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הצצתי אל מעבר לפרגוד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אל הצעת </w:t>
      </w:r>
      <w:hyperlink r:id="rId1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סדר הדין הפלילי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תיקון מס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65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הסדר טיעון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התש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2010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המונחת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ascii="Times New Roman" w:hAnsi="Times New Roman" w:cs="Times New Roman"/>
          <w:rtl w:val="true"/>
        </w:rPr>
        <w:t xml:space="preserve"> ונדונה בוועדת החוקה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חוק ומשפט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</w:rPr>
        <w:t>536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התש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1362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tl w:val="true"/>
        </w:rPr>
        <w:t>בנוסחהּ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הסדרי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טיעון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המוצע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 w:ascii="Times New Roman" w:hAnsi="Times New Roman"/>
          <w:sz w:val="24"/>
          <w:szCs w:val="24"/>
          <w:rtl w:val="true"/>
        </w:rPr>
        <w:t xml:space="preserve">...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בענישה</w:t>
      </w:r>
      <w:r>
        <w:rPr>
          <w:rFonts w:cs="Miriam" w:ascii="Times New Roman" w:hAnsi="Times New Roman"/>
          <w:sz w:val="24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בעמוד </w:t>
      </w:r>
      <w:r>
        <w:rPr>
          <w:rFonts w:cs="Times New Roman" w:ascii="Times New Roman" w:hAnsi="Times New Roman"/>
        </w:rPr>
        <w:t>1363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סבורני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משיצא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לאוויר העולם לפני למעלה מ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שנים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ביום ז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בטבת 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ב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2.1.2012</w:t>
      </w:r>
      <w:r>
        <w:rPr>
          <w:rFonts w:cs="Times New Roman" w:ascii="Times New Roman" w:hAnsi="Times New Roman"/>
          <w:rtl w:val="true"/>
        </w:rPr>
        <w:t xml:space="preserve">)), </w:t>
      </w:r>
      <w:r>
        <w:rPr>
          <w:rFonts w:ascii="Times New Roman" w:hAnsi="Times New Roman" w:cs="Times New Roman"/>
          <w:rtl w:val="true"/>
        </w:rPr>
        <w:t>ישנו צורך דחוף לפרוע את השטר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במיוחד כשניכר מאז ב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שטח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שוב ושוב הצורך ב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סינכרון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עם הסדרי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טיעון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משהצעת החוק בעניין הסדרי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טיעון עודנה בעיבּורהּ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נחוץ לכלול הוראות מתאימות בהצעת החוק ולקדם את חקיקתה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ראו גם את דברי השופט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רובינשטיין</w:t>
      </w:r>
      <w:r>
        <w:rPr>
          <w:rFonts w:ascii="Times New Roman" w:hAnsi="Times New Roman" w:cs="Times New Roman"/>
          <w:rtl w:val="true"/>
        </w:rPr>
        <w:t xml:space="preserve"> ב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9246/12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חמאיסה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23.4.2017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בפסקה 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שראה להצטרף להערתי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</w:t>
      </w:r>
      <w:r>
        <w:rPr>
          <w:rFonts w:cs="Miriam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לב</w:t>
      </w:r>
      <w:r>
        <w:rPr>
          <w:rFonts w:cs="Miriam" w:ascii="Times New Roman" w:hAnsi="Times New Roman"/>
          <w:sz w:val="24"/>
          <w:szCs w:val="24"/>
          <w:rtl w:val="true"/>
        </w:rPr>
        <w:t xml:space="preserve">... 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ענייננו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בתיקים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רבים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אחרים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מצדיק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תשומת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המחוקק</w:t>
      </w:r>
      <w:r>
        <w:rPr>
          <w:rFonts w:cs="Miriam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אציע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המופקדים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הנושא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במערכת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החקיקה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יתנו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דעתם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לכך</w:t>
      </w:r>
      <w:r>
        <w:rPr>
          <w:rFonts w:cs="Miriam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קודם</w:t>
      </w:r>
      <w:r>
        <w:rPr>
          <w:rFonts w:cs="Miriam" w:ascii="Times New Roman" w:hAnsi="Times New Roman"/>
          <w:sz w:val="24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דברַי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מיותמים</w:t>
      </w:r>
      <w:r>
        <w:rPr>
          <w:rtl w:val="true"/>
        </w:rPr>
        <w:t xml:space="preserve">.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חולפות</w:t>
      </w:r>
      <w:r>
        <w:rPr>
          <w:rtl w:val="true"/>
        </w:rPr>
        <w:t xml:space="preserve">, </w:t>
      </w:r>
      <w:r>
        <w:rPr>
          <w:rtl w:val="true"/>
        </w:rPr>
        <w:t>ועודנו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ממתינים</w:t>
      </w:r>
      <w:r>
        <w:rPr>
          <w:rtl w:val="true"/>
        </w:rPr>
        <w:t xml:space="preserve">, </w:t>
      </w:r>
      <w:r>
        <w:rPr>
          <w:rtl w:val="true"/>
        </w:rPr>
        <w:t>וזקוקים</w:t>
      </w:r>
      <w:r>
        <w:rPr>
          <w:rtl w:val="true"/>
        </w:rPr>
        <w:t xml:space="preserve">, </w:t>
      </w:r>
      <w:r>
        <w:rPr>
          <w:rtl w:val="true"/>
        </w:rPr>
        <w:t>לקידום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16069430</w:t>
      </w:r>
      <w:r>
        <w:rPr>
          <w:sz w:val="16"/>
          <w:rtl w:val="true"/>
        </w:rPr>
        <w:t>_</w:t>
      </w:r>
      <w:r>
        <w:rPr>
          <w:sz w:val="16"/>
        </w:rPr>
        <w:t>Z02.doc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54678313-6943/16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BrowalliaUPC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FrankRuehl" w:hAnsi="FrankRuehl;FrankRuehl" w:cs="FrankRuehl;FrankRuehl"/>
        <w:sz w:val="24"/>
      </w:rPr>
    </w:pPr>
    <w:r>
      <w:rPr>
        <w:rFonts w:cs="FrankRuehl;FrankRuehl" w:ascii="FrankRuehl;FrankRuehl" w:hAnsi="FrankRuehl;FrankRuehl"/>
        <w:sz w:val="24"/>
        <w:rtl w:val="true"/>
      </w:rPr>
      <w:fldChar w:fldCharType="begin"/>
    </w:r>
    <w:r>
      <w:rPr>
        <w:rtl w:val="true"/>
        <w:sz w:val="24"/>
        <w:rFonts w:cs="FrankRuehl;FrankRuehl" w:ascii="FrankRuehl;FrankRuehl" w:hAnsi="FrankRuehl;FrankRuehl"/>
      </w:rPr>
      <w:instrText xml:space="preserve"> PAGE </w:instrText>
    </w:r>
    <w:r>
      <w:rPr>
        <w:rtl w:val="true"/>
        <w:sz w:val="24"/>
        <w:rFonts w:cs="FrankRuehl;FrankRuehl" w:ascii="FrankRuehl;FrankRuehl" w:hAnsi="FrankRuehl;FrankRuehl"/>
      </w:rPr>
      <w:fldChar w:fldCharType="separate"/>
    </w:r>
    <w:r>
      <w:rPr>
        <w:rtl w:val="true"/>
        <w:sz w:val="24"/>
        <w:rFonts w:cs="FrankRuehl;FrankRuehl" w:ascii="FrankRuehl;FrankRuehl" w:hAnsi="FrankRuehl;FrankRuehl"/>
      </w:rPr>
      <w:t>8</w:t>
    </w:r>
    <w:r>
      <w:rPr>
        <w:rtl w:val="true"/>
        <w:sz w:val="24"/>
        <w:rFonts w:cs="FrankRuehl;FrankRuehl" w:ascii="FrankRuehl;FrankRuehl" w:hAnsi="FrankRuehl;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FrankRuehl" w:hAnsi="FrankRuehl;FrankRuehl" w:cs="FrankRuehl;FrankRuehl"/>
        <w:color w:val="000000"/>
        <w:sz w:val="24"/>
      </w:rPr>
    </w:pPr>
    <w:r>
      <w:rPr>
        <w:rFonts w:cs="FrankRuehl;FrankRuehl" w:ascii="FrankRuehl;FrankRuehl" w:hAnsi="FrankRuehl;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6943/16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גנדי גלקין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;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;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;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1641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case/20916419" TargetMode="External"/><Relationship Id="rId6" Type="http://schemas.openxmlformats.org/officeDocument/2006/relationships/hyperlink" Target="http://www.nevo.co.il/case/1618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569233" TargetMode="External"/><Relationship Id="rId9" Type="http://schemas.openxmlformats.org/officeDocument/2006/relationships/hyperlink" Target="http://www.nevo.co.il/case/22294063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81017" TargetMode="External"/><Relationship Id="rId13" Type="http://schemas.openxmlformats.org/officeDocument/2006/relationships/hyperlink" Target="http://www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2018-01-30T12:22:00Z</dcterms:created>
  <dc:creator> </dc:creator>
  <dc:description/>
  <cp:keywords/>
  <dc:language>en-IL</dc:language>
  <cp:lastModifiedBy>orly</cp:lastModifiedBy>
  <cp:lastPrinted>2018-01-25T14:17:00Z</cp:lastPrinted>
  <dcterms:modified xsi:type="dcterms:W3CDTF">2018-01-30T12:22:00Z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גנדי גלקין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ישראל;מר רומן רוטנברג;גברת רוטנברג אולגה - הורי המנוח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20916419:2;161892;5569233;22294063;5581017</vt:lpwstr>
  </property>
  <property fmtid="{D5CDD505-2E9C-101B-9397-08002B2CF9AE}" pid="9" name="CITY">
    <vt:lpwstr/>
  </property>
  <property fmtid="{D5CDD505-2E9C-101B-9397-08002B2CF9AE}" pid="10" name="DATE">
    <vt:lpwstr>20180128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סולברג;ג' קרא</vt:lpwstr>
  </property>
  <property fmtid="{D5CDD505-2E9C-101B-9397-08002B2CF9AE}" pid="14" name="LAWLISTTMP1">
    <vt:lpwstr>70301:2</vt:lpwstr>
  </property>
  <property fmtid="{D5CDD505-2E9C-101B-9397-08002B2CF9AE}" pid="15" name="LAWLISTTMP2">
    <vt:lpwstr>74903</vt:lpwstr>
  </property>
  <property fmtid="{D5CDD505-2E9C-101B-9397-08002B2CF9AE}" pid="16" name="LAWYER">
    <vt:lpwstr>מירי קולומבוס;אסף ברדוגו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הריגה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>הסדר טיעון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14739;15573;15822</vt:lpwstr>
  </property>
  <property fmtid="{D5CDD505-2E9C-101B-9397-08002B2CF9AE}" pid="60" name="PADIDATE">
    <vt:lpwstr>20180130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6943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410120180128</vt:lpwstr>
  </property>
  <property fmtid="{D5CDD505-2E9C-101B-9397-08002B2CF9AE}" pid="70" name="TYPE_N_DATE">
    <vt:lpwstr>41020180128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