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rFonts w:cs="Miriam"/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בבית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העליון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בשבתו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לערעורים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פליליים</w:t>
      </w:r>
    </w:p>
    <w:p>
      <w:pPr>
        <w:pStyle w:val="Normal"/>
        <w:ind w:end="0"/>
        <w:jc w:val="end"/>
        <w:rPr>
          <w:rFonts w:cs="Miriam"/>
          <w:b/>
          <w:bCs/>
          <w:sz w:val="28"/>
          <w:szCs w:val="28"/>
        </w:rPr>
      </w:pPr>
      <w:r>
        <w:rPr>
          <w:rFonts w:cs="Miriam"/>
          <w:b/>
          <w:bCs/>
          <w:sz w:val="28"/>
          <w:szCs w:val="28"/>
          <w:rtl w:val="true"/>
        </w:rPr>
      </w:r>
      <w:bookmarkStart w:id="0" w:name="Start_Write"/>
      <w:bookmarkStart w:id="1" w:name="Start_Write"/>
      <w:bookmarkEnd w:id="1"/>
    </w:p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2" w:name="casename_body"/>
            <w:bookmarkEnd w:id="2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6958/18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7232/18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7314/18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30"/>
          <w:szCs w:val="34"/>
        </w:rPr>
      </w:pPr>
      <w:r>
        <w:rPr>
          <w:rFonts w:cs="Miriam"/>
          <w:b/>
          <w:bCs/>
          <w:sz w:val="30"/>
          <w:szCs w:val="34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26"/>
          <w:szCs w:val="32"/>
        </w:rPr>
      </w:pPr>
      <w:r>
        <w:rPr>
          <w:rFonts w:cs="Miriam"/>
          <w:b/>
          <w:bCs/>
          <w:sz w:val="26"/>
          <w:szCs w:val="32"/>
          <w:rtl w:val="true"/>
        </w:rPr>
      </w:r>
      <w:bookmarkStart w:id="3" w:name="LastJudge"/>
      <w:bookmarkStart w:id="4" w:name="LastJudge"/>
      <w:bookmarkEnd w:id="4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5" w:name="FirstAppellant"/>
            <w:bookmarkEnd w:id="5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6958/18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סעיד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מצלאח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7232/18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פריס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מצלאח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7314/18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מצלח</w:t>
            </w:r>
          </w:p>
        </w:tc>
      </w:tr>
    </w:tbl>
    <w:p>
      <w:pPr>
        <w:pStyle w:val="Ruller31"/>
        <w:ind w:end="0"/>
        <w:jc w:val="start"/>
        <w:rPr>
          <w:sz w:val="20"/>
          <w:szCs w:val="26"/>
        </w:rPr>
      </w:pPr>
      <w:r>
        <w:rPr>
          <w:sz w:val="20"/>
          <w:szCs w:val="26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>
          <w:sz w:val="20"/>
          <w:szCs w:val="26"/>
        </w:rPr>
      </w:pPr>
      <w:r>
        <w:rPr>
          <w:sz w:val="20"/>
          <w:szCs w:val="26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sz w:val="20"/>
          <w:szCs w:val="26"/>
        </w:rPr>
      </w:pPr>
      <w:r>
        <w:rPr>
          <w:sz w:val="20"/>
          <w:szCs w:val="26"/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כהן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30.08.2018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3985-10-16</w:t>
            </w:r>
          </w:p>
        </w:tc>
      </w:tr>
    </w:tbl>
    <w:p>
      <w:pPr>
        <w:pStyle w:val="Ruller31"/>
        <w:ind w:end="0"/>
        <w:jc w:val="start"/>
        <w:rPr>
          <w:sz w:val="24"/>
          <w:szCs w:val="30"/>
        </w:rPr>
      </w:pPr>
      <w:r>
        <w:rPr>
          <w:sz w:val="24"/>
          <w:szCs w:val="30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19.05.2019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6958/18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שכנאי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7232/18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עאמר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עבד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7314/18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לוין</w:t>
            </w:r>
          </w:p>
        </w:tc>
      </w:tr>
    </w:tbl>
    <w:p>
      <w:pPr>
        <w:pStyle w:val="Ruller31"/>
        <w:ind w:end="0"/>
        <w:jc w:val="start"/>
        <w:rPr>
          <w:sz w:val="20"/>
          <w:szCs w:val="26"/>
        </w:rPr>
      </w:pPr>
      <w:r>
        <w:rPr>
          <w:sz w:val="20"/>
          <w:szCs w:val="26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6" w:name="FirstLawyer"/>
            <w:bookmarkEnd w:id="6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אפרת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גולדשטיין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10"/>
                <w:szCs w:val="16"/>
              </w:rPr>
            </w:pPr>
            <w:r>
              <w:rPr>
                <w:sz w:val="10"/>
                <w:szCs w:val="16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sz w:val="20"/>
                <w:szCs w:val="26"/>
              </w:rPr>
            </w:pPr>
            <w:r>
              <w:rPr>
                <w:sz w:val="20"/>
                <w:szCs w:val="26"/>
                <w:rtl w:val="true"/>
              </w:rPr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0"/>
                <w:szCs w:val="26"/>
              </w:rPr>
            </w:pPr>
            <w:r>
              <w:rPr>
                <w:sz w:val="20"/>
                <w:szCs w:val="26"/>
                <w:rtl w:val="true"/>
              </w:rPr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7" w:name="LawTable"/>
      <w:bookmarkEnd w:id="7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הפיקוח על יצוא ביטחוני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2007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ט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415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awTable_End"/>
      <w:bookmarkStart w:id="9" w:name="LawTable_End"/>
      <w:bookmarkEnd w:id="9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0" w:name="ABSTRACT_START"/>
      <w:bookmarkEnd w:id="10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המערערים הורשעו בעבירות הנוגעות לקשירת קשר עם סוחרים עזתיים להעביר משטחי ישראל לשטח רצועת עזה רכבי </w:t>
      </w:r>
      <w:r>
        <w:rPr>
          <w:rFonts w:cs="Times New Roman" w:ascii="Times New Roman" w:hAnsi="Times New Roman"/>
          <w:spacing w:val="0"/>
          <w:szCs w:val="26"/>
        </w:rPr>
        <w:t>4</w:t>
      </w:r>
      <w:r>
        <w:rPr>
          <w:rFonts w:cs="Times New Roman" w:ascii="Times New Roman" w:hAnsi="Times New Roman"/>
          <w:spacing w:val="0"/>
          <w:szCs w:val="26"/>
        </w:rPr>
        <w:t>X</w:t>
      </w:r>
      <w:r>
        <w:rPr>
          <w:rFonts w:cs="Times New Roman" w:ascii="Times New Roman" w:hAnsi="Times New Roman"/>
          <w:spacing w:val="0"/>
          <w:szCs w:val="26"/>
        </w:rPr>
        <w:t>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ללא היתר מהרשויות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דחה את ערעור המערערים </w:t>
      </w:r>
      <w:r>
        <w:rPr>
          <w:rFonts w:cs="Times New Roman" w:ascii="Times New Roman" w:hAnsi="Times New Roman"/>
          <w:spacing w:val="0"/>
          <w:szCs w:val="26"/>
        </w:rPr>
        <w:t>2-1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בנוגע לעונשי המאסר בפועל שהוטלו עליהם בהעדר עילה להתערב בו תוך הדגשה כי יש להחמיר בענישה בעבירות 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וקיבל את ערעור המערערים </w:t>
      </w:r>
      <w:r>
        <w:rPr>
          <w:rFonts w:cs="Times New Roman" w:ascii="Times New Roman" w:hAnsi="Times New Roman"/>
          <w:spacing w:val="0"/>
          <w:szCs w:val="26"/>
        </w:rPr>
        <w:t>3-2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ביחס לקנס שהושת עליהם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בדעת רוב התקבל ערעור המערער 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ביחס לעונש המאסר שהושת עליו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כך שיומר בעונש של 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 מאסר לריצוי בדרך של עבודות שירות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חלף </w:t>
      </w:r>
      <w:r>
        <w:rPr>
          <w:rFonts w:cs="Times New Roman" w:ascii="Times New Roman" w:hAnsi="Times New Roman"/>
          <w:spacing w:val="0"/>
          <w:szCs w:val="26"/>
        </w:rPr>
        <w:t>15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>).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ביטחון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התערבות ערכאת הערעור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אחדות הענישה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עקרון ההדרגתיות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עקרון ההלימה‏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מתחם הענישה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6958/18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ובניו המערערים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7232/18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7314/18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מערער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מערער 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קשרו קשר עם סוחרים עזתיים להעביר משטחי ישראל לשטח רצועת עזה רכבי </w:t>
      </w:r>
      <w:r>
        <w:rPr>
          <w:rFonts w:cs="Times New Roman" w:ascii="Times New Roman" w:hAnsi="Times New Roman"/>
          <w:spacing w:val="0"/>
          <w:szCs w:val="26"/>
        </w:rPr>
        <w:t>4</w:t>
      </w:r>
      <w:r>
        <w:rPr>
          <w:rFonts w:cs="Times New Roman" w:ascii="Times New Roman" w:hAnsi="Times New Roman"/>
          <w:spacing w:val="0"/>
          <w:szCs w:val="26"/>
        </w:rPr>
        <w:t>X</w:t>
      </w:r>
      <w:r>
        <w:rPr>
          <w:rFonts w:cs="Times New Roman" w:ascii="Times New Roman" w:hAnsi="Times New Roman"/>
          <w:spacing w:val="0"/>
          <w:szCs w:val="26"/>
        </w:rPr>
        <w:t>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ללא היתר מהרשויות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המערערים הודו בעובדות כתב האישום והורשעו בביצוע עבירות של העברת חומר דו שימושי ללא רישיון לפי חוק הפיקוח על יצוא ביטחוני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של ניסיון להעברת חומר דו שימושי ללא רישיון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עבירה של קשירת קשר לפשע ולעוון ובעבירה של סיוע לקבלת דבר במרמה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קבע כי מתחם העונש ההולם בעניינו של מערער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נע בין </w:t>
      </w:r>
      <w:r>
        <w:rPr>
          <w:rFonts w:cs="Times New Roman" w:ascii="Times New Roman" w:hAnsi="Times New Roman"/>
          <w:spacing w:val="0"/>
          <w:szCs w:val="26"/>
        </w:rPr>
        <w:t>60-30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ובעניינם של מערערים </w:t>
      </w:r>
      <w:r>
        <w:rPr>
          <w:rFonts w:cs="Times New Roman" w:ascii="Times New Roman" w:hAnsi="Times New Roman"/>
          <w:spacing w:val="0"/>
          <w:szCs w:val="26"/>
        </w:rPr>
        <w:t>3-2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בין </w:t>
      </w:r>
      <w:r>
        <w:rPr>
          <w:rFonts w:cs="Times New Roman" w:ascii="Times New Roman" w:hAnsi="Times New Roman"/>
          <w:spacing w:val="0"/>
          <w:szCs w:val="26"/>
        </w:rPr>
        <w:t>48-15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גזר על מערער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</w:rPr>
        <w:t>30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 מאסר בפועל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בניכוי ימי מעצרו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); </w:t>
      </w:r>
      <w:r>
        <w:rPr>
          <w:rFonts w:cs="Times New Roman" w:ascii="Times New Roman" w:hAnsi="Times New Roman"/>
          <w:spacing w:val="0"/>
          <w:szCs w:val="26"/>
        </w:rPr>
        <w:t>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 מאסר על תנאי וקנס בסך </w:t>
      </w:r>
      <w:r>
        <w:rPr>
          <w:rFonts w:cs="Times New Roman" w:ascii="Times New Roman" w:hAnsi="Times New Roman"/>
          <w:spacing w:val="0"/>
          <w:szCs w:val="26"/>
        </w:rPr>
        <w:t>50,000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או 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תמורתו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כל אחד מהמערערים </w:t>
      </w:r>
      <w:r>
        <w:rPr>
          <w:rFonts w:cs="Times New Roman" w:ascii="Times New Roman" w:hAnsi="Times New Roman"/>
          <w:spacing w:val="0"/>
          <w:szCs w:val="26"/>
        </w:rPr>
        <w:t>3-2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נגזרו </w:t>
      </w:r>
      <w:r>
        <w:rPr>
          <w:rFonts w:cs="Times New Roman" w:ascii="Times New Roman" w:hAnsi="Times New Roman"/>
          <w:spacing w:val="0"/>
          <w:szCs w:val="26"/>
        </w:rPr>
        <w:t>15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 מאסר בפועל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בניכוי ימי מעצרם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); 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 מאסר על תנאי וקנס בסך </w:t>
      </w:r>
      <w:r>
        <w:rPr>
          <w:rFonts w:cs="Times New Roman" w:ascii="Times New Roman" w:hAnsi="Times New Roman"/>
          <w:spacing w:val="0"/>
          <w:szCs w:val="26"/>
        </w:rPr>
        <w:t>50,000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או 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תמורתו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הערעורים נסבים על חומרת העונשים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המשנה לנשיאה מלצר והשופטים מינץ וגרוסקופף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פסק כדלקמן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ערעורי המערערים </w:t>
      </w:r>
      <w:r>
        <w:rPr>
          <w:rFonts w:cs="Times New Roman" w:ascii="Times New Roman" w:hAnsi="Times New Roman"/>
          <w:spacing w:val="0"/>
          <w:szCs w:val="26"/>
        </w:rPr>
        <w:t>2-1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אינם נמנים עם אותם מקרים חריגים שבהם מוצדקת התערבות ערכאת הערעור בגזר דינה של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הם לא הצביעו על טעות שנפלה בגזר דינו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המצדיקה התערבות בכל הנוגע לעונש שהושת עליהם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הטענה כי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שגה בעת קביעת מתחם הענישה הראוי בהתבססו על פסיקה העוסקת בדינם של סוחרים עזתיים שביצעו העברות של ציוד דו שימושי לשטחי עזה ללא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נדחתה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התחשב בקביעת מתחם הענישה ההולם בהתאם לעקרון ההלימה בכל השיקולים הנדרשים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הערך החברתי שנפגע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מידת הפגיעה בערך החברתי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מדיניות הענישה הנהוגה במקרים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 הקשורות בביצוע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בתוך 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נקבע כי עקרון ההלימה מחייב השתת מאסר בפועל שלא ירוצה ככלל בדרך של עבודות שירות על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עמד על הטעמים לכך שקביעה עקרונית זו הינה ראויה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דחה את טענת המערערים כי הפסיקה שסקר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עוסקת בדינם של סוחרים עזתיים וישראליים שביצעו העברות של חומר דו שימושי לשטחי עזה ולא של המסייעים לאותם הסוחרים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בדומה לתפקיד שמילאו המערערים ולכן עונשם צריך להיות קל מהעונש שהושת בפסקי דין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תדירות הגוברת של מקרי העברות רכבים ללא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באותו הגבול שבו בוצעו העבירות במקרה 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גרמו לשינוי מדיניות האכיפה החל משנת </w:t>
      </w:r>
      <w:r>
        <w:rPr>
          <w:rFonts w:cs="Times New Roman" w:ascii="Times New Roman" w:hAnsi="Times New Roman"/>
          <w:spacing w:val="0"/>
          <w:szCs w:val="26"/>
        </w:rPr>
        <w:t>2015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תדירות גוברת זו אף הובילה למגמה של החמרה בענישה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במטרה להעביר מסר חד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משמעי שיתרום לשמירה על ביטחון המדינה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יחד 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 ההדרגתית כבר הופעלה והושלמה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וכעת יש להחמיר בעונשם של המשתתפים בביצוע ההעברות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הפסיקה הקיימת מייצגת ענישה שהתפתחה בצורה הדרגתית והיא לא מחמירה בצורה מספקת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לנוכח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ענישה עכשווית בגין עבירות אלו צריכה לבטא חומרה רבה 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ונוכח העלייה הגוברת בהעברות ללא היתר והצורך להילחם בתופעה זאת אין סיבה לשנות מהמדיניות הקיימת ולהקל בענישה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יתרה מכך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המקרה דנן איננו פחות חמור מהמקרים שנדונו בפסיקה שנסקרה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מכיל נסיבות מחמירות יותר מחלקם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נסיבות מחמירות הנוגעות לביצוע העבירות במקרה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לנוכח כל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מתחם הענישה שנקבע מבטא נאמנה את עקרון ההלימה ואת כל הנלווה אליו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ומאזן כיאות בין השיקולים השונים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בתוך מתחם הענישה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התחשב בנסיבות שאינן קשורות בביצוע העבירות ובכללן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נסיבותיהם האישיות של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כתוצאה מכך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מוקם עונשם של המערערים ברף התחתון של מתחם 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בצדק נקבע מתחם ענישה שונה למערער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והועמד על עונש מאסר כפול מעונשם של המערערים </w:t>
      </w:r>
      <w:r>
        <w:rPr>
          <w:rFonts w:cs="Times New Roman" w:ascii="Times New Roman" w:hAnsi="Times New Roman"/>
          <w:spacing w:val="0"/>
          <w:szCs w:val="26"/>
        </w:rPr>
        <w:t>3-2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עקרון אחידות הענישה אין די בו כדי להצדיק זהות בעונשי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דין ערעורם של מערערים </w:t>
      </w:r>
      <w:r>
        <w:rPr>
          <w:rFonts w:cs="Times New Roman" w:ascii="Times New Roman" w:hAnsi="Times New Roman"/>
          <w:spacing w:val="0"/>
          <w:szCs w:val="26"/>
        </w:rPr>
        <w:t>2-1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בכל הנוגע לעונש המאסר שהושת עליהם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להידחות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אשר למערער 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קיימת הצדקה להקלה בעונשו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המבוססת על התחשבות בנסיבותיו האישיות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במיוחד נוכח תסקירי שירות המבחן החיוביים גילו הצעיר והעדר עבר 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כך שירצה 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שירוצו בדרך של עבודות שירות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צו מבחן 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דעת המיעוט סברה כי יש להפחית במידת מה מעונשו של מערער 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העונש הראוי ככלל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 מאסר בפועל מאחורי סורג ובריח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וכי היה מקום להעמיד את עונשו של מערער 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ערעור המערערים </w:t>
      </w:r>
      <w:r>
        <w:rPr>
          <w:rFonts w:cs="Times New Roman" w:ascii="Times New Roman" w:hAnsi="Times New Roman"/>
          <w:spacing w:val="0"/>
          <w:szCs w:val="26"/>
        </w:rPr>
        <w:t>3-2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ביחס לרכיב הקנס התקבל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שקל את מצבם הכלכלי של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ובהתחשב בשיקול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ובשים לב לכך ששלושת המערערים פרנסו ביחד את משפחתם קבע קנס זהה לכל אחד משלושת המערערים ללא ביצוע ההתאמה הדרושה בהתחשב בשיקולים הנגזרים מעקרון ההלימה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משעה שנקבע כי בנסיבות העניין עקרון ההלימה מחייב השתת עונש כפול על מערער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הרי שמבלי שבאו קביעות נוספות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הנוגעות לרכיב הקנס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יש להעמיד את הקנס שהושת על מערערים </w:t>
      </w:r>
      <w:r>
        <w:rPr>
          <w:rFonts w:cs="Times New Roman" w:ascii="Times New Roman" w:hAnsi="Times New Roman"/>
          <w:spacing w:val="0"/>
          <w:szCs w:val="26"/>
        </w:rPr>
        <w:t>3-2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מחצית מזה שהושת על המערער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3" w:name="PsakDin"/>
            <w:bookmarkStart w:id="14" w:name="BeginProtocol"/>
            <w:bookmarkStart w:id="15" w:name="secretary"/>
            <w:bookmarkEnd w:id="13"/>
            <w:bookmarkEnd w:id="14"/>
            <w:bookmarkEnd w:id="15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Writer_Name"/>
      <w:bookmarkStart w:id="17" w:name="Writer_Name"/>
      <w:bookmarkEnd w:id="17"/>
    </w:p>
    <w:p>
      <w:pPr>
        <w:pStyle w:val="BODYVERDICT"/>
        <w:ind w:end="0"/>
        <w:jc w:val="start"/>
        <w:rPr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המשנה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לנשיאה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מלצר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לפנינו שלושה ערעורים</w:t>
      </w:r>
      <w:r>
        <w:rPr>
          <w:rtl w:val="true"/>
        </w:rPr>
        <w:t xml:space="preserve">, </w:t>
      </w:r>
      <w:r>
        <w:rPr>
          <w:rtl w:val="true"/>
        </w:rPr>
        <w:t>שהדיון בהם אוחד</w:t>
      </w:r>
      <w:r>
        <w:rPr>
          <w:rtl w:val="true"/>
        </w:rPr>
        <w:t xml:space="preserve">, </w:t>
      </w:r>
      <w:r>
        <w:rPr>
          <w:rtl w:val="true"/>
        </w:rPr>
        <w:t xml:space="preserve">על גזר דינו של בית המשפט המחוזי בבאר שבע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3985-10-16</w:t>
      </w:r>
      <w:r>
        <w:rPr>
          <w:rtl w:val="true"/>
        </w:rPr>
        <w:t xml:space="preserve">, </w:t>
      </w:r>
      <w:r>
        <w:rPr>
          <w:rtl w:val="true"/>
        </w:rPr>
        <w:t>בגדרו הושתו על המערערים עונשים שונים</w:t>
      </w:r>
      <w:r>
        <w:rPr>
          <w:rtl w:val="true"/>
        </w:rPr>
        <w:t xml:space="preserve">, </w:t>
      </w:r>
      <w:r>
        <w:rPr>
          <w:rtl w:val="true"/>
        </w:rPr>
        <w:t xml:space="preserve">אשר יפורטו בפיסקה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shd w:fill="FFFFFF" w:val="clear"/>
        <w:overflowPunct w:val="true"/>
        <w:ind w:firstLine="72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הנתונים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הנדרשים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hd w:fill="FFFFFF" w:val="clear"/>
        <w:overflowPunct w:val="true"/>
        <w:ind w:firstLine="72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hd w:fill="FFFFFF" w:val="clear"/>
        <w:overflowPunct w:val="true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hd w:fill="FFFFFF" w:val="clear"/>
        <w:overflowPunct w:val="true"/>
        <w:ind w:end="0"/>
        <w:jc w:val="both"/>
        <w:textAlignment w:val="auto"/>
        <w:rPr/>
      </w:pPr>
      <w:r>
        <w:rPr>
          <w:rFonts w:cs="Miriam"/>
          <w:sz w:val="28"/>
          <w:sz w:val="28"/>
          <w:rtl w:val="true"/>
        </w:rPr>
        <w:t>רקע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וכתב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המתוקן</w:t>
      </w:r>
    </w:p>
    <w:p>
      <w:pPr>
        <w:pStyle w:val="Ruller41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על פי עובדות כתב האישום המתוקן שהוגש כנגד המערערים </w:t>
      </w:r>
      <w:r>
        <w:rPr>
          <w:rtl w:val="true"/>
        </w:rPr>
        <w:t>–</w:t>
      </w:r>
      <w:r>
        <w:rPr>
          <w:rtl w:val="true"/>
        </w:rPr>
        <w:t xml:space="preserve"> המערער ב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6958/18</w:t>
      </w:r>
      <w:r>
        <w:rPr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1963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), </w:t>
      </w:r>
      <w:r>
        <w:rPr>
          <w:rtl w:val="true"/>
        </w:rPr>
        <w:t>ושני בניו</w:t>
      </w:r>
      <w:r>
        <w:rPr>
          <w:rtl w:val="true"/>
        </w:rPr>
        <w:t xml:space="preserve">: </w:t>
      </w:r>
      <w:r>
        <w:rPr>
          <w:rtl w:val="true"/>
        </w:rPr>
        <w:t>המערערים ב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7232/18</w:t>
      </w:r>
      <w:r>
        <w:rPr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7314/18</w:t>
      </w:r>
      <w:r>
        <w:rPr>
          <w:rtl w:val="true"/>
        </w:rPr>
        <w:t xml:space="preserve">, </w:t>
      </w:r>
      <w:r>
        <w:rPr>
          <w:rtl w:val="true"/>
        </w:rPr>
        <w:t xml:space="preserve">ילידי </w:t>
      </w:r>
      <w:r>
        <w:rPr/>
        <w:t>1993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1991</w:t>
      </w:r>
      <w:r>
        <w:rPr>
          <w:rtl w:val="true"/>
        </w:rPr>
        <w:t xml:space="preserve"> </w:t>
      </w:r>
      <w:r>
        <w:rPr>
          <w:rtl w:val="true"/>
        </w:rPr>
        <w:t xml:space="preserve">בהתאמה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</w:t>
      </w:r>
      <w:r>
        <w:rPr>
          <w:rtl w:val="true"/>
        </w:rPr>
        <w:t xml:space="preserve">), </w:t>
      </w:r>
      <w:r>
        <w:rPr>
          <w:rtl w:val="true"/>
        </w:rPr>
        <w:t>קשרו קשר</w:t>
      </w:r>
      <w:r>
        <w:rPr>
          <w:rtl w:val="true"/>
        </w:rPr>
        <w:t xml:space="preserve">, </w:t>
      </w:r>
      <w:r>
        <w:rPr>
          <w:rtl w:val="true"/>
        </w:rPr>
        <w:t xml:space="preserve">בתחילת שנת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 xml:space="preserve">עם סוחרים עזתיים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הסוחרים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להעביר</w:t>
      </w:r>
      <w:r>
        <w:rPr>
          <w:rtl w:val="true"/>
        </w:rPr>
        <w:t xml:space="preserve"> משטחי ישראל </w:t>
      </w:r>
      <w:r>
        <w:rPr>
          <w:rtl w:val="true"/>
        </w:rPr>
        <w:t>–</w:t>
      </w:r>
      <w:r>
        <w:rPr>
          <w:rtl w:val="true"/>
        </w:rPr>
        <w:t xml:space="preserve"> לשטח רצועת עזה רכבי </w:t>
      </w:r>
      <w:r>
        <w:rPr/>
        <w:t>4</w:t>
      </w:r>
      <w:r>
        <w:rPr/>
        <w:t>X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ללא היתר מהרשויות</w:t>
      </w:r>
      <w:r>
        <w:rPr>
          <w:rtl w:val="true"/>
        </w:rPr>
        <w:t xml:space="preserve">. </w:t>
      </w:r>
      <w:r>
        <w:rPr>
          <w:rtl w:val="true"/>
        </w:rPr>
        <w:t>לשם כך</w:t>
      </w:r>
      <w:r>
        <w:rPr>
          <w:rtl w:val="true"/>
        </w:rPr>
        <w:t xml:space="preserve">, </w:t>
      </w:r>
      <w:r>
        <w:rPr>
          <w:rtl w:val="true"/>
        </w:rPr>
        <w:t>הסוחרים העזתיים רכשו</w:t>
      </w:r>
      <w:r>
        <w:rPr>
          <w:rtl w:val="true"/>
        </w:rPr>
        <w:t xml:space="preserve">, </w:t>
      </w:r>
      <w:r>
        <w:rPr>
          <w:rtl w:val="true"/>
        </w:rPr>
        <w:t>באמצעות אחרים</w:t>
      </w:r>
      <w:r>
        <w:rPr>
          <w:rtl w:val="true"/>
        </w:rPr>
        <w:t xml:space="preserve">, </w:t>
      </w:r>
      <w:r>
        <w:rPr>
          <w:rtl w:val="true"/>
        </w:rPr>
        <w:t xml:space="preserve">רכבי </w:t>
      </w:r>
      <w:r>
        <w:rPr/>
        <w:t>4</w:t>
      </w:r>
      <w:r>
        <w:rPr/>
        <w:t>X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בישראל והובילו אותם לביתם של המערערים</w:t>
      </w:r>
      <w:r>
        <w:rPr>
          <w:rtl w:val="true"/>
        </w:rPr>
        <w:t xml:space="preserve">, </w:t>
      </w:r>
      <w:r>
        <w:rPr>
          <w:rtl w:val="true"/>
        </w:rPr>
        <w:t>אשר פירקו אותם וארזו אותם במשטחים</w:t>
      </w:r>
      <w:r>
        <w:rPr>
          <w:rtl w:val="true"/>
        </w:rPr>
        <w:t xml:space="preserve">, </w:t>
      </w:r>
      <w:r>
        <w:rPr>
          <w:rtl w:val="true"/>
        </w:rPr>
        <w:t>יחד עם חלקי רכב אחרים המותרים בהעברה</w:t>
      </w:r>
      <w:r>
        <w:rPr>
          <w:rtl w:val="true"/>
        </w:rPr>
        <w:t xml:space="preserve">, </w:t>
      </w:r>
      <w:r>
        <w:rPr>
          <w:rtl w:val="true"/>
        </w:rPr>
        <w:t xml:space="preserve">וזאת כדי להסוות את ההעברה של רכבי </w:t>
      </w:r>
      <w:r>
        <w:rPr/>
        <w:t>4</w:t>
      </w:r>
      <w:r>
        <w:rPr/>
        <w:t>X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ולמנוע את גילוי ההעברה בעת מעבר הגבול לשטח רצועת עזה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לאחר שהמערערים סיימו את מלאכת הפירוק והאריזה</w:t>
      </w:r>
      <w:r>
        <w:rPr>
          <w:rtl w:val="true"/>
        </w:rPr>
        <w:t xml:space="preserve">, </w:t>
      </w:r>
      <w:r>
        <w:rPr>
          <w:rtl w:val="true"/>
        </w:rPr>
        <w:t>הם הודיעו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סוחרים</w:t>
      </w:r>
      <w:r>
        <w:rPr>
          <w:rtl w:val="true"/>
        </w:rPr>
        <w:t xml:space="preserve"> שניתן לבצע את ההעברה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הסוחרים</w:t>
      </w:r>
      <w:r>
        <w:rPr>
          <w:rtl w:val="true"/>
        </w:rPr>
        <w:t xml:space="preserve">, </w:t>
      </w:r>
      <w:r>
        <w:rPr>
          <w:rtl w:val="true"/>
        </w:rPr>
        <w:t xml:space="preserve">אשר טיפלו בפועל בהעברה </w:t>
      </w:r>
      <w:r>
        <w:rPr>
          <w:rtl w:val="true"/>
        </w:rPr>
        <w:t>–</w:t>
      </w:r>
      <w:r>
        <w:rPr>
          <w:rtl w:val="true"/>
        </w:rPr>
        <w:t xml:space="preserve"> לא ציינו במעבר הגבול כי מדובר בחלקי רכבי </w:t>
      </w:r>
      <w:r>
        <w:rPr/>
        <w:t>4</w:t>
      </w:r>
      <w:r>
        <w:rPr/>
        <w:t>X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עקב מצג השווא</w:t>
      </w:r>
      <w:r>
        <w:rPr>
          <w:rtl w:val="true"/>
        </w:rPr>
        <w:t xml:space="preserve">, </w:t>
      </w:r>
      <w:r>
        <w:rPr>
          <w:rtl w:val="true"/>
        </w:rPr>
        <w:t>חלקים אלו עברו לרצועת עזה</w:t>
      </w:r>
      <w:r>
        <w:rPr>
          <w:rtl w:val="true"/>
        </w:rPr>
        <w:t xml:space="preserve">, </w:t>
      </w:r>
      <w:r>
        <w:rPr>
          <w:rtl w:val="true"/>
        </w:rPr>
        <w:t>פעמים רבות</w:t>
      </w:r>
      <w:r>
        <w:rPr>
          <w:rtl w:val="true"/>
        </w:rPr>
        <w:t xml:space="preserve">, </w:t>
      </w:r>
      <w:r>
        <w:rPr>
          <w:rtl w:val="true"/>
        </w:rPr>
        <w:t>דרך מעבר כרם שלום</w:t>
      </w:r>
      <w:r>
        <w:rPr>
          <w:rtl w:val="true"/>
        </w:rPr>
        <w:t xml:space="preserve">, </w:t>
      </w:r>
      <w:r>
        <w:rPr>
          <w:rtl w:val="true"/>
        </w:rPr>
        <w:t>בהצלחה</w:t>
      </w:r>
      <w:r>
        <w:rPr>
          <w:rtl w:val="true"/>
        </w:rPr>
        <w:t xml:space="preserve">. </w:t>
      </w:r>
      <w:r>
        <w:rPr>
          <w:rtl w:val="true"/>
        </w:rPr>
        <w:t>עם זאת לפרקים</w:t>
      </w:r>
      <w:r>
        <w:rPr>
          <w:rtl w:val="true"/>
        </w:rPr>
        <w:t xml:space="preserve">, </w:t>
      </w:r>
      <w:r>
        <w:rPr>
          <w:rtl w:val="true"/>
        </w:rPr>
        <w:t xml:space="preserve">הבודקים בגבול איתרו את חלקי רכבי </w:t>
      </w:r>
      <w:r>
        <w:rPr/>
        <w:t>4</w:t>
      </w:r>
      <w:r>
        <w:rPr/>
        <w:t>X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ומנעו את הכנסתם לשטח רצועת עזה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 </w:t>
      </w:r>
      <w:r>
        <w:rPr>
          <w:rtl w:val="true"/>
        </w:rPr>
        <w:t>היה מעורב בסך</w:t>
      </w:r>
      <w:r>
        <w:rPr>
          <w:rtl w:val="true"/>
        </w:rPr>
        <w:t>-</w:t>
      </w:r>
      <w:r>
        <w:rPr>
          <w:rtl w:val="true"/>
        </w:rPr>
        <w:t>הכל בין החודשים</w:t>
      </w:r>
      <w:r>
        <w:rPr>
          <w:rtl w:val="true"/>
        </w:rPr>
        <w:t xml:space="preserve">: </w:t>
      </w:r>
      <w:r>
        <w:rPr>
          <w:rtl w:val="true"/>
        </w:rPr>
        <w:t xml:space="preserve">מרץ לספטמבר </w:t>
      </w:r>
      <w:r>
        <w:rPr/>
        <w:t>2016</w:t>
      </w:r>
      <w:r>
        <w:rPr>
          <w:rtl w:val="true"/>
        </w:rPr>
        <w:t xml:space="preserve"> (</w:t>
      </w:r>
      <w:r>
        <w:rPr>
          <w:rtl w:val="true"/>
        </w:rPr>
        <w:t>כחצי שנה</w:t>
      </w:r>
      <w:r>
        <w:rPr>
          <w:rtl w:val="true"/>
        </w:rPr>
        <w:t xml:space="preserve">), </w:t>
      </w:r>
      <w:r>
        <w:rPr>
          <w:rtl w:val="true"/>
        </w:rPr>
        <w:t xml:space="preserve">בהעברת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 xml:space="preserve">רכבי </w:t>
      </w:r>
      <w:r>
        <w:rPr/>
        <w:t>4</w:t>
      </w:r>
      <w:r>
        <w:rPr/>
        <w:t>X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מסוגים שונים</w:t>
      </w:r>
      <w:r>
        <w:rPr>
          <w:rtl w:val="true"/>
        </w:rPr>
        <w:t xml:space="preserve">, </w:t>
      </w:r>
      <w:r>
        <w:rPr>
          <w:rtl w:val="true"/>
        </w:rPr>
        <w:t xml:space="preserve">וכי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3-2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>היו מעורבים בסך</w:t>
      </w:r>
      <w:r>
        <w:rPr>
          <w:rtl w:val="true"/>
        </w:rPr>
        <w:t>-</w:t>
      </w:r>
      <w:r>
        <w:rPr>
          <w:rtl w:val="true"/>
        </w:rPr>
        <w:t>הכל בין החודשים</w:t>
      </w:r>
      <w:r>
        <w:rPr>
          <w:rtl w:val="true"/>
        </w:rPr>
        <w:t xml:space="preserve">: </w:t>
      </w:r>
      <w:r>
        <w:rPr>
          <w:rtl w:val="true"/>
        </w:rPr>
        <w:t xml:space="preserve">יוני לספטמבר </w:t>
      </w:r>
      <w:r>
        <w:rPr/>
        <w:t>2016</w:t>
      </w:r>
      <w:r>
        <w:rPr>
          <w:rtl w:val="true"/>
        </w:rPr>
        <w:t xml:space="preserve"> (</w:t>
      </w:r>
      <w:r>
        <w:rPr>
          <w:rtl w:val="true"/>
        </w:rPr>
        <w:t>כשלושה חודשים</w:t>
      </w:r>
      <w:r>
        <w:rPr>
          <w:rtl w:val="true"/>
        </w:rPr>
        <w:t xml:space="preserve">), </w:t>
      </w:r>
      <w:r>
        <w:rPr>
          <w:rtl w:val="true"/>
        </w:rPr>
        <w:t xml:space="preserve">בהעברת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רכבי </w:t>
      </w:r>
      <w:r>
        <w:rPr/>
        <w:t>4</w:t>
      </w:r>
      <w:r>
        <w:rPr/>
        <w:t>X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מסוגים שונים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המערערים הודו </w:t>
      </w:r>
      <w:r>
        <w:rPr>
          <w:sz w:val="22"/>
          <w:sz w:val="22"/>
          <w:rtl w:val="true"/>
        </w:rPr>
        <w:t xml:space="preserve">במסגרת הסדר טיעון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שסוכם לאחר שהחל הליך גביית ראיות</w:t>
      </w:r>
      <w:r>
        <w:rPr>
          <w:sz w:val="22"/>
          <w:rtl w:val="true"/>
        </w:rPr>
        <w:t xml:space="preserve">) </w:t>
      </w:r>
      <w:r>
        <w:rPr>
          <w:sz w:val="22"/>
          <w:rtl w:val="true"/>
        </w:rPr>
        <w:t>–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בעובדות כתב האישום המתוקן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והורשעו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פי הודאתם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בביצוע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עבירות של</w:t>
      </w:r>
      <w:r>
        <w:rPr>
          <w:rtl w:val="true"/>
        </w:rPr>
        <w:t xml:space="preserve"> העברת חומר דו שימושי ללא רישיון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הפיקוח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על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יצוא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ביטחוני</w:t>
        </w:r>
      </w:hyperlink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התשס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cs="Miriam" w:ascii="Century" w:hAnsi="Century"/>
          <w:b/>
          <w:spacing w:val="0"/>
          <w:sz w:val="22"/>
          <w:szCs w:val="24"/>
        </w:rPr>
        <w:t>2007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הפיקוח</w:t>
      </w:r>
      <w:r>
        <w:rPr>
          <w:rtl w:val="true"/>
        </w:rPr>
        <w:t xml:space="preserve">); </w:t>
      </w:r>
      <w:r>
        <w:rPr>
          <w:rtl w:val="true"/>
        </w:rPr>
        <w:t>עבירות של ניסיון להעברת חומר דו שימושי ללא רישיון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הפי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קוח</w:t>
      </w:r>
      <w:r>
        <w:rPr>
          <w:rtl w:val="true"/>
        </w:rPr>
        <w:t xml:space="preserve">, </w:t>
      </w:r>
      <w:r>
        <w:rPr>
          <w:rtl w:val="true"/>
        </w:rPr>
        <w:t xml:space="preserve">בצירוף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העונשין</w:t>
        </w:r>
      </w:hyperlink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התשל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cs="Miriam" w:ascii="Century" w:hAnsi="Century"/>
          <w:b/>
          <w:spacing w:val="0"/>
          <w:sz w:val="22"/>
          <w:szCs w:val="24"/>
        </w:rPr>
        <w:t>1977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 xml:space="preserve">עבירה של קשירת קשר לפשע </w:t>
      </w:r>
      <w:r>
        <w:rPr>
          <w:rtl w:val="true"/>
        </w:rPr>
        <w:t>(</w:t>
      </w:r>
      <w:r>
        <w:rPr>
          <w:rtl w:val="true"/>
        </w:rPr>
        <w:t>קבלת דבר במרמה בנסיבות מחמירות</w:t>
      </w:r>
      <w:r>
        <w:rPr>
          <w:rtl w:val="true"/>
        </w:rPr>
        <w:t xml:space="preserve">), </w:t>
      </w:r>
      <w:r>
        <w:rPr>
          <w:rtl w:val="true"/>
        </w:rPr>
        <w:t xml:space="preserve">לפי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 xml:space="preserve">עבירה של קשירת קשר לעוון </w:t>
      </w:r>
      <w:r>
        <w:rPr>
          <w:rtl w:val="true"/>
        </w:rPr>
        <w:t>(</w:t>
      </w:r>
      <w:r>
        <w:rPr>
          <w:rtl w:val="true"/>
        </w:rPr>
        <w:t>העברת חומר דו שימושי ללא רישיון</w:t>
      </w:r>
      <w:r>
        <w:rPr>
          <w:rtl w:val="true"/>
        </w:rPr>
        <w:t xml:space="preserve">), </w:t>
      </w:r>
      <w:r>
        <w:rPr>
          <w:rtl w:val="true"/>
        </w:rPr>
        <w:t xml:space="preserve">לפי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 ועבירה של סיוע לקבלת דבר במרמה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3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415</w:t>
        </w:r>
      </w:hyperlink>
      <w:r>
        <w:rPr>
          <w:rtl w:val="true"/>
        </w:rPr>
        <w:t xml:space="preserve"> </w:t>
      </w:r>
      <w:r>
        <w:rPr>
          <w:rtl w:val="true"/>
        </w:rPr>
        <w:t>סיפא ו</w:t>
      </w:r>
      <w:r>
        <w:rPr>
          <w:rtl w:val="true"/>
        </w:rPr>
        <w:t>-</w:t>
      </w:r>
      <w:hyperlink r:id="rId24"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sz w:val="22"/>
          <w:sz w:val="22"/>
          <w:rtl w:val="true"/>
        </w:rPr>
        <w:t>הסדר הטיעון לא כלל הסכמה לעניין העונש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אך הוסכם בין הצדדים כי טרם שמיעת הטיעונים לעונש יתקבל תסקיר שירות מבחן בעניינם של המערערים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ואכן כך היה</w:t>
      </w:r>
      <w:r>
        <w:rPr>
          <w:sz w:val="22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בתאריך </w:t>
      </w:r>
      <w:r>
        <w:rPr/>
        <w:t>30.08.2018</w:t>
      </w:r>
      <w:r>
        <w:rPr>
          <w:rtl w:val="true"/>
        </w:rPr>
        <w:t xml:space="preserve"> </w:t>
      </w:r>
      <w:r>
        <w:rPr>
          <w:rFonts w:ascii="Century" w:hAnsi="Century" w:cs="Century"/>
          <w:rtl w:val="true"/>
        </w:rPr>
        <w:t>ניתן גזר דינו של בית המשפט המחוזי הנכבד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במסגרת גזר הדין</w:t>
      </w:r>
      <w:r>
        <w:rPr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 המשפט המחוזי הנכבד קבע כי מעשי המערערים מהווים אירוע אחד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הכולל מספר מעשים ומשכך יש לקבוע מתחם ענישה אחד ביחס לכלל העבירות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כן בית המשפט המחוזי הנכבד התייחס לחומרתן של העבירות האוסרות העברת חומרים דו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שימושיים לשטחי עזה ללא היתר</w:t>
      </w:r>
      <w:r>
        <w:rPr>
          <w:rtl w:val="true"/>
        </w:rPr>
        <w:t xml:space="preserve">. </w:t>
      </w:r>
      <w:r>
        <w:rPr>
          <w:rtl w:val="true"/>
        </w:rPr>
        <w:t>עוד נקבע</w:t>
      </w:r>
      <w:r>
        <w:rPr>
          <w:rtl w:val="true"/>
        </w:rPr>
        <w:t xml:space="preserve">, </w:t>
      </w:r>
      <w:r>
        <w:rPr>
          <w:rtl w:val="true"/>
        </w:rPr>
        <w:t xml:space="preserve">כי הערכים החברתיים המוגנים שנפגעו כתוצאה ממעשי המערערים ועומדים בבסיס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הפיקוח</w:t>
      </w:r>
      <w:r>
        <w:rPr>
          <w:rtl w:val="true"/>
        </w:rPr>
        <w:t xml:space="preserve">, </w:t>
      </w:r>
      <w:r>
        <w:rPr>
          <w:rtl w:val="true"/>
        </w:rPr>
        <w:t>כוללים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שמירה על הביטחון הלאומי</w:t>
      </w:r>
      <w:r>
        <w:rPr>
          <w:rtl w:val="true"/>
        </w:rPr>
        <w:t xml:space="preserve">, </w:t>
      </w:r>
      <w:r>
        <w:rPr>
          <w:rtl w:val="true"/>
        </w:rPr>
        <w:t>וכן הקפדה על יחסי החוץ של המדינה ועל התחייבויותיה הבינלאומיות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נקבע כי יש לתת משקל לנסיבות ביצוע העבירות</w:t>
      </w:r>
      <w:r>
        <w:rPr>
          <w:rtl w:val="true"/>
        </w:rPr>
        <w:t xml:space="preserve">, </w:t>
      </w:r>
      <w:r>
        <w:rPr>
          <w:rtl w:val="true"/>
        </w:rPr>
        <w:t>וביניהן</w:t>
      </w:r>
      <w:r>
        <w:rPr>
          <w:rtl w:val="true"/>
        </w:rPr>
        <w:t xml:space="preserve">: </w:t>
      </w:r>
      <w:r>
        <w:rPr>
          <w:rtl w:val="true"/>
        </w:rPr>
        <w:t>חלקם של המערערים בביצוע העבירות</w:t>
      </w:r>
      <w:r>
        <w:rPr>
          <w:rtl w:val="true"/>
        </w:rPr>
        <w:t xml:space="preserve">, </w:t>
      </w:r>
      <w:r>
        <w:rPr>
          <w:rtl w:val="true"/>
        </w:rPr>
        <w:t>כפי שפורט בכתב האישום המתוקן</w:t>
      </w:r>
      <w:r>
        <w:rPr>
          <w:rtl w:val="true"/>
        </w:rPr>
        <w:t xml:space="preserve">; </w:t>
      </w:r>
      <w:r>
        <w:rPr>
          <w:rtl w:val="true"/>
        </w:rPr>
        <w:t>מספר הרכבים</w:t>
      </w:r>
      <w:r>
        <w:rPr>
          <w:rtl w:val="true"/>
        </w:rPr>
        <w:t xml:space="preserve">, </w:t>
      </w:r>
      <w:r>
        <w:rPr>
          <w:rtl w:val="true"/>
        </w:rPr>
        <w:t>אשר בהעברתם היה כל אחד מהמערערים מעורב</w:t>
      </w:r>
      <w:r>
        <w:rPr>
          <w:rtl w:val="true"/>
        </w:rPr>
        <w:t xml:space="preserve">, </w:t>
      </w:r>
      <w:r>
        <w:rPr>
          <w:rtl w:val="true"/>
        </w:rPr>
        <w:t>ומשך התקופה בה ביצע כל אחד מן המערערים את העבירות</w:t>
      </w:r>
      <w:r>
        <w:rPr>
          <w:rtl w:val="true"/>
        </w:rPr>
        <w:t xml:space="preserve">. </w:t>
      </w:r>
      <w:r>
        <w:rPr>
          <w:rtl w:val="true"/>
        </w:rPr>
        <w:t>בעניין מדיניות הענישה הנהוגה בעבירות דנא</w:t>
      </w:r>
      <w:r>
        <w:rPr>
          <w:rtl w:val="true"/>
        </w:rPr>
        <w:t xml:space="preserve">, </w:t>
      </w:r>
      <w:r>
        <w:rPr>
          <w:rtl w:val="true"/>
        </w:rPr>
        <w:t xml:space="preserve">נקבע כי רק בשנת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החלו להעמיד לדין פלילי בגין ביצוע עבירות אלו ולפיכך לא קיימת פסיקה עניפה בסוגיה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בית המשפט המחוזי הנכבד סקר בזהירות המתבקשת</w:t>
      </w:r>
      <w:r>
        <w:rPr>
          <w:rtl w:val="true"/>
        </w:rPr>
        <w:t xml:space="preserve">, </w:t>
      </w:r>
      <w:r>
        <w:rPr>
          <w:rtl w:val="true"/>
        </w:rPr>
        <w:t>ובהתאמות הנדרשות</w:t>
      </w:r>
      <w:r>
        <w:rPr>
          <w:rtl w:val="true"/>
        </w:rPr>
        <w:t xml:space="preserve">,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פסקי דין שניתנו בנושא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 הקביעות הנ</w:t>
      </w:r>
      <w:r>
        <w:rPr>
          <w:rtl w:val="true"/>
        </w:rPr>
        <w:t>"</w:t>
      </w:r>
      <w:r>
        <w:rPr>
          <w:rtl w:val="true"/>
        </w:rPr>
        <w:t>ל והנסיבות של מעשי 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החליט בית המשפט המחוזי הנכבד כי מתחם העונש ההולם בעניינו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 </w:t>
      </w:r>
      <w:r>
        <w:rPr>
          <w:rtl w:val="true"/>
        </w:rPr>
        <w:t>נע בין</w:t>
      </w:r>
      <w:r>
        <w:rPr>
          <w:sz w:val="28"/>
          <w:sz w:val="28"/>
          <w:rtl w:val="true"/>
        </w:rPr>
        <w:t xml:space="preserve"> שלושים לבין שישים חודשי מאסר בפועל</w:t>
      </w:r>
      <w:r>
        <w:rPr>
          <w:sz w:val="28"/>
          <w:rtl w:val="true"/>
        </w:rPr>
        <w:t xml:space="preserve">, </w:t>
      </w:r>
      <w:r>
        <w:rPr>
          <w:rtl w:val="true"/>
        </w:rPr>
        <w:t xml:space="preserve">וכי מתחם העונש ההולם בעניינם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3-2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>נע בין</w:t>
      </w:r>
      <w:r>
        <w:rPr>
          <w:sz w:val="28"/>
          <w:sz w:val="28"/>
          <w:rtl w:val="true"/>
        </w:rPr>
        <w:t xml:space="preserve"> חמישה עשר לבין ארבעים ושמונה חודשי מאסר בפועל</w:t>
      </w:r>
      <w:r>
        <w:rPr>
          <w:sz w:val="28"/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 הנכבד זקף לזכותם של המערערים מספר נסיבות מקלות ובהן</w:t>
      </w:r>
      <w:r>
        <w:rPr>
          <w:rtl w:val="true"/>
        </w:rPr>
        <w:t xml:space="preserve">: </w:t>
      </w:r>
      <w:r>
        <w:rPr>
          <w:rtl w:val="true"/>
        </w:rPr>
        <w:t>ההתרשמות החיובית של שירות המבחן בכלל</w:t>
      </w:r>
      <w:r>
        <w:rPr>
          <w:rtl w:val="true"/>
        </w:rPr>
        <w:t xml:space="preserve">, </w:t>
      </w:r>
      <w:r>
        <w:rPr>
          <w:rtl w:val="true"/>
        </w:rPr>
        <w:t>וביחס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</w:t>
      </w:r>
      <w:r>
        <w:rPr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; </w:t>
      </w:r>
      <w:r>
        <w:rPr>
          <w:rtl w:val="true"/>
        </w:rPr>
        <w:t>עברו הפלילי</w:t>
      </w:r>
      <w:r>
        <w:rPr>
          <w:rtl w:val="true"/>
        </w:rPr>
        <w:t xml:space="preserve">, </w:t>
      </w:r>
      <w:r>
        <w:rPr>
          <w:rtl w:val="true"/>
        </w:rPr>
        <w:t>המינורי יחסית</w:t>
      </w:r>
      <w:r>
        <w:rPr>
          <w:rtl w:val="true"/>
        </w:rPr>
        <w:t xml:space="preserve">, </w:t>
      </w:r>
      <w:r>
        <w:rPr>
          <w:rtl w:val="true"/>
        </w:rPr>
        <w:t xml:space="preserve">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; </w:t>
      </w:r>
      <w:r>
        <w:rPr>
          <w:rtl w:val="true"/>
        </w:rPr>
        <w:t>היעדר עבר פלילי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מערערים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3-2</w:t>
      </w:r>
      <w:r>
        <w:rPr>
          <w:rtl w:val="true"/>
        </w:rPr>
        <w:t xml:space="preserve">; </w:t>
      </w:r>
      <w:r>
        <w:rPr>
          <w:rtl w:val="true"/>
        </w:rPr>
        <w:t>הודאת המערערים והבעת החרטה מצידם</w:t>
      </w:r>
      <w:r>
        <w:rPr>
          <w:rtl w:val="true"/>
        </w:rPr>
        <w:t xml:space="preserve">; </w:t>
      </w:r>
      <w:r>
        <w:rPr>
          <w:rtl w:val="true"/>
        </w:rPr>
        <w:t>מעצרם והתנאים המגבילים בהם שהו המערערים בזמן ההליכים</w:t>
      </w:r>
      <w:r>
        <w:rPr>
          <w:rtl w:val="true"/>
        </w:rPr>
        <w:t xml:space="preserve">, </w:t>
      </w:r>
      <w:r>
        <w:rPr>
          <w:rtl w:val="true"/>
        </w:rPr>
        <w:t>ומצבם האישי</w:t>
      </w:r>
      <w:r>
        <w:rPr>
          <w:rtl w:val="true"/>
        </w:rPr>
        <w:t xml:space="preserve">, </w:t>
      </w:r>
      <w:r>
        <w:rPr>
          <w:rtl w:val="true"/>
        </w:rPr>
        <w:t>המשפחתי והכלכלי של המערערים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הנכבד קבע כי ריצוי מאסר בדרך של עבודות שירות כמבוקש </w:t>
      </w:r>
      <w:r>
        <w:rPr>
          <w:rtl w:val="true"/>
        </w:rPr>
        <w:t>–</w:t>
      </w:r>
      <w:r>
        <w:rPr>
          <w:rtl w:val="true"/>
        </w:rPr>
        <w:t xml:space="preserve"> יחטיא את האיזון הראוי בין מכלול השיקולים הצריכים לעניין וכי עניינם של המערערים איננו מצדיק סטייה ממתחם העונש ההולם משיקולי שיקום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sz w:val="20"/>
          <w:szCs w:val="24"/>
        </w:rPr>
      </w:pPr>
      <w:r>
        <w:rPr>
          <w:sz w:val="20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 ששקל את מכלול השיקולים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בית המשפט הנכבד מיקם את עונשם של המערערים בחלקו התחתון של מתחם העונש ההולם שנקבע על ידו כאמור לעיל</w:t>
      </w:r>
      <w:r>
        <w:rPr>
          <w:rtl w:val="true"/>
        </w:rPr>
        <w:t xml:space="preserve">, </w:t>
      </w:r>
      <w:r>
        <w:rPr>
          <w:rtl w:val="true"/>
        </w:rPr>
        <w:t>זאת לנוכח הנימוקים לקולא שפורטו לעיל ועמדת שירות המבחן</w:t>
      </w:r>
      <w:r>
        <w:rPr>
          <w:rtl w:val="true"/>
        </w:rPr>
        <w:t xml:space="preserve">. </w:t>
      </w:r>
      <w:r>
        <w:rPr>
          <w:rtl w:val="true"/>
        </w:rPr>
        <w:t>עוד נקבע</w:t>
      </w:r>
      <w:r>
        <w:rPr>
          <w:rtl w:val="true"/>
        </w:rPr>
        <w:t xml:space="preserve">, </w:t>
      </w:r>
      <w:r>
        <w:rPr>
          <w:rtl w:val="true"/>
        </w:rPr>
        <w:t xml:space="preserve">כי אין בסיס להבחנה בין עונשו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לבין עונשו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</w:t>
      </w:r>
      <w:r>
        <w:rPr>
          <w:rtl w:val="true"/>
        </w:rPr>
        <w:t xml:space="preserve">, </w:t>
      </w:r>
      <w:r>
        <w:rPr>
          <w:rtl w:val="true"/>
        </w:rPr>
        <w:t>שהופנה להליך טיפולי וכי גם אין מקום להחמיר בעונשם של המערערים משיקולי הרתעת הרבים</w:t>
      </w:r>
      <w:r>
        <w:rPr>
          <w:rtl w:val="true"/>
        </w:rPr>
        <w:t xml:space="preserve">. </w:t>
      </w:r>
      <w:r>
        <w:rPr>
          <w:rtl w:val="true"/>
        </w:rPr>
        <w:t xml:space="preserve">בנוסף נקבע כי מאחר ושלושת המערערים הינם בני משפחה אחת </w:t>
      </w:r>
      <w:r>
        <w:rPr>
          <w:rtl w:val="true"/>
        </w:rPr>
        <w:t>–</w:t>
      </w:r>
      <w:r>
        <w:rPr>
          <w:rtl w:val="true"/>
        </w:rPr>
        <w:t xml:space="preserve"> אין יסוד להבחין ביניהם בעניין גובה הקנס</w:t>
      </w:r>
      <w:r>
        <w:rPr>
          <w:rtl w:val="true"/>
        </w:rPr>
        <w:t xml:space="preserve">, </w:t>
      </w:r>
      <w:r>
        <w:rPr>
          <w:rtl w:val="true"/>
        </w:rPr>
        <w:t>אך יש להקל עליהם נוכח מצבם הכלכלי ובהתחשב בעונשי המאסר בפועל שהושתו עליהם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18"/>
          <w:szCs w:val="24"/>
        </w:rPr>
      </w:pPr>
      <w:r>
        <w:rPr>
          <w:sz w:val="18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הנכבד גזר 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 </w:t>
      </w:r>
      <w:r>
        <w:rPr>
          <w:rtl w:val="true"/>
        </w:rPr>
        <w:t>את העונשים הבאים</w:t>
      </w:r>
      <w:r>
        <w:rPr>
          <w:rtl w:val="true"/>
        </w:rPr>
        <w:t>:</w:t>
      </w:r>
    </w:p>
    <w:p>
      <w:pPr>
        <w:pStyle w:val="Ruller41"/>
        <w:ind w:end="0"/>
        <w:jc w:val="both"/>
        <w:rPr>
          <w:sz w:val="10"/>
          <w:szCs w:val="16"/>
        </w:rPr>
      </w:pPr>
      <w:r>
        <w:rPr>
          <w:sz w:val="10"/>
          <w:szCs w:val="16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</w:t>
      </w:r>
      <w:r>
        <w:rPr>
          <w:rtl w:val="true"/>
        </w:rPr>
        <w:t>(</w:t>
      </w:r>
      <w:r>
        <w:rPr>
          <w:rtl w:val="true"/>
        </w:rPr>
        <w:t>בניכוי ימי מעצרו</w:t>
      </w:r>
      <w:r>
        <w:rPr>
          <w:rtl w:val="true"/>
        </w:rPr>
        <w:t xml:space="preserve">);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 מאסר על תנאי למשך שלוש שנים מיום שחרורו</w:t>
      </w:r>
      <w:r>
        <w:rPr>
          <w:rtl w:val="true"/>
        </w:rPr>
        <w:t xml:space="preserve">, </w:t>
      </w:r>
      <w:r>
        <w:rPr>
          <w:rtl w:val="true"/>
        </w:rPr>
        <w:t xml:space="preserve">והתנאי הוא שלא יעבור אחת מהעבירות בהן הורשע וקנס כספי בסך של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 xml:space="preserve">או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 מאסר תמורתו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בית המשפט המחוזי הנכבד גזר על כל אחד מ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3-2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>את העונשים הבאים</w:t>
      </w:r>
      <w:r>
        <w:rPr>
          <w:rtl w:val="true"/>
        </w:rPr>
        <w:t xml:space="preserve">: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</w:t>
      </w:r>
      <w:r>
        <w:rPr>
          <w:rtl w:val="true"/>
        </w:rPr>
        <w:t>(</w:t>
      </w:r>
      <w:r>
        <w:rPr>
          <w:rtl w:val="true"/>
        </w:rPr>
        <w:t>בניכוי ימי מעצרם</w:t>
      </w:r>
      <w:r>
        <w:rPr>
          <w:rtl w:val="true"/>
        </w:rPr>
        <w:t xml:space="preserve">);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על תנאי למשך שלוש שנים מיום שחרורם</w:t>
      </w:r>
      <w:r>
        <w:rPr>
          <w:rtl w:val="true"/>
        </w:rPr>
        <w:t xml:space="preserve">, </w:t>
      </w:r>
      <w:r>
        <w:rPr>
          <w:rtl w:val="true"/>
        </w:rPr>
        <w:t>והתנאי הוא שלא יעברו אחת מהעבירות בהן הורשעו</w:t>
      </w:r>
      <w:r>
        <w:rPr>
          <w:rtl w:val="true"/>
        </w:rPr>
        <w:t xml:space="preserve">; </w:t>
      </w:r>
      <w:r>
        <w:rPr>
          <w:rtl w:val="true"/>
        </w:rPr>
        <w:t xml:space="preserve">וכן קנס כספי בסך של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 xml:space="preserve">או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 מאסר תמורתו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18"/>
          <w:szCs w:val="24"/>
        </w:rPr>
      </w:pPr>
      <w:r>
        <w:rPr>
          <w:sz w:val="18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להשלמת</w:t>
      </w:r>
      <w:r>
        <w:rPr>
          <w:rtl w:val="true"/>
        </w:rPr>
        <w:t xml:space="preserve"> </w:t>
      </w:r>
      <w:r>
        <w:rPr>
          <w:rtl w:val="true"/>
        </w:rPr>
        <w:t>התמונה</w:t>
      </w:r>
      <w:r>
        <w:rPr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בעת מתן גזר הדין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המחוזי הנכבד</w:t>
      </w:r>
      <w:r>
        <w:rPr>
          <w:rtl w:val="true"/>
        </w:rPr>
        <w:t xml:space="preserve"> </w:t>
      </w:r>
      <w:r>
        <w:rPr>
          <w:rtl w:val="true"/>
        </w:rPr>
        <w:t>עיכב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תחילת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 xml:space="preserve">גזר הדין של המערערים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תאריך</w:t>
      </w:r>
      <w:r>
        <w:rPr>
          <w:rtl w:val="true"/>
        </w:rPr>
        <w:t xml:space="preserve"> </w:t>
      </w:r>
      <w:r>
        <w:rPr/>
        <w:t>14.10.2018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sz w:val="20"/>
          <w:szCs w:val="24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בתאריך </w:t>
      </w:r>
      <w:r>
        <w:rPr/>
        <w:t>11.10.2018</w:t>
      </w:r>
      <w:r>
        <w:rPr>
          <w:rtl w:val="true"/>
        </w:rPr>
        <w:t xml:space="preserve"> </w:t>
      </w:r>
      <w:r>
        <w:rPr>
          <w:rtl w:val="true"/>
        </w:rPr>
        <w:t>דחה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מזוז</w:t>
      </w:r>
      <w:r>
        <w:rPr>
          <w:rtl w:val="true"/>
        </w:rPr>
        <w:t xml:space="preserve">)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בקשת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 </w:t>
      </w:r>
      <w:r>
        <w:rPr>
          <w:rtl w:val="true"/>
        </w:rPr>
        <w:t>לעיכוב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להכרעה</w:t>
      </w:r>
      <w:r>
        <w:rPr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 דנא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החליט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זה</w:t>
      </w:r>
      <w:r>
        <w:rPr>
          <w:rtl w:val="true"/>
        </w:rPr>
        <w:t xml:space="preserve"> </w:t>
      </w:r>
      <w:r>
        <w:rPr>
          <w:rtl w:val="true"/>
        </w:rPr>
        <w:t>להיעתר</w:t>
      </w:r>
      <w:r>
        <w:rPr>
          <w:rtl w:val="true"/>
        </w:rPr>
        <w:t xml:space="preserve"> </w:t>
      </w:r>
      <w:r>
        <w:rPr>
          <w:rtl w:val="true"/>
        </w:rPr>
        <w:t>לבקשתו</w:t>
      </w:r>
      <w:r>
        <w:rPr>
          <w:rtl w:val="true"/>
        </w:rPr>
        <w:t xml:space="preserve"> </w:t>
      </w:r>
      <w:r>
        <w:rPr>
          <w:rtl w:val="true"/>
        </w:rPr>
        <w:t>החלופית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 </w:t>
      </w:r>
      <w:r>
        <w:rPr>
          <w:rtl w:val="true"/>
        </w:rPr>
        <w:t>יעוכב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תאריך</w:t>
      </w:r>
      <w:r>
        <w:rPr>
          <w:rtl w:val="true"/>
        </w:rPr>
        <w:t xml:space="preserve"> </w:t>
      </w:r>
      <w:r>
        <w:rPr/>
        <w:t>28.10.2018</w:t>
      </w:r>
      <w:r>
        <w:rPr>
          <w:rtl w:val="true"/>
        </w:rPr>
        <w:t xml:space="preserve">, </w:t>
      </w:r>
      <w:r>
        <w:rPr>
          <w:rtl w:val="true"/>
        </w:rPr>
        <w:t>כדי לאפשר לו קיום הליך של מיון מוקדם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לפיכך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 </w:t>
      </w:r>
      <w:r>
        <w:rPr>
          <w:rtl w:val="true"/>
        </w:rPr>
        <w:t>החל בריצוי עונשו במועד זה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מנגד </w:t>
      </w:r>
      <w:r>
        <w:rPr>
          <w:rtl w:val="true"/>
        </w:rPr>
        <w:t>–</w:t>
      </w:r>
      <w:r>
        <w:rPr>
          <w:rtl w:val="true"/>
        </w:rPr>
        <w:t xml:space="preserve"> בתאריכים </w:t>
      </w:r>
      <w:r>
        <w:rPr/>
        <w:t>16.10.2018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25.10.2018</w:t>
      </w:r>
      <w:r>
        <w:rPr>
          <w:rtl w:val="true"/>
        </w:rPr>
        <w:t xml:space="preserve">, </w:t>
      </w:r>
      <w:r>
        <w:rPr>
          <w:rtl w:val="true"/>
        </w:rPr>
        <w:t xml:space="preserve">אישר בית משפט זה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פוגלמן</w:t>
      </w:r>
      <w:r>
        <w:rPr>
          <w:rtl w:val="true"/>
        </w:rPr>
        <w:t xml:space="preserve">), </w:t>
      </w:r>
      <w:r>
        <w:rPr>
          <w:rtl w:val="true"/>
        </w:rPr>
        <w:t>בהסכמת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עיכוב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 xml:space="preserve">של עונש המאסר בפועל שהושת 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3-2</w:t>
      </w:r>
      <w:r>
        <w:rPr>
          <w:rtl w:val="true"/>
        </w:rPr>
        <w:t xml:space="preserve">, </w:t>
      </w:r>
      <w:r>
        <w:rPr>
          <w:rtl w:val="true"/>
        </w:rPr>
        <w:t xml:space="preserve">וזאת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להכרעה</w:t>
      </w:r>
      <w:r>
        <w:rPr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 </w:t>
      </w:r>
      <w:r>
        <w:rPr>
          <w:rtl w:val="true"/>
        </w:rPr>
        <w:t>דנא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בתאריך </w:t>
      </w:r>
      <w:r>
        <w:rPr/>
        <w:t>24.10.2018</w:t>
      </w:r>
      <w:r>
        <w:rPr>
          <w:rtl w:val="true"/>
        </w:rPr>
        <w:t xml:space="preserve">, </w:t>
      </w:r>
      <w:r>
        <w:rPr>
          <w:rtl w:val="true"/>
        </w:rPr>
        <w:t xml:space="preserve">אישר בית משפט זה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פוגלמן</w:t>
      </w:r>
      <w:r>
        <w:rPr>
          <w:rtl w:val="true"/>
        </w:rPr>
        <w:t xml:space="preserve">), </w:t>
      </w:r>
      <w:r>
        <w:rPr>
          <w:rtl w:val="true"/>
        </w:rPr>
        <w:t>בהסכמת הצדדים</w:t>
      </w:r>
      <w:r>
        <w:rPr>
          <w:rtl w:val="true"/>
        </w:rPr>
        <w:t xml:space="preserve">, </w:t>
      </w:r>
      <w:r>
        <w:rPr>
          <w:rtl w:val="true"/>
        </w:rPr>
        <w:t xml:space="preserve">עיכוב ביצוע תשלום הקנס שהושת 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</w:t>
      </w:r>
      <w:r>
        <w:rPr>
          <w:rtl w:val="true"/>
        </w:rPr>
        <w:t xml:space="preserve">, </w:t>
      </w:r>
      <w:r>
        <w:rPr>
          <w:rtl w:val="true"/>
        </w:rPr>
        <w:t xml:space="preserve">עד לתאריך </w:t>
      </w:r>
      <w:r>
        <w:rPr/>
        <w:t>16.12.2018</w:t>
      </w:r>
      <w:r>
        <w:rPr>
          <w:rtl w:val="true"/>
        </w:rPr>
        <w:t xml:space="preserve">. </w:t>
      </w:r>
      <w:r>
        <w:rPr>
          <w:rtl w:val="true"/>
        </w:rPr>
        <w:t xml:space="preserve">בתאריך </w:t>
      </w:r>
      <w:r>
        <w:rPr/>
        <w:t>13.12.2018</w:t>
      </w:r>
      <w:r>
        <w:rPr>
          <w:rtl w:val="true"/>
        </w:rPr>
        <w:t xml:space="preserve">, </w:t>
      </w:r>
      <w:r>
        <w:rPr>
          <w:rtl w:val="true"/>
        </w:rPr>
        <w:t xml:space="preserve">אישר בית משפט זה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וילנר</w:t>
      </w:r>
      <w:r>
        <w:rPr>
          <w:rtl w:val="true"/>
        </w:rPr>
        <w:t xml:space="preserve">), </w:t>
      </w:r>
      <w:r>
        <w:rPr>
          <w:rtl w:val="true"/>
        </w:rPr>
        <w:t xml:space="preserve">עיכוב ביצוע נוסף של תשלום הקנס שהושת 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</w:t>
      </w:r>
      <w:r>
        <w:rPr>
          <w:rtl w:val="true"/>
        </w:rPr>
        <w:t xml:space="preserve">, </w:t>
      </w:r>
      <w:r>
        <w:rPr>
          <w:rtl w:val="true"/>
        </w:rPr>
        <w:t>עד להכרעה בערעור דנא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המערערים לא השלימו עם חומרת העונשים שהושתו עליהם</w:t>
      </w:r>
      <w:r>
        <w:rPr>
          <w:rtl w:val="true"/>
        </w:rPr>
        <w:t xml:space="preserve">, </w:t>
      </w:r>
      <w:r>
        <w:rPr>
          <w:rtl w:val="true"/>
        </w:rPr>
        <w:t>ומכאן הערעורים שלפנינו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 המערערים</w:t>
      </w:r>
      <w:r>
        <w:rPr>
          <w:rtl w:val="true"/>
        </w:rPr>
        <w:t xml:space="preserve">, </w:t>
      </w:r>
      <w:r>
        <w:rPr>
          <w:rtl w:val="true"/>
        </w:rPr>
        <w:t>בית המשפט המחוזי הנכבד שגה בקביעת מתחם העונש ההולם בעניינם והחמיר עימם יתר על המידה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לטענתם</w:t>
      </w:r>
      <w:r>
        <w:rPr>
          <w:rtl w:val="true"/>
        </w:rPr>
        <w:t xml:space="preserve">, </w:t>
      </w:r>
      <w:r>
        <w:rPr>
          <w:rtl w:val="true"/>
        </w:rPr>
        <w:t>המתחם איננו מתיישב עם מהות העבירות ועם 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כפי שתוארה בגזר דינו של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הנכבד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לטענתם</w:t>
      </w:r>
      <w:r>
        <w:rPr>
          <w:rtl w:val="true"/>
        </w:rPr>
        <w:t xml:space="preserve">, </w:t>
      </w:r>
      <w:r>
        <w:rPr>
          <w:rtl w:val="true"/>
        </w:rPr>
        <w:t>בית המשפט המחוזי הנכבד התעלם מחלקם השולי בהשלמת העבירות</w:t>
      </w:r>
      <w:r>
        <w:rPr>
          <w:rtl w:val="true"/>
        </w:rPr>
        <w:t xml:space="preserve">, </w:t>
      </w:r>
      <w:r>
        <w:rPr>
          <w:rtl w:val="true"/>
        </w:rPr>
        <w:t>לאור העובדה שהפסיקה שנסקרה</w:t>
      </w:r>
      <w:r>
        <w:rPr>
          <w:rtl w:val="true"/>
        </w:rPr>
        <w:t xml:space="preserve"> </w:t>
      </w:r>
      <w:r>
        <w:rPr>
          <w:rtl w:val="true"/>
        </w:rPr>
        <w:t>עסקה בדינם של הסוחרים העזתיים</w:t>
      </w:r>
      <w:r>
        <w:rPr>
          <w:rtl w:val="true"/>
        </w:rPr>
        <w:t xml:space="preserve">, </w:t>
      </w:r>
      <w:r>
        <w:rPr>
          <w:rtl w:val="true"/>
        </w:rPr>
        <w:t>אשר ביצעו בפועל את העברת החומרים</w:t>
      </w:r>
      <w:r>
        <w:rPr>
          <w:rtl w:val="true"/>
        </w:rPr>
        <w:t xml:space="preserve">, </w:t>
      </w:r>
      <w:r>
        <w:rPr>
          <w:rtl w:val="true"/>
        </w:rPr>
        <w:t>דהיינו היו המבצעים העיקריים</w:t>
      </w:r>
      <w:r>
        <w:rPr>
          <w:rtl w:val="true"/>
        </w:rPr>
        <w:t xml:space="preserve">, </w:t>
      </w:r>
      <w:r>
        <w:rPr>
          <w:rtl w:val="true"/>
        </w:rPr>
        <w:t xml:space="preserve">ולא במי שרק סייע להם לבצע את ההעברה </w:t>
      </w:r>
      <w:r>
        <w:rPr>
          <w:rtl w:val="true"/>
        </w:rPr>
        <w:t>–</w:t>
      </w:r>
      <w:r>
        <w:rPr>
          <w:rtl w:val="true"/>
        </w:rPr>
        <w:t xml:space="preserve"> כמו המערערים דנא</w:t>
      </w:r>
      <w:r>
        <w:rPr>
          <w:rtl w:val="true"/>
        </w:rPr>
        <w:t xml:space="preserve">. </w:t>
      </w:r>
      <w:r>
        <w:rPr>
          <w:rtl w:val="true"/>
        </w:rPr>
        <w:t>בהקשר זה הודגש בערעור כי העונש על עבירת הסיוע הוא מחצית מהעונש החל על המבצע העיקרי</w:t>
      </w:r>
      <w:r>
        <w:rPr>
          <w:rtl w:val="true"/>
        </w:rPr>
        <w:t xml:space="preserve">. </w:t>
      </w:r>
      <w:r>
        <w:rPr>
          <w:rtl w:val="true"/>
        </w:rPr>
        <w:t>בדומה לכך</w:t>
      </w:r>
      <w:r>
        <w:rPr>
          <w:rtl w:val="true"/>
        </w:rPr>
        <w:t xml:space="preserve">, </w:t>
      </w:r>
      <w:r>
        <w:rPr>
          <w:rtl w:val="true"/>
        </w:rPr>
        <w:t>נטען כי גם סכום הקנס שהוטל על המערערים התבסס על פסיקה הנוגעת לסוחרים עזתיים ולא למסייעים</w:t>
      </w:r>
      <w:r>
        <w:rPr>
          <w:rtl w:val="true"/>
        </w:rPr>
        <w:t xml:space="preserve">. </w:t>
      </w:r>
      <w:r>
        <w:rPr>
          <w:rtl w:val="true"/>
        </w:rPr>
        <w:t>לטענתם</w:t>
      </w:r>
      <w:r>
        <w:rPr>
          <w:rtl w:val="true"/>
        </w:rPr>
        <w:t xml:space="preserve">, </w:t>
      </w:r>
      <w:r>
        <w:rPr>
          <w:rtl w:val="true"/>
        </w:rPr>
        <w:t>טעות זו מתחדדת ביתר שאת בנוגע להשתת קנס</w:t>
      </w:r>
      <w:r>
        <w:rPr>
          <w:rtl w:val="true"/>
        </w:rPr>
        <w:t xml:space="preserve">, </w:t>
      </w:r>
      <w:r>
        <w:rPr>
          <w:rtl w:val="true"/>
        </w:rPr>
        <w:t>שכן הרווח העיקרי בגין העברת החומרים הוא של הסוחרים</w:t>
      </w:r>
      <w:r>
        <w:rPr>
          <w:rtl w:val="true"/>
        </w:rPr>
        <w:t xml:space="preserve">. </w:t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המערערים טוענים כי העמדתם לדין מהווה שינוי של מדיניות האכיפה שהיתה נהוגה עד לאחרונה</w:t>
      </w:r>
      <w:r>
        <w:rPr>
          <w:rtl w:val="true"/>
        </w:rPr>
        <w:t xml:space="preserve">, </w:t>
      </w:r>
      <w:r>
        <w:rPr>
          <w:rtl w:val="true"/>
        </w:rPr>
        <w:t>לפיה לא מעמידים לדין מי שרק סייע לסוחרים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לסברתם</w:t>
      </w:r>
      <w:r>
        <w:rPr>
          <w:rtl w:val="true"/>
        </w:rPr>
        <w:t xml:space="preserve">, </w:t>
      </w:r>
      <w:r>
        <w:rPr>
          <w:rtl w:val="true"/>
        </w:rPr>
        <w:t>היה על בית המשפט המחוזי הנכבד לנהוג בענישה מתונה והדרגתית כלפיהם</w:t>
      </w:r>
      <w:r>
        <w:rPr>
          <w:rtl w:val="true"/>
        </w:rPr>
        <w:t xml:space="preserve">. </w:t>
      </w:r>
      <w:r>
        <w:rPr>
          <w:rtl w:val="true"/>
        </w:rPr>
        <w:t>טענה זו מסתמכת על שני רציונליים עיקריים</w:t>
      </w:r>
      <w:r>
        <w:rPr>
          <w:rtl w:val="true"/>
        </w:rPr>
        <w:t xml:space="preserve">: </w:t>
      </w:r>
      <w:r>
        <w:rPr>
          <w:rtl w:val="true"/>
        </w:rPr>
        <w:t>אינטרס ההסתמכות ועקרון אחידות הענישה</w:t>
      </w:r>
      <w:r>
        <w:rPr>
          <w:rtl w:val="true"/>
        </w:rPr>
        <w:t xml:space="preserve">, </w:t>
      </w:r>
      <w:r>
        <w:rPr>
          <w:rtl w:val="true"/>
        </w:rPr>
        <w:t>שעניינו במניעת אפליה ושרירותיות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בנוסף לכך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 </w:t>
      </w:r>
      <w:r>
        <w:rPr>
          <w:rtl w:val="true"/>
        </w:rPr>
        <w:t>טוען בערעורו</w:t>
      </w:r>
      <w:r>
        <w:rPr>
          <w:rtl w:val="true"/>
        </w:rPr>
        <w:t xml:space="preserve">, </w:t>
      </w:r>
      <w:r>
        <w:rPr>
          <w:rtl w:val="true"/>
        </w:rPr>
        <w:t>כי בית המשפט המחוזי הנכבד שגה כאשר החמיר עימו יתר על המידה וקבע את עונשו בניגוד לעיקרון אחידות הענישה</w:t>
      </w:r>
      <w:r>
        <w:rPr>
          <w:rtl w:val="true"/>
        </w:rPr>
        <w:t xml:space="preserve">, </w:t>
      </w:r>
      <w:r>
        <w:rPr>
          <w:rtl w:val="true"/>
        </w:rPr>
        <w:t>המחייב יחס הולם בין העונש שהושת עליו לבין העונשים שהושתו על שאר שותפיו לעבירות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אמנם מספר כלי הרכב</w:t>
      </w:r>
      <w:r>
        <w:rPr>
          <w:rtl w:val="true"/>
        </w:rPr>
        <w:t xml:space="preserve">, </w:t>
      </w:r>
      <w:r>
        <w:rPr>
          <w:rtl w:val="true"/>
        </w:rPr>
        <w:t>אשר הוא השתתף בהעברתם</w:t>
      </w:r>
      <w:r>
        <w:rPr>
          <w:rtl w:val="true"/>
        </w:rPr>
        <w:t xml:space="preserve">, </w:t>
      </w:r>
      <w:r>
        <w:rPr>
          <w:rtl w:val="true"/>
        </w:rPr>
        <w:t>היה כפול ממספר כלי הרכב ש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3-2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>השתתפו בהעברתם</w:t>
      </w:r>
      <w:r>
        <w:rPr>
          <w:rtl w:val="true"/>
        </w:rPr>
        <w:t xml:space="preserve">, </w:t>
      </w:r>
      <w:r>
        <w:rPr>
          <w:rtl w:val="true"/>
        </w:rPr>
        <w:t>וכן משך התקופה בה ביצע את העבירות היה כפול</w:t>
      </w:r>
      <w:r>
        <w:rPr>
          <w:rtl w:val="true"/>
        </w:rPr>
        <w:t xml:space="preserve">, </w:t>
      </w:r>
      <w:r>
        <w:rPr>
          <w:rtl w:val="true"/>
        </w:rPr>
        <w:t>אך יחד עם זאת</w:t>
      </w:r>
      <w:r>
        <w:rPr>
          <w:rtl w:val="true"/>
        </w:rPr>
        <w:t xml:space="preserve">, </w:t>
      </w:r>
      <w:r>
        <w:rPr>
          <w:rtl w:val="true"/>
        </w:rPr>
        <w:t xml:space="preserve">לא היה מקום לקבוע בעניינו מתחם ענישה בעל רף תחתון כפול מהרף התחתון של המתחם שנקבע בעניינם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3-2</w:t>
      </w:r>
      <w:r>
        <w:rPr>
          <w:rtl w:val="true"/>
        </w:rPr>
        <w:t xml:space="preserve">, </w:t>
      </w:r>
      <w:r>
        <w:rPr>
          <w:rtl w:val="true"/>
        </w:rPr>
        <w:t>מכיוון ש</w:t>
      </w:r>
      <w:r>
        <w:rPr>
          <w:rtl w:val="true"/>
        </w:rPr>
        <w:t>"</w:t>
      </w:r>
      <w:r>
        <w:rPr>
          <w:rtl w:val="true"/>
        </w:rPr>
        <w:t>קביעת מתחם העונש ההולם אינה מלאכה אריתמטית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בהודעת הערעור שהוגשה מטעמו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</w:t>
      </w:r>
      <w:r>
        <w:rPr>
          <w:rtl w:val="true"/>
        </w:rPr>
        <w:t xml:space="preserve">, </w:t>
      </w:r>
      <w:r>
        <w:rPr>
          <w:rtl w:val="true"/>
        </w:rPr>
        <w:t>נטען כי בית המשפט המחוזי הנכבד שגה כאשר לא שעה להמלצת שירות המבחן</w:t>
      </w:r>
      <w:r>
        <w:rPr>
          <w:rtl w:val="true"/>
        </w:rPr>
        <w:t xml:space="preserve">, </w:t>
      </w:r>
      <w:r>
        <w:rPr>
          <w:rtl w:val="true"/>
        </w:rPr>
        <w:t>והטיל עליו ללא נימוק משכנע</w:t>
      </w:r>
      <w:r>
        <w:rPr>
          <w:rtl w:val="true"/>
        </w:rPr>
        <w:t xml:space="preserve">, </w:t>
      </w:r>
      <w:r>
        <w:rPr>
          <w:rtl w:val="true"/>
        </w:rPr>
        <w:t>עונש ממושך מאחורי סורג ובריח</w:t>
      </w:r>
      <w:r>
        <w:rPr>
          <w:rtl w:val="true"/>
        </w:rPr>
        <w:t xml:space="preserve">, </w:t>
      </w:r>
      <w:r>
        <w:rPr>
          <w:rtl w:val="true"/>
        </w:rPr>
        <w:t>במקום עונש מאסר לריצוי בעבודות שירות</w:t>
      </w:r>
      <w:r>
        <w:rPr>
          <w:rtl w:val="true"/>
        </w:rPr>
        <w:t xml:space="preserve">. </w:t>
      </w:r>
      <w:r>
        <w:rPr>
          <w:rtl w:val="true"/>
        </w:rPr>
        <w:t>כך נעשה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 xml:space="preserve">מבלי לתת את הדעת לאפשרות חשיפתו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</w:t>
      </w:r>
      <w:r>
        <w:rPr>
          <w:rtl w:val="true"/>
        </w:rPr>
        <w:t xml:space="preserve"> </w:t>
      </w:r>
      <w:r>
        <w:rPr>
          <w:rtl w:val="true"/>
        </w:rPr>
        <w:t>לחברה עבריינית בתוככי הכלא ולהשלכות השליליות הפוטנציאליות של עונש מאסר מאחורי סורג ובריח עבור אדם צעיר נעדר עבר פלילי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</w:t>
      </w:r>
      <w:r>
        <w:rPr>
          <w:rtl w:val="true"/>
        </w:rPr>
        <w:t xml:space="preserve"> </w:t>
      </w:r>
      <w:r>
        <w:rPr>
          <w:rtl w:val="true"/>
        </w:rPr>
        <w:t>טוען בערעורו</w:t>
      </w:r>
      <w:r>
        <w:rPr>
          <w:rtl w:val="true"/>
        </w:rPr>
        <w:t xml:space="preserve">, </w:t>
      </w:r>
      <w:r>
        <w:rPr>
          <w:rtl w:val="true"/>
        </w:rPr>
        <w:t>כי בית המשפט המחוזי הנכבד שגה כאשר במסגרת גזר הדין דחה את בקשתו לקבלת עדכון משירות המבחן אודות ההליכים הטיפוליים בהם  הוא נטל חלק</w:t>
      </w:r>
      <w:r>
        <w:rPr>
          <w:rtl w:val="true"/>
        </w:rPr>
        <w:t xml:space="preserve">, </w:t>
      </w:r>
      <w:r>
        <w:rPr>
          <w:rtl w:val="true"/>
        </w:rPr>
        <w:t>וכאשר לא קיבל את המלצת שירות המבחן להטיל עליו מאסר לריצוי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 xml:space="preserve">לצד צו מבחן למשך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וזאת בלי לנמק את קביעותיו בהקשרים אלה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 xml:space="preserve">היה מקום לטענתו להבחין בין עונשו לבין עונשו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</w:t>
      </w:r>
      <w:r>
        <w:rPr>
          <w:rtl w:val="true"/>
        </w:rPr>
        <w:t xml:space="preserve"> </w:t>
      </w:r>
      <w:r>
        <w:rPr>
          <w:rtl w:val="true"/>
        </w:rPr>
        <w:t>לנוכח ההבדל בהתרשמות ובהמלצת שירות המבחן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</w:t>
      </w:r>
      <w:r>
        <w:rPr>
          <w:rtl w:val="true"/>
        </w:rPr>
        <w:t xml:space="preserve"> </w:t>
      </w:r>
      <w:r>
        <w:rPr>
          <w:rtl w:val="true"/>
        </w:rPr>
        <w:t>טוען עוד</w:t>
      </w:r>
      <w:r>
        <w:rPr>
          <w:rtl w:val="true"/>
        </w:rPr>
        <w:t xml:space="preserve">, </w:t>
      </w:r>
      <w:r>
        <w:rPr>
          <w:rtl w:val="true"/>
        </w:rPr>
        <w:t>כי מעצרו הניע אותו לערוך שינוי בחייו עוד טרם המפגש עם שירות המבחן</w:t>
      </w:r>
      <w:r>
        <w:rPr>
          <w:rtl w:val="true"/>
        </w:rPr>
        <w:t xml:space="preserve">. </w:t>
      </w:r>
      <w:r>
        <w:rPr>
          <w:rtl w:val="true"/>
        </w:rPr>
        <w:t>שינוי זה כולל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מציאת עבודה קבועה</w:t>
      </w:r>
      <w:r>
        <w:rPr>
          <w:rtl w:val="true"/>
        </w:rPr>
        <w:t xml:space="preserve">, </w:t>
      </w:r>
      <w:r>
        <w:rPr>
          <w:rtl w:val="true"/>
        </w:rPr>
        <w:t>רישום ללימודים אקדמיים</w:t>
      </w:r>
      <w:r>
        <w:rPr>
          <w:rtl w:val="true"/>
        </w:rPr>
        <w:t xml:space="preserve">, </w:t>
      </w:r>
      <w:r>
        <w:rPr>
          <w:rtl w:val="true"/>
        </w:rPr>
        <w:t>הסדרת חובותיו כלפי ביטוח לאומי והוצאת רישיון נהיגה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מעשיו היוו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מעידה חד פעמית</w:t>
      </w:r>
      <w:r>
        <w:rPr>
          <w:rtl w:val="true"/>
        </w:rPr>
        <w:t xml:space="preserve">, </w:t>
      </w:r>
      <w:r>
        <w:rPr>
          <w:rtl w:val="true"/>
        </w:rPr>
        <w:t>אשר נגרמה כתוצאה מהשלב בו היה נתון בחייו</w:t>
      </w:r>
      <w:r>
        <w:rPr>
          <w:rtl w:val="true"/>
        </w:rPr>
        <w:t xml:space="preserve">, </w:t>
      </w:r>
      <w:r>
        <w:rPr>
          <w:rtl w:val="true"/>
        </w:rPr>
        <w:t>שבגדרו טרם השלים יצירה של זהות מובחנת ונפרדת מאביו וממשפחתו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לטענת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3-2</w:t>
      </w:r>
      <w:r>
        <w:rPr>
          <w:rtl w:val="true"/>
        </w:rPr>
        <w:t xml:space="preserve">, </w:t>
      </w:r>
      <w:r>
        <w:rPr>
          <w:rtl w:val="true"/>
        </w:rPr>
        <w:t xml:space="preserve">היה מקום להבחין עוד בין גובה הקנס שהוטל 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 </w:t>
      </w:r>
      <w:r>
        <w:rPr>
          <w:rtl w:val="true"/>
        </w:rPr>
        <w:t>לבין גובה הקנס שהוטל עליהם</w:t>
      </w:r>
      <w:r>
        <w:rPr>
          <w:rtl w:val="true"/>
        </w:rPr>
        <w:t xml:space="preserve">, </w:t>
      </w:r>
      <w:r>
        <w:rPr>
          <w:rtl w:val="true"/>
        </w:rPr>
        <w:t>בדומה להבחנה שנערכה ביחס לאורך המאסר בפועל שהוטל עליהם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מצידה</w:t>
      </w:r>
      <w:r>
        <w:rPr>
          <w:rtl w:val="true"/>
        </w:rPr>
        <w:t xml:space="preserve">, </w:t>
      </w:r>
      <w:r>
        <w:rPr>
          <w:rtl w:val="true"/>
        </w:rPr>
        <w:t>סומכת את ידיה על גזר דינו של בית המשפט המחוזי הנכבד ומבקשת שלא נתערב בעונשים שהושתו על המערערים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 xml:space="preserve">העברת רכבי </w:t>
      </w:r>
      <w:r>
        <w:rPr/>
        <w:t>4</w:t>
      </w:r>
      <w:r>
        <w:rPr/>
        <w:t>X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ללא היתר לשטחי עזה עלולה לסכן את בטחון המדינה והינה תופעה מתגברת</w:t>
      </w:r>
      <w:r>
        <w:rPr>
          <w:rtl w:val="true"/>
        </w:rPr>
        <w:t xml:space="preserve">, </w:t>
      </w:r>
      <w:r>
        <w:rPr>
          <w:rtl w:val="true"/>
        </w:rPr>
        <w:t>אשר יש להילחם בה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תקופת ההטמעה של שינוי מדיניות האכיפה הסתיימה זה מכבר</w:t>
      </w:r>
      <w:r>
        <w:rPr>
          <w:rtl w:val="true"/>
        </w:rPr>
        <w:t xml:space="preserve">, </w:t>
      </w:r>
      <w:r>
        <w:rPr>
          <w:rtl w:val="true"/>
        </w:rPr>
        <w:t xml:space="preserve">שכן העמדה לדין בגין עבירות אלו החלה כבר בשנת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ומשכך לא מדובר באכיפה לא מובחנת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 xml:space="preserve">לטענת המשיבה </w:t>
      </w:r>
      <w:r>
        <w:rPr>
          <w:rtl w:val="true"/>
        </w:rPr>
        <w:t>–</w:t>
      </w:r>
      <w:r>
        <w:rPr>
          <w:rtl w:val="true"/>
        </w:rPr>
        <w:t xml:space="preserve"> ההעברות</w:t>
      </w:r>
      <w:r>
        <w:rPr>
          <w:rtl w:val="true"/>
        </w:rPr>
        <w:t xml:space="preserve">, </w:t>
      </w:r>
      <w:r>
        <w:rPr>
          <w:rtl w:val="true"/>
        </w:rPr>
        <w:t>נשואות ההרשעה</w:t>
      </w:r>
      <w:r>
        <w:rPr>
          <w:rtl w:val="true"/>
        </w:rPr>
        <w:t xml:space="preserve">, </w:t>
      </w:r>
      <w:r>
        <w:rPr>
          <w:rtl w:val="true"/>
        </w:rPr>
        <w:t>דרשו תכנון ותיאום משמעותיים במספר מישורים</w:t>
      </w:r>
      <w:r>
        <w:rPr>
          <w:rtl w:val="true"/>
        </w:rPr>
        <w:t xml:space="preserve">, </w:t>
      </w:r>
      <w:r>
        <w:rPr>
          <w:rtl w:val="true"/>
        </w:rPr>
        <w:t>והסיוע שהמערערים נתנו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סוחרים</w:t>
      </w:r>
      <w:r>
        <w:rPr>
          <w:rtl w:val="true"/>
        </w:rPr>
        <w:t xml:space="preserve"> בהטעיה מכוונת של הבודקים במעבר הגבול</w:t>
      </w:r>
      <w:r>
        <w:rPr>
          <w:rtl w:val="true"/>
        </w:rPr>
        <w:t xml:space="preserve">, </w:t>
      </w:r>
      <w:r>
        <w:rPr>
          <w:rtl w:val="true"/>
        </w:rPr>
        <w:t>מהווה נסיבה מחמירה</w:t>
      </w:r>
      <w:r>
        <w:rPr>
          <w:rtl w:val="true"/>
        </w:rPr>
        <w:t xml:space="preserve">, </w:t>
      </w:r>
      <w:r>
        <w:rPr>
          <w:rtl w:val="true"/>
        </w:rPr>
        <w:t>בהיותם אזרחים של המדינה</w:t>
      </w:r>
      <w:r>
        <w:rPr>
          <w:rtl w:val="true"/>
        </w:rPr>
        <w:t xml:space="preserve">, </w:t>
      </w:r>
      <w:r>
        <w:rPr>
          <w:rtl w:val="true"/>
        </w:rPr>
        <w:t>אשר מסייעים לגורמים בשטח שנשלט על ידי ארגון טרור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בנוגע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מערערים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2-1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tl w:val="true"/>
        </w:rPr>
        <w:t>המשיבה טוענת כי לא חל שינוי בנסיבותיהם האישיות המצדיק הקלה בעונש</w:t>
      </w:r>
      <w:r>
        <w:rPr>
          <w:rtl w:val="true"/>
        </w:rPr>
        <w:t xml:space="preserve">. </w:t>
      </w:r>
      <w:r>
        <w:rPr>
          <w:rtl w:val="true"/>
        </w:rPr>
        <w:t>בנוגע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</w:t>
      </w:r>
      <w:r>
        <w:rPr>
          <w:rtl w:val="true"/>
        </w:rPr>
        <w:t xml:space="preserve">, </w:t>
      </w:r>
      <w:r>
        <w:rPr>
          <w:rtl w:val="true"/>
        </w:rPr>
        <w:t xml:space="preserve">המשיבה טוענת כי עניינו אכן שונה מעניינם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2-1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>וכי הוא עובר הליך שיקומי</w:t>
      </w:r>
      <w:r>
        <w:rPr>
          <w:rtl w:val="true"/>
        </w:rPr>
        <w:t xml:space="preserve">, </w:t>
      </w:r>
      <w:r>
        <w:rPr>
          <w:rtl w:val="true"/>
        </w:rPr>
        <w:t>אך יחד עם זאת היא סבורה כי בית המשפט המחוזי הנכבד לא שגה בגזר דינו</w:t>
      </w:r>
      <w:r>
        <w:rPr>
          <w:rtl w:val="true"/>
        </w:rPr>
        <w:t xml:space="preserve">, </w:t>
      </w:r>
      <w:r>
        <w:rPr>
          <w:rtl w:val="true"/>
        </w:rPr>
        <w:t xml:space="preserve">שכן במועד מתן גזר הדין לא היה מקום להבחין בין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3-2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וכי גם עתה העונש ההולם למעשיו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</w:t>
      </w:r>
      <w:r>
        <w:rPr>
          <w:rtl w:val="true"/>
        </w:rPr>
        <w:t xml:space="preserve"> </w:t>
      </w:r>
      <w:r>
        <w:rPr>
          <w:rtl w:val="true"/>
        </w:rPr>
        <w:t>הינו עונש של מאסר מאחורי סורג ובריח</w:t>
      </w:r>
      <w:r>
        <w:rPr>
          <w:rtl w:val="true"/>
        </w:rPr>
        <w:t xml:space="preserve">, </w:t>
      </w:r>
      <w:r>
        <w:rPr>
          <w:rtl w:val="true"/>
        </w:rPr>
        <w:t xml:space="preserve">בפרט כאשר עסקינן בתקופת מאסר קצרה יחסית </w:t>
      </w:r>
      <w:r>
        <w:rPr>
          <w:rtl w:val="true"/>
        </w:rPr>
        <w:t>(</w:t>
      </w:r>
      <w:r>
        <w:rPr>
          <w:rtl w:val="true"/>
        </w:rPr>
        <w:t xml:space="preserve">לאחר ניכוי ימי מעצרו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</w:t>
      </w:r>
      <w:r>
        <w:rPr>
          <w:rtl w:val="true"/>
        </w:rPr>
        <w:t xml:space="preserve">), </w:t>
      </w:r>
      <w:r>
        <w:rPr>
          <w:rtl w:val="true"/>
        </w:rPr>
        <w:t>אשר אף עשויה להתקצר על ידי שחרור מנהלי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תסקירים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משלימים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לקראת הדיון בערעור</w:t>
      </w:r>
      <w:r>
        <w:rPr>
          <w:rtl w:val="true"/>
        </w:rPr>
        <w:t xml:space="preserve">, </w:t>
      </w:r>
      <w:r>
        <w:rPr>
          <w:rtl w:val="true"/>
        </w:rPr>
        <w:t>הוגשו לנו תסקירים משלימים מטעם שירות המבחן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 xml:space="preserve">בתסקיר המשלים שנערך בעניינו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נאמר 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מנצל את מאסרו לטיפול בתחומי אלימות במשפחה ועבירות מרמה וכי הטיפול עתיד להסתיים בחודש פברואר </w:t>
      </w:r>
      <w:r>
        <w:rPr/>
        <w:t>2020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</w:t>
      </w:r>
      <w:r>
        <w:rPr>
          <w:rtl w:val="true"/>
        </w:rPr>
        <w:t xml:space="preserve">, </w:t>
      </w:r>
      <w:r>
        <w:rPr>
          <w:rtl w:val="true"/>
        </w:rPr>
        <w:t>נאמר בתסקיר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ascii="Century" w:hAnsi="Century" w:cs="Century"/>
          <w:sz w:val="22"/>
          <w:sz w:val="22"/>
          <w:rtl w:val="true"/>
        </w:rPr>
        <w:t>הלה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מביע עמדות קורבניות</w:t>
      </w:r>
      <w:r>
        <w:rPr>
          <w:rtl w:val="true"/>
        </w:rPr>
        <w:t xml:space="preserve">, </w:t>
      </w:r>
      <w:r>
        <w:rPr>
          <w:rtl w:val="true"/>
        </w:rPr>
        <w:t>תולה את האשמה לביצוע העבירות בסביבתו ומפחית מחלקו בביצוען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</w:t>
      </w:r>
      <w:r>
        <w:rPr>
          <w:rtl w:val="true"/>
        </w:rPr>
        <w:t xml:space="preserve"> </w:t>
      </w:r>
      <w:r>
        <w:rPr>
          <w:rtl w:val="true"/>
        </w:rPr>
        <w:t>איננו מצליח להצביע על תחום בחייו בו הוא נזקק לסיוע גורמי הטיפול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שירות המבחן איננו רואה מקום להמלצה שיקומית בעניינו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מתסקיר שירות המבחן בעניינו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</w:t>
      </w:r>
      <w:r>
        <w:rPr>
          <w:rtl w:val="true"/>
        </w:rPr>
        <w:t xml:space="preserve">, </w:t>
      </w:r>
      <w:r>
        <w:rPr>
          <w:rtl w:val="true"/>
        </w:rPr>
        <w:t>עולה כי הלה נרתם להליך טיפולי שבמהלכו הכיר במשמעות ובהשלכות מעשיו</w:t>
      </w:r>
      <w:r>
        <w:rPr>
          <w:rtl w:val="true"/>
        </w:rPr>
        <w:t xml:space="preserve">, </w:t>
      </w:r>
      <w:r>
        <w:rPr>
          <w:rtl w:val="true"/>
        </w:rPr>
        <w:t>לקח אחריות עליהם וכן אימץ דרכי התמודדות במצבי חיים מורכבים ומול גורמי סמכות</w:t>
      </w:r>
      <w:r>
        <w:rPr>
          <w:rtl w:val="true"/>
        </w:rPr>
        <w:t xml:space="preserve">, </w:t>
      </w:r>
      <w:r>
        <w:rPr>
          <w:rtl w:val="true"/>
        </w:rPr>
        <w:t>כדוגמת אביו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שירות המבחן המליץ להמיר את המאסר בפועל שהושת 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</w:t>
      </w:r>
      <w:r>
        <w:rPr>
          <w:rtl w:val="true"/>
        </w:rPr>
        <w:t xml:space="preserve"> </w:t>
      </w:r>
      <w:r>
        <w:rPr>
          <w:rtl w:val="true"/>
        </w:rPr>
        <w:t>במאסר לריצוי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 xml:space="preserve">לצד הטלת צו מבחן למשך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אשר במהלכם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>ימשיך בהליך הטיפולי שבו החל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sz w:val="28"/>
          <w:sz w:val="28"/>
          <w:rtl w:val="true"/>
        </w:rPr>
        <w:t>לאחר עיון בגזר הדין של בית המשפט המחוזי הנכבד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בהודעת הערעור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בתסקירי שירות המבחן ובתסקירים המשלימים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 לא היו בפני בית המשפט המחוזי הנכבד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ובעקבות שמיעת טענות באי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כוח הצדדים</w:t>
      </w:r>
      <w:r>
        <w:rPr>
          <w:sz w:val="28"/>
          <w:rtl w:val="true"/>
        </w:rPr>
        <w:t xml:space="preserve">, </w:t>
      </w:r>
      <w:r>
        <w:rPr>
          <w:rtl w:val="true"/>
        </w:rPr>
        <w:t>אציע</w:t>
      </w:r>
      <w:r>
        <w:rPr>
          <w:rtl w:val="true"/>
        </w:rPr>
        <w:t xml:space="preserve"> </w:t>
      </w:r>
      <w:r>
        <w:rPr>
          <w:rtl w:val="true"/>
        </w:rPr>
        <w:t>לחבריי</w:t>
      </w:r>
      <w:r>
        <w:rPr>
          <w:rtl w:val="true"/>
        </w:rPr>
        <w:t xml:space="preserve"> </w:t>
      </w:r>
      <w:r>
        <w:rPr>
          <w:rtl w:val="true"/>
        </w:rPr>
        <w:t>לדחות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ם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2-1</w:t>
      </w:r>
      <w:r>
        <w:rPr>
          <w:rtl w:val="true"/>
        </w:rPr>
        <w:t xml:space="preserve"> </w:t>
      </w:r>
      <w:r>
        <w:rPr>
          <w:rtl w:val="true"/>
        </w:rPr>
        <w:t>בכל הנוגע לעונש המאסר שהוטל עליהם</w:t>
      </w:r>
      <w:r>
        <w:rPr>
          <w:rtl w:val="true"/>
        </w:rPr>
        <w:t xml:space="preserve">; </w:t>
      </w:r>
      <w:r>
        <w:rPr>
          <w:rtl w:val="true"/>
        </w:rPr>
        <w:t xml:space="preserve">לקבל את ערעורם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3-2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ביחס לרכיב עונש הקנס שפסק בית המשפט המחוזי הנכבד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tl w:val="true"/>
        </w:rPr>
        <w:t>ולקבל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ערעורו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</w:t>
      </w:r>
      <w:r>
        <w:rPr>
          <w:rtl w:val="true"/>
        </w:rPr>
        <w:t xml:space="preserve"> </w:t>
      </w:r>
      <w:r>
        <w:rPr>
          <w:rtl w:val="true"/>
        </w:rPr>
        <w:t>אף ביחס לעונש המאסר שהושת עליו</w:t>
      </w:r>
      <w:r>
        <w:rPr>
          <w:rtl w:val="true"/>
        </w:rPr>
        <w:t xml:space="preserve">, </w:t>
      </w:r>
      <w:r>
        <w:rPr>
          <w:rtl w:val="true"/>
        </w:rPr>
        <w:t xml:space="preserve">כך שעונש המאסר בפועל יומר בעונש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לריצוי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 xml:space="preserve">לצד צו מבחן למשך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tl w:val="true"/>
        </w:rPr>
        <w:t xml:space="preserve"> </w:t>
      </w:r>
      <w:r>
        <w:rPr>
          <w:rtl w:val="true"/>
        </w:rPr>
        <w:t>אפרט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טעמיי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תוצאה המוצעת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color w:val="FF0000"/>
        </w:rPr>
      </w:pPr>
      <w:r>
        <w:rPr>
          <w:rtl w:val="true"/>
        </w:rPr>
        <w:t>נקודת המוצא לבחינת הערעור הוא הכלל הידוע בדבר הנטייה של ערכאת הערעור שלא להתערב בחומרת העונש שהוטל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>אלא אם כן מדובר במקרים של סטייה קיצונית ממדיניות הענישה הראויה והנוהגת במקרים דומים</w:t>
      </w:r>
      <w:r>
        <w:rPr>
          <w:rtl w:val="true"/>
        </w:rPr>
        <w:t xml:space="preserve">, </w:t>
      </w:r>
      <w:r>
        <w:rPr>
          <w:rtl w:val="true"/>
        </w:rPr>
        <w:t>או כאשר מתקיימות נסיבות חריגות המצדיקות את הדבר</w:t>
      </w:r>
      <w:r>
        <w:rPr>
          <w:rtl w:val="true"/>
        </w:rPr>
        <w:t xml:space="preserve">, </w:t>
      </w:r>
      <w:r>
        <w:rPr>
          <w:rtl w:val="true"/>
        </w:rPr>
        <w:t xml:space="preserve">כדוגמת טעות מהותית בגזר הדין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837/17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אמארה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ascii="Century" w:hAnsi="Century" w:cs="Century"/>
          <w:sz w:val="22"/>
          <w:sz w:val="22"/>
          <w:rtl w:val="true"/>
        </w:rPr>
        <w:t>י</w:t>
      </w:r>
      <w:r>
        <w:rPr>
          <w:rFonts w:ascii="Century" w:hAnsi="Century" w:cs="Century"/>
          <w:sz w:val="22"/>
          <w:sz w:val="22"/>
          <w:rtl w:val="true"/>
        </w:rPr>
        <w:t xml:space="preserve">סקה </w:t>
      </w:r>
      <w:r>
        <w:rPr>
          <w:rFonts w:cs="Century" w:ascii="Century" w:hAnsi="Century"/>
          <w:sz w:val="22"/>
        </w:rPr>
        <w:t>12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25.10.2017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6347/12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מרה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פיסקאות </w:t>
      </w:r>
      <w:r>
        <w:rPr/>
        <w:t>17-16</w:t>
      </w:r>
      <w:r>
        <w:rPr>
          <w:rtl w:val="true"/>
        </w:rPr>
        <w:t xml:space="preserve"> (</w:t>
      </w:r>
      <w:r>
        <w:rPr/>
        <w:t>13.05.2013</w:t>
      </w:r>
      <w:r>
        <w:rPr>
          <w:rtl w:val="true"/>
        </w:rPr>
        <w:t xml:space="preserve">);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6971/13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עמרן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David"/>
          <w:sz w:val="2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פיסקה </w:t>
      </w:r>
      <w:r>
        <w:rPr>
          <w:rFonts w:cs="Century" w:ascii="Century" w:hAnsi="Century"/>
          <w:sz w:val="22"/>
        </w:rPr>
        <w:t>15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23.09.2014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28">
        <w:r>
          <w:rPr>
            <w:rStyle w:val="Hyperlink"/>
            <w:rFonts w:ascii="Times New Roman" w:hAnsi="Times New Roman" w:cs="Times New Roman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sz w:val="22"/>
            <w:u w:val="single"/>
          </w:rPr>
          <w:t>2734/14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אוזן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פיסקה </w:t>
      </w:r>
      <w:r>
        <w:rPr>
          <w:rFonts w:cs="Century" w:ascii="Century" w:hAnsi="Century"/>
          <w:sz w:val="22"/>
        </w:rPr>
        <w:t>13</w:t>
      </w:r>
      <w:r>
        <w:rPr>
          <w:rFonts w:cs="Century" w:ascii="Century" w:hAnsi="Century"/>
          <w:sz w:val="22"/>
          <w:rtl w:val="true"/>
        </w:rPr>
        <w:t xml:space="preserve">  </w:t>
      </w:r>
      <w:r>
        <w:rPr>
          <w:rFonts w:ascii="Century" w:hAnsi="Century" w:cs="Century"/>
          <w:sz w:val="22"/>
          <w:sz w:val="22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שוהם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13.</w:t>
      </w:r>
      <w:r>
        <w:rPr>
          <w:rFonts w:cs="Century" w:ascii="Century" w:hAnsi="Century"/>
        </w:rPr>
        <w:t>0</w:t>
      </w:r>
      <w:r>
        <w:rPr>
          <w:rFonts w:cs="Century" w:ascii="Century" w:hAnsi="Century"/>
          <w:sz w:val="22"/>
        </w:rPr>
        <w:t>8.2014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hyperlink r:id="rId29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6877/09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פלוני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פיסקה </w:t>
      </w:r>
      <w:r>
        <w:rPr/>
        <w:t>24</w:t>
      </w:r>
      <w:r>
        <w:rPr>
          <w:rtl w:val="true"/>
        </w:rPr>
        <w:t xml:space="preserve"> (</w:t>
      </w:r>
      <w:r>
        <w:rPr/>
        <w:t>25.06.2012</w:t>
      </w:r>
      <w:r>
        <w:rPr>
          <w:rtl w:val="true"/>
        </w:rPr>
        <w:t xml:space="preserve">)). </w:t>
      </w:r>
      <w:r>
        <w:rPr>
          <w:rtl w:val="true"/>
        </w:rPr>
        <w:t>כלל זה עומד על תילו גם לאחר חקיקתו של תיקון מס</w:t>
      </w:r>
      <w:r>
        <w:rPr>
          <w:rtl w:val="true"/>
        </w:rPr>
        <w:t xml:space="preserve">'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113</w:t>
      </w:r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8641/12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סעד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05.08.2013</w:t>
      </w:r>
      <w:r>
        <w:rPr>
          <w:rtl w:val="true"/>
        </w:rPr>
        <w:t xml:space="preserve">)). </w:t>
      </w:r>
      <w:r>
        <w:rPr>
          <w:rtl w:val="true"/>
        </w:rPr>
        <w:t xml:space="preserve">ערעורי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2-1</w:t>
      </w:r>
      <w:r>
        <w:rPr>
          <w:rtl w:val="true"/>
        </w:rPr>
        <w:t xml:space="preserve"> </w:t>
      </w:r>
      <w:r>
        <w:rPr>
          <w:rtl w:val="true"/>
        </w:rPr>
        <w:t>אינם נמנים עם אותם מקרים חריגים שבהם מוצדקת התערבות ערכאת הערעור בגזר דינה של הערכאה הדיונית</w:t>
      </w:r>
      <w:r>
        <w:rPr>
          <w:rtl w:val="true"/>
        </w:rPr>
        <w:t xml:space="preserve">, </w:t>
      </w:r>
      <w:r>
        <w:rPr>
          <w:rtl w:val="true"/>
        </w:rPr>
        <w:t>על פי מבחני הפסיקה שאוזכרו לעיל</w:t>
      </w:r>
      <w:r>
        <w:rPr>
          <w:rtl w:val="true"/>
        </w:rPr>
        <w:t xml:space="preserve">, </w:t>
      </w:r>
      <w:r>
        <w:rPr>
          <w:rtl w:val="true"/>
        </w:rPr>
        <w:t xml:space="preserve">שכן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2-1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>לא הצביעו על טעות שנפלה בגזר דינו של בית משפט המשפט המחוזי הנכבד המצדיקה התערבות בכל הנוגע לעונש שהושת עליהם</w:t>
      </w:r>
      <w:r>
        <w:rPr>
          <w:rtl w:val="true"/>
        </w:rPr>
        <w:t xml:space="preserve">. </w:t>
      </w:r>
      <w:r>
        <w:rPr>
          <w:rtl w:val="true"/>
        </w:rPr>
        <w:t>עתה אפרט</w:t>
      </w:r>
      <w:r>
        <w:rPr>
          <w:rtl w:val="true"/>
        </w:rPr>
        <w:t>.</w:t>
      </w:r>
      <w:r>
        <w:rPr>
          <w:color w:val="FF0000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  <w:color w:val="FF0000"/>
        </w:rPr>
      </w:pPr>
      <w:r>
        <w:rPr>
          <w:rFonts w:cs="Century" w:ascii="Century" w:hAnsi="Century"/>
          <w:color w:val="FF0000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הטענה המרכזית בשלושת הערעורים שלפנינו היא</w:t>
      </w:r>
      <w:r>
        <w:rPr>
          <w:rtl w:val="true"/>
        </w:rPr>
        <w:t xml:space="preserve">,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כי בית המשפט המחוזי הנכבד שגה בעת קביעת מתחם הענישה הראוי בעניינם של המערערים</w:t>
      </w:r>
      <w:r>
        <w:rPr>
          <w:rtl w:val="true"/>
        </w:rPr>
        <w:t xml:space="preserve">, </w:t>
      </w:r>
      <w:r>
        <w:rPr>
          <w:rtl w:val="true"/>
        </w:rPr>
        <w:t>בהתבססו על פסיקה העוסקת בדינם של סוחרים עזתיים שביצעו העברות של ציוד דו שימושי לשטחי עזה ללא היתר</w:t>
      </w:r>
      <w:r>
        <w:rPr>
          <w:rtl w:val="true"/>
        </w:rPr>
        <w:t xml:space="preserve">. </w:t>
      </w:r>
      <w:r>
        <w:rPr>
          <w:rtl w:val="true"/>
        </w:rPr>
        <w:t>יש לדחות טענה זו</w:t>
      </w:r>
      <w:r>
        <w:rPr>
          <w:rtl w:val="true"/>
        </w:rPr>
        <w:t xml:space="preserve">, </w:t>
      </w:r>
      <w:r>
        <w:rPr>
          <w:rtl w:val="true"/>
        </w:rPr>
        <w:t>ואבהיר הדברים להלן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במסגרת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113</w:t>
      </w:r>
      <w:r>
        <w:rPr>
          <w:rtl w:val="true"/>
        </w:rPr>
        <w:t xml:space="preserve"> </w:t>
      </w:r>
      <w:r>
        <w:rPr>
          <w:rtl w:val="true"/>
        </w:rPr>
        <w:t xml:space="preserve">נקבע ביחס לקביעת מתחם העונש ההולם </w:t>
      </w:r>
      <w:hyperlink r:id="rId32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tl w:val="true"/>
        </w:rPr>
        <w:t xml:space="preserve"> ל</w:t>
      </w:r>
      <w:hyperlink r:id="rId33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.</w:t>
        <w:tab/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/>
        <w:t>40</w:t>
      </w:r>
      <w:r>
        <w:rPr>
          <w:rtl w:val="true"/>
        </w:rPr>
        <w:t>ט</w:t>
      </w:r>
      <w:r>
        <w:rPr>
          <w:rtl w:val="true"/>
        </w:rPr>
        <w:t>.</w:t>
      </w:r>
      <w:r>
        <w:rPr>
          <w:rtl w:val="true"/>
        </w:rPr>
        <w:t>"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>השיקולים בהם צריך בית המשפט להתחשב בבואו לקבוע את מתחם הענישה ההולם בעניינו של אדם שהורשע בדין</w:t>
      </w:r>
      <w:r>
        <w:rPr>
          <w:rtl w:val="true"/>
        </w:rPr>
        <w:t xml:space="preserve">, </w:t>
      </w:r>
      <w:r>
        <w:rPr>
          <w:rtl w:val="true"/>
        </w:rPr>
        <w:t>בהתאם לעקרון ההלימה</w:t>
      </w:r>
      <w:r>
        <w:rPr>
          <w:rtl w:val="true"/>
        </w:rPr>
        <w:t xml:space="preserve">, </w:t>
      </w:r>
      <w:r>
        <w:rPr>
          <w:rtl w:val="true"/>
        </w:rPr>
        <w:t>אשר מהווה עתה את העיקרון המנחה בענישה</w:t>
      </w:r>
      <w:r>
        <w:rPr>
          <w:rtl w:val="true"/>
        </w:rPr>
        <w:t xml:space="preserve">, </w:t>
      </w:r>
      <w:r>
        <w:rPr>
          <w:rtl w:val="true"/>
        </w:rPr>
        <w:t>הם אלה</w:t>
      </w:r>
      <w:r>
        <w:rPr>
          <w:rtl w:val="true"/>
        </w:rPr>
        <w:t>: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הערך החברתי שנפגע</w:t>
      </w:r>
      <w:r>
        <w:rPr>
          <w:rtl w:val="true"/>
        </w:rPr>
        <w:t>; 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מידת הפגיעה בערך החברתי</w:t>
      </w:r>
      <w:r>
        <w:rPr>
          <w:rtl w:val="true"/>
        </w:rPr>
        <w:t>; 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מדיניות הענישה הנהוגה במקרים דומים</w:t>
      </w:r>
      <w:r>
        <w:rPr>
          <w:rtl w:val="true"/>
        </w:rPr>
        <w:t>; (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נסיבות הקשורות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>וביניהן</w:t>
      </w:r>
      <w:r>
        <w:rPr>
          <w:rtl w:val="true"/>
        </w:rPr>
        <w:t xml:space="preserve">: </w:t>
      </w:r>
      <w:r>
        <w:rPr>
          <w:rtl w:val="true"/>
        </w:rPr>
        <w:t>התכנון</w:t>
      </w:r>
      <w:r>
        <w:rPr>
          <w:rtl w:val="true"/>
        </w:rPr>
        <w:t xml:space="preserve"> </w:t>
      </w:r>
      <w:r>
        <w:rPr>
          <w:rtl w:val="true"/>
        </w:rPr>
        <w:t>שקדם</w:t>
      </w:r>
      <w:r>
        <w:rPr>
          <w:rtl w:val="true"/>
        </w:rPr>
        <w:t xml:space="preserve"> </w:t>
      </w:r>
      <w:r>
        <w:rPr>
          <w:rtl w:val="true"/>
        </w:rPr>
        <w:t>לביצוע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tl w:val="true"/>
        </w:rPr>
        <w:t xml:space="preserve"> </w:t>
      </w:r>
      <w:r>
        <w:rPr>
          <w:rtl w:val="true"/>
        </w:rPr>
        <w:t>היחסי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>ה ו</w:t>
      </w:r>
      <w:r>
        <w:rPr>
          <w:rtl w:val="true"/>
        </w:rPr>
        <w:t>הנזק</w:t>
      </w:r>
      <w:r>
        <w:rPr>
          <w:rtl w:val="true"/>
        </w:rPr>
        <w:t xml:space="preserve"> </w:t>
      </w:r>
      <w:r>
        <w:rPr>
          <w:rtl w:val="true"/>
        </w:rPr>
        <w:t>שהיה</w:t>
      </w:r>
      <w:r>
        <w:rPr>
          <w:rtl w:val="true"/>
        </w:rPr>
        <w:t xml:space="preserve"> </w:t>
      </w:r>
      <w:r>
        <w:rPr>
          <w:rtl w:val="true"/>
        </w:rPr>
        <w:t>צפוי</w:t>
      </w:r>
      <w:r>
        <w:rPr>
          <w:rtl w:val="true"/>
        </w:rPr>
        <w:t xml:space="preserve"> </w:t>
      </w:r>
      <w:r>
        <w:rPr>
          <w:rtl w:val="true"/>
        </w:rPr>
        <w:t>להיגרם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tl w:val="true"/>
        </w:rPr>
        <w:t xml:space="preserve"> ל</w:t>
      </w:r>
      <w:hyperlink r:id="rId35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העונשין</w:t>
        </w:r>
      </w:hyperlink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במקרה שלפנינו</w:t>
      </w:r>
      <w:r>
        <w:rPr>
          <w:rtl w:val="true"/>
        </w:rPr>
        <w:t xml:space="preserve">, </w:t>
      </w:r>
      <w:r>
        <w:rPr>
          <w:rtl w:val="true"/>
        </w:rPr>
        <w:t>בית המשפט המחוזי הנכבד אכן התחשב בכלל השיקולים הנ</w:t>
      </w:r>
      <w:r>
        <w:rPr>
          <w:rtl w:val="true"/>
        </w:rPr>
        <w:t>"</w:t>
      </w:r>
      <w:r>
        <w:rPr>
          <w:rtl w:val="true"/>
        </w:rPr>
        <w:t>ל כאשר קבע את מתחם הענישה ההולם בעניינם של המערערים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 xml:space="preserve">נקבע 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עקרון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ההלימה</w:t>
      </w:r>
      <w:r>
        <w:rPr>
          <w:rtl w:val="true"/>
        </w:rPr>
        <w:t xml:space="preserve"> מחייב השתת מאסר בפועל שלא ירוצה ככלל בדרך של עבודות שירות על המערערים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פיסקה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לגזר הדין</w:t>
      </w:r>
      <w:r>
        <w:rPr>
          <w:rtl w:val="true"/>
        </w:rPr>
        <w:t xml:space="preserve">). </w:t>
      </w:r>
      <w:r>
        <w:rPr>
          <w:rtl w:val="true"/>
        </w:rPr>
        <w:t>הנני מסכים עם קביעה עקרונית זו משורה של טעמים</w:t>
      </w:r>
      <w:r>
        <w:rPr>
          <w:rtl w:val="true"/>
        </w:rPr>
        <w:t>:</w:t>
      </w:r>
    </w:p>
    <w:p>
      <w:pPr>
        <w:pStyle w:val="Ruller41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החברתי</w:t>
      </w:r>
      <w:r>
        <w:rPr>
          <w:rtl w:val="true"/>
        </w:rPr>
        <w:t xml:space="preserve"> של ביטחון המדינה</w:t>
      </w:r>
      <w:r>
        <w:rPr>
          <w:rtl w:val="true"/>
        </w:rPr>
        <w:t xml:space="preserve">, </w:t>
      </w:r>
      <w:r>
        <w:rPr>
          <w:rtl w:val="true"/>
        </w:rPr>
        <w:t>בו פגעו המערערים במעשיהם</w:t>
      </w:r>
      <w:r>
        <w:rPr>
          <w:rtl w:val="true"/>
        </w:rPr>
        <w:t xml:space="preserve">, </w:t>
      </w:r>
      <w:r>
        <w:rPr>
          <w:rtl w:val="true"/>
        </w:rPr>
        <w:t>הינו ערך חשוב</w:t>
      </w:r>
      <w:r>
        <w:rPr>
          <w:rtl w:val="true"/>
        </w:rPr>
        <w:t xml:space="preserve">, </w:t>
      </w:r>
      <w:r>
        <w:rPr>
          <w:rtl w:val="true"/>
        </w:rPr>
        <w:t>ראשון במעלה</w:t>
      </w:r>
      <w:r>
        <w:rPr>
          <w:rtl w:val="true"/>
        </w:rPr>
        <w:t xml:space="preserve">, </w:t>
      </w:r>
      <w:r>
        <w:rPr>
          <w:rtl w:val="true"/>
        </w:rPr>
        <w:t>ויש לכבדו</w:t>
      </w:r>
      <w:r>
        <w:rPr>
          <w:rtl w:val="true"/>
        </w:rPr>
        <w:t xml:space="preserve">. </w:t>
      </w:r>
      <w:r>
        <w:rPr>
          <w:rtl w:val="true"/>
        </w:rPr>
        <w:t>העבירות אותן עברו המערערים</w:t>
      </w:r>
      <w:r>
        <w:rPr>
          <w:rtl w:val="true"/>
        </w:rPr>
        <w:t xml:space="preserve">, </w:t>
      </w:r>
      <w:r>
        <w:rPr>
          <w:rtl w:val="true"/>
        </w:rPr>
        <w:t>מגבירות</w:t>
      </w:r>
      <w:r>
        <w:rPr>
          <w:rtl w:val="true"/>
        </w:rPr>
        <w:t xml:space="preserve">, </w:t>
      </w:r>
      <w:r>
        <w:rPr>
          <w:rtl w:val="true"/>
        </w:rPr>
        <w:t>הלכה למעשה</w:t>
      </w:r>
      <w:r>
        <w:rPr>
          <w:rtl w:val="true"/>
        </w:rPr>
        <w:t xml:space="preserve">, </w:t>
      </w:r>
      <w:r>
        <w:rPr>
          <w:rtl w:val="true"/>
        </w:rPr>
        <w:t>את הסיכון הביטחוני במדינה</w:t>
      </w:r>
      <w:r>
        <w:rPr>
          <w:rtl w:val="true"/>
        </w:rPr>
        <w:t xml:space="preserve">, </w:t>
      </w:r>
      <w:r>
        <w:rPr>
          <w:rtl w:val="true"/>
        </w:rPr>
        <w:t>מחריפות את המורכבות במרקם היחסים העדין בין מדינת ישראל לבין רצועת עזה ומקשות על גורמי הפיקוח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הסיכון</w:t>
      </w:r>
      <w:r>
        <w:rPr>
          <w:rtl w:val="true"/>
        </w:rPr>
        <w:t xml:space="preserve"> אותו יצרו המערערים הינו חמור וממשי ולכן מידת הפגיעה בביטחון המדינה היתה רבה</w:t>
      </w:r>
      <w:r>
        <w:rPr>
          <w:rtl w:val="true"/>
        </w:rPr>
        <w:t xml:space="preserve">, </w:t>
      </w:r>
      <w:r>
        <w:rPr>
          <w:rtl w:val="true"/>
        </w:rPr>
        <w:t>ודוק</w:t>
      </w:r>
      <w:r>
        <w:rPr>
          <w:rtl w:val="true"/>
        </w:rPr>
        <w:t xml:space="preserve">: </w:t>
      </w:r>
      <w:r>
        <w:rPr>
          <w:rtl w:val="true"/>
        </w:rPr>
        <w:t>העברת ציוד דו</w:t>
      </w:r>
      <w:r>
        <w:rPr>
          <w:rtl w:val="true"/>
        </w:rPr>
        <w:t>-</w:t>
      </w:r>
      <w:r>
        <w:rPr>
          <w:rtl w:val="true"/>
        </w:rPr>
        <w:t>שימושי לשטחי עזה</w:t>
      </w:r>
      <w:r>
        <w:rPr>
          <w:rtl w:val="true"/>
        </w:rPr>
        <w:t xml:space="preserve">, </w:t>
      </w:r>
      <w:r>
        <w:rPr>
          <w:rtl w:val="true"/>
        </w:rPr>
        <w:t>בלא היתר</w:t>
      </w:r>
      <w:r>
        <w:rPr>
          <w:rtl w:val="true"/>
        </w:rPr>
        <w:t xml:space="preserve">, </w:t>
      </w:r>
      <w:r>
        <w:rPr>
          <w:rtl w:val="true"/>
        </w:rPr>
        <w:t>עלולה לסכן את ביטחון המדינה באופן שייעשה בציוד שימוש לשם ביצוע פעולות טרור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שימוש ברכבי </w:t>
      </w:r>
      <w:r>
        <w:rPr/>
        <w:t>4</w:t>
      </w:r>
      <w:r>
        <w:rPr/>
        <w:t>X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יכול אמנם להיעשות לצרכים אזרחיים</w:t>
      </w:r>
      <w:r>
        <w:rPr>
          <w:rtl w:val="true"/>
        </w:rPr>
        <w:t xml:space="preserve">, </w:t>
      </w:r>
      <w:r>
        <w:rPr>
          <w:rtl w:val="true"/>
        </w:rPr>
        <w:t>אך באופן דומה ניתן גם לנצל רכבים אלה לצורך העברת רקטות וכלי נשק ובכך לסייע לארגוני הטרור הפועלים בעזה במרחבים שקשים למעבר</w:t>
      </w:r>
      <w:r>
        <w:rPr>
          <w:rtl w:val="true"/>
        </w:rPr>
        <w:t xml:space="preserve">. </w:t>
      </w:r>
      <w:r>
        <w:rPr>
          <w:rtl w:val="true"/>
        </w:rPr>
        <w:t>ממילא הדבר עלול להטיל עומס גדול על כוחות הביטחון הישראליים ועל בודקי המעברים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בכל הנוגע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המערערים טוענים כי הפסיקה שנסקרה על ידי בית המשפט המחוזי הנכבד עוסקת בדינם של סוחרים עזתיים וישראליים שביצעו העברות של חומר דו שימושי לשטחי עזה ולא של המסייעים לאותם הסוחרים</w:t>
      </w:r>
      <w:r>
        <w:rPr>
          <w:rtl w:val="true"/>
        </w:rPr>
        <w:t xml:space="preserve">, </w:t>
      </w:r>
      <w:r>
        <w:rPr>
          <w:rtl w:val="true"/>
        </w:rPr>
        <w:t>בדומה לתפקיד שמילאו המערערים במקרה דנא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הם סבורים כי עונשם צריך להיות קל מהעונש שהושת בפסקי דין אלו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אין בידי לקבל טענה זו</w:t>
      </w:r>
      <w:r>
        <w:rPr>
          <w:rtl w:val="true"/>
        </w:rPr>
        <w:t xml:space="preserve">, </w:t>
      </w:r>
      <w:r>
        <w:rPr>
          <w:rtl w:val="true"/>
        </w:rPr>
        <w:t>ואסביר</w:t>
      </w:r>
      <w:r>
        <w:rPr>
          <w:rtl w:val="true"/>
        </w:rPr>
        <w:t xml:space="preserve">: </w:t>
      </w:r>
      <w:r>
        <w:rPr>
          <w:rtl w:val="true"/>
        </w:rPr>
        <w:t>התדירות הגוברת של מקרי העברות רכבים ללא היתר</w:t>
      </w:r>
      <w:r>
        <w:rPr>
          <w:rtl w:val="true"/>
        </w:rPr>
        <w:t xml:space="preserve">, </w:t>
      </w:r>
      <w:r>
        <w:rPr>
          <w:rtl w:val="true"/>
        </w:rPr>
        <w:t>באותו הגבול שבו בוצעו העבירות במקרה דנן</w:t>
      </w:r>
      <w:r>
        <w:rPr>
          <w:rtl w:val="true"/>
        </w:rPr>
        <w:t xml:space="preserve">, </w:t>
      </w:r>
      <w:r>
        <w:rPr>
          <w:rtl w:val="true"/>
        </w:rPr>
        <w:t xml:space="preserve">גרמו לשינוי מדיניות האכיפה החל משנת </w:t>
      </w:r>
      <w:r>
        <w:rPr/>
        <w:t>2015</w:t>
      </w:r>
      <w:r>
        <w:rPr>
          <w:rtl w:val="true"/>
        </w:rPr>
        <w:t xml:space="preserve">. </w:t>
      </w:r>
      <w:r>
        <w:rPr>
          <w:rtl w:val="true"/>
        </w:rPr>
        <w:t>תדירות גוברת זו אף הובילה למגמה של החמרה בענישה</w:t>
      </w:r>
      <w:r>
        <w:rPr>
          <w:rtl w:val="true"/>
        </w:rPr>
        <w:t xml:space="preserve">, </w:t>
      </w:r>
      <w:r>
        <w:rPr>
          <w:rtl w:val="true"/>
        </w:rPr>
        <w:t>במטרה להעביר מסר חד</w:t>
      </w:r>
      <w:r>
        <w:rPr>
          <w:rtl w:val="true"/>
        </w:rPr>
        <w:t>-</w:t>
      </w:r>
      <w:r>
        <w:rPr>
          <w:rtl w:val="true"/>
        </w:rPr>
        <w:t>משמעי שיתרום לשמירה על ביטחון המדינה</w:t>
      </w:r>
      <w:r>
        <w:rPr>
          <w:rtl w:val="true"/>
        </w:rPr>
        <w:t>.</w:t>
      </w:r>
      <w:r>
        <w:rPr>
          <w:color w:val="FF0000"/>
          <w:rtl w:val="true"/>
        </w:rPr>
        <w:t xml:space="preserve">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חשוב להדגיש כי הענישה ההדרגתית</w:t>
      </w:r>
      <w:r>
        <w:rPr>
          <w:rtl w:val="true"/>
        </w:rPr>
        <w:t xml:space="preserve">, </w:t>
      </w:r>
      <w:r>
        <w:rPr>
          <w:rtl w:val="true"/>
        </w:rPr>
        <w:t>לה טוענים 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כבר הופעלה והושלמה במשך התקופה שחלפה החל משנת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ועד היום</w:t>
      </w:r>
      <w:r>
        <w:rPr>
          <w:rtl w:val="true"/>
        </w:rPr>
        <w:t xml:space="preserve">, </w:t>
      </w:r>
      <w:r>
        <w:rPr>
          <w:rtl w:val="true"/>
        </w:rPr>
        <w:t>וכעת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 לאחר תחילת שלב ההחמרה ההדרגתית</w:t>
      </w:r>
      <w:r>
        <w:rPr>
          <w:rtl w:val="true"/>
        </w:rPr>
        <w:t xml:space="preserve">, </w:t>
      </w:r>
      <w:r>
        <w:rPr>
          <w:rtl w:val="true"/>
        </w:rPr>
        <w:t>יש מקום להחמיר בעונשם של המשתתפים בביצוע ההעברות</w:t>
      </w:r>
      <w:r>
        <w:rPr>
          <w:rtl w:val="true"/>
        </w:rPr>
        <w:t xml:space="preserve">. </w:t>
      </w:r>
      <w:r>
        <w:rPr>
          <w:rtl w:val="true"/>
        </w:rPr>
        <w:t>כך לדוגמא</w:t>
      </w:r>
      <w:r>
        <w:rPr>
          <w:rtl w:val="true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 xml:space="preserve">בעניין </w:t>
      </w:r>
      <w:hyperlink r:id="rId36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מחוזי ב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ש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  <w:lang w:eastAsia="he-IL"/>
          </w:rPr>
          <w:t xml:space="preserve">)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lang w:eastAsia="he-IL"/>
          </w:rPr>
          <w:t>46659-02-15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eastAsia="he-IL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eastAsia="he-IL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eastAsia="he-IL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  <w:lang w:eastAsia="he-IL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eastAsia="he-IL"/>
        </w:rPr>
        <w:t>יאסין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  <w:lang w:eastAsia="he-IL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  <w:lang w:eastAsia="he-IL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  <w:lang w:eastAsia="he-IL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  <w:lang w:eastAsia="he-IL"/>
        </w:rPr>
        <w:t xml:space="preserve">] </w:t>
      </w:r>
      <w:r>
        <w:rPr>
          <w:rFonts w:cs="Times New Roman" w:ascii="Times New Roman" w:hAnsi="Times New Roman"/>
          <w:rtl w:val="true"/>
          <w:lang w:eastAsia="he-IL"/>
        </w:rPr>
        <w:t>(</w:t>
      </w:r>
      <w:r>
        <w:rPr>
          <w:rFonts w:cs="Times New Roman" w:ascii="Times New Roman" w:hAnsi="Times New Roman"/>
          <w:lang w:eastAsia="he-IL"/>
        </w:rPr>
        <w:t>15.12.2015</w:t>
      </w:r>
      <w:r>
        <w:rPr>
          <w:rFonts w:cs="Times New Roman" w:ascii="Times New Roman" w:hAnsi="Times New Roman"/>
          <w:rtl w:val="true"/>
          <w:lang w:eastAsia="he-IL"/>
        </w:rPr>
        <w:t xml:space="preserve">) </w:t>
      </w:r>
      <w:r>
        <w:rPr>
          <w:rFonts w:cs="Times New Roman" w:ascii="Times New Roman" w:hAnsi="Times New Roman"/>
          <w:rtl w:val="true"/>
          <w:lang w:eastAsia="he-IL"/>
        </w:rPr>
        <w:t>–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בית המשפט הביא בחשבון את העובדה שהנאשם הוא הראשון שהובא לדין פלילי על ניסיון להכניס סחורה טעונת היתר לעזה ללא היתר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והקל בעונשו בשל כך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tl w:val="true"/>
        </w:rPr>
        <w:t>בעניין זה כבר נאמר גם ב</w:t>
      </w:r>
      <w:hyperlink r:id="rId3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7002-15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אולי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פיסקה </w:t>
      </w:r>
      <w:r>
        <w:rPr/>
        <w:t>17</w:t>
      </w:r>
      <w:r>
        <w:rPr>
          <w:rtl w:val="true"/>
        </w:rPr>
        <w:t xml:space="preserve"> (</w:t>
      </w:r>
      <w:r>
        <w:rPr/>
        <w:t>10.07.2016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</w:t>
      </w:r>
    </w:p>
    <w:p>
      <w:pPr>
        <w:pStyle w:val="Ruller41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5"/>
        <w:ind w:end="1282"/>
        <w:jc w:val="both"/>
        <w:rPr>
          <w:lang w:eastAsia="he-IL"/>
        </w:rPr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אני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מוצא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לנכון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להבהיר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ולהדגיש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שהוטל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ללמד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שזהו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הראוי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בדרך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נותן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הנסיבות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חריגות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ומיוחדות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הוטל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שהוטל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ניסיון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להבריח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לעזה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במרמה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טובין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שהכנסתם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מחייבת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הינו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חמור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המצדיק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ככלל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הטלת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בפועל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מאחורי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סורג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ובריח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העוסקים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בתחומים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הנוגעים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להפנים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שהדבר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נתון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לשיקול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רשאים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להרהר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התבונה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ההצדקה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שבאיסור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טובין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מסוימים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לעזה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בחיובם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בקבלת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וליטול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לעצמם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חירות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להתעלם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מאיסור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חיוב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נראה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בעיניהם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כמוצדק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עליהם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להניח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הגופים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האמונים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העניין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מצאו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לנכון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לקבוע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קביעה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שכזו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הנוגע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לבטחון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ותושביה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ושחובה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עליהם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מצד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כפשוטו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מצד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אחריותם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המוסרית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כאזרחים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להימנע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מסיכון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ותושביה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לקיים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ככתבם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וכלשונם</w:t>
      </w:r>
      <w:r>
        <w:rPr>
          <w:rtl w:val="true"/>
          <w:lang w:eastAsia="he-IL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תקופת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ההתאמה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למדיניות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החדשה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גורמי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האכיפה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והבאתה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לידיעת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הציבור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הנוגע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בדבר</w:t>
      </w:r>
      <w:r>
        <w:rPr>
          <w:rFonts w:cs="Miriam" w:ascii="Century" w:hAnsi="Century"/>
          <w:b/>
          <w:spacing w:val="0"/>
          <w:szCs w:val="24"/>
          <w:rtl w:val="true"/>
          <w:lang w:eastAsia="he-IL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מוצתה</w:t>
      </w:r>
      <w:r>
        <w:rPr>
          <w:rFonts w:cs="Miriam" w:ascii="Century" w:hAnsi="Century"/>
          <w:b/>
          <w:spacing w:val="0"/>
          <w:szCs w:val="24"/>
          <w:rtl w:val="true"/>
          <w:lang w:eastAsia="he-IL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ולהבא</w:t>
      </w:r>
      <w:r>
        <w:rPr>
          <w:rFonts w:cs="Miriam" w:ascii="Century" w:hAnsi="Century"/>
          <w:b/>
          <w:spacing w:val="0"/>
          <w:szCs w:val="24"/>
          <w:rtl w:val="true"/>
          <w:lang w:eastAsia="he-IL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ככלל</w:t>
      </w:r>
      <w:r>
        <w:rPr>
          <w:rFonts w:cs="Miriam" w:ascii="Century" w:hAnsi="Century"/>
          <w:b/>
          <w:spacing w:val="0"/>
          <w:szCs w:val="24"/>
          <w:rtl w:val="true"/>
          <w:lang w:eastAsia="he-IL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בגזירת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מעשים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כאלה</w:t>
      </w:r>
      <w:r>
        <w:rPr>
          <w:rFonts w:cs="Miriam" w:ascii="Century" w:hAnsi="Century"/>
          <w:b/>
          <w:spacing w:val="0"/>
          <w:szCs w:val="24"/>
          <w:rtl w:val="true"/>
          <w:lang w:eastAsia="he-IL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חדשים</w:t>
      </w:r>
      <w:r>
        <w:rPr>
          <w:rFonts w:cs="Miriam" w:ascii="Century" w:hAnsi="Century"/>
          <w:b/>
          <w:spacing w:val="0"/>
          <w:szCs w:val="24"/>
          <w:rtl w:val="true"/>
          <w:lang w:eastAsia="he-IL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יהיה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מקום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להתחשב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לקולא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במדיניות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ובפרקטיקה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שנהגו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בעבר</w:t>
      </w:r>
      <w:r>
        <w:rPr>
          <w:rFonts w:cs="Miriam" w:ascii="Century" w:hAnsi="Century"/>
          <w:b/>
          <w:spacing w:val="0"/>
          <w:szCs w:val="24"/>
          <w:rtl w:val="true"/>
          <w:lang w:eastAsia="he-IL"/>
        </w:rPr>
        <w:t>.</w:t>
      </w:r>
      <w:r>
        <w:rPr>
          <w:rtl w:val="true"/>
          <w:lang w:eastAsia="he-IL"/>
        </w:rPr>
        <w:t xml:space="preserve">" </w:t>
      </w:r>
    </w:p>
    <w:p>
      <w:pPr>
        <w:pStyle w:val="Ruller5"/>
        <w:ind w:end="1282"/>
        <w:jc w:val="both"/>
        <w:rPr/>
      </w:pP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ההדגשות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הוספו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ח</w:t>
      </w:r>
      <w:r>
        <w:rPr>
          <w:rFonts w:cs="Miriam" w:ascii="Century" w:hAnsi="Century"/>
          <w:b/>
          <w:spacing w:val="0"/>
          <w:szCs w:val="24"/>
          <w:rtl w:val="true"/>
          <w:lang w:eastAsia="he-IL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מ</w:t>
      </w:r>
      <w:r>
        <w:rPr>
          <w:rtl w:val="true"/>
          <w:lang w:eastAsia="he-IL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ענפה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ענייננו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מייצגת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התפתחה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הדרגתית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מספקת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עכשווית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ההחמרה שחלה בענישה בגין העבירות בהן עסקינן</w:t>
      </w:r>
      <w:r>
        <w:rPr>
          <w:rtl w:val="true"/>
        </w:rPr>
        <w:t xml:space="preserve">, </w:t>
      </w:r>
      <w:r>
        <w:rPr>
          <w:rtl w:val="true"/>
        </w:rPr>
        <w:t>בשנים האחרונות</w:t>
      </w:r>
      <w:r>
        <w:rPr>
          <w:rtl w:val="true"/>
        </w:rPr>
        <w:t xml:space="preserve">, </w:t>
      </w:r>
      <w:r>
        <w:rPr>
          <w:rtl w:val="true"/>
        </w:rPr>
        <w:t>מתבקשת נוכח העלייה הגוברת בהעברות ללא היתר והצורך להילחם בתופעה זאת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אינני רואה סיבה לשנות מהמדיניות הקיימת ולהקל בענישה בנושא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ראוי לציין כי המקרה שלפנינו איננו פחות חמור מהמקרים שנדונו בפסיקה שנסקרה</w:t>
      </w:r>
      <w:r>
        <w:rPr>
          <w:rtl w:val="true"/>
        </w:rPr>
        <w:t xml:space="preserve">, </w:t>
      </w:r>
      <w:r>
        <w:rPr>
          <w:rtl w:val="true"/>
        </w:rPr>
        <w:t>ואף מכיל נסיבות מחמירות יותר מחלקם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: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לא מדובר בהעברה חד פעמית לשטחי עזה</w:t>
      </w:r>
      <w:r>
        <w:rPr>
          <w:rtl w:val="true"/>
        </w:rPr>
        <w:t xml:space="preserve">, </w:t>
      </w:r>
      <w:r>
        <w:rPr>
          <w:rtl w:val="true"/>
        </w:rPr>
        <w:t>כמו במרבית הפסיקה שאוזכרה</w:t>
      </w:r>
      <w:r>
        <w:rPr>
          <w:rtl w:val="true"/>
        </w:rPr>
        <w:t xml:space="preserve">, </w:t>
      </w:r>
      <w:r>
        <w:rPr>
          <w:rtl w:val="true"/>
        </w:rPr>
        <w:t>אלא בהעברות חוזרות ונשנות</w:t>
      </w:r>
      <w:r>
        <w:rPr>
          <w:rtl w:val="true"/>
        </w:rPr>
        <w:t xml:space="preserve">, </w:t>
      </w:r>
      <w:r>
        <w:rPr>
          <w:rtl w:val="true"/>
        </w:rPr>
        <w:t xml:space="preserve">שבוצעו על ידי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במשך כחצי שנה ועל ידי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3-2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tl w:val="true"/>
        </w:rPr>
        <w:t>במשך כשלושה חודשים</w:t>
      </w:r>
      <w:r>
        <w:rPr>
          <w:rtl w:val="true"/>
        </w:rPr>
        <w:t xml:space="preserve">; </w:t>
      </w:r>
      <w:r>
        <w:rPr>
          <w:rtl w:val="true"/>
        </w:rPr>
        <w:t>רק חלקם הקטן של ההעברות בענייננו נתפס</w:t>
      </w:r>
      <w:r>
        <w:rPr>
          <w:rtl w:val="true"/>
        </w:rPr>
        <w:t xml:space="preserve">, </w:t>
      </w:r>
      <w:r>
        <w:rPr>
          <w:rtl w:val="true"/>
        </w:rPr>
        <w:t>דהיינו רובן של ההעברות בענייננו הצליח</w:t>
      </w:r>
      <w:r>
        <w:rPr>
          <w:rtl w:val="true"/>
        </w:rPr>
        <w:t xml:space="preserve">, </w:t>
      </w:r>
      <w:r>
        <w:rPr>
          <w:rtl w:val="true"/>
        </w:rPr>
        <w:t>זאת בניגוד לפסיקה שהוצגה</w:t>
      </w:r>
      <w:r>
        <w:rPr>
          <w:rtl w:val="true"/>
        </w:rPr>
        <w:t xml:space="preserve">, </w:t>
      </w:r>
      <w:r>
        <w:rPr>
          <w:rtl w:val="true"/>
        </w:rPr>
        <w:t>אשר בחלקה יוחס לנאשם עבירה של ניסיון אחד בלבד והחומרים הדו</w:t>
      </w:r>
      <w:r>
        <w:rPr>
          <w:rtl w:val="true"/>
        </w:rPr>
        <w:t>-</w:t>
      </w:r>
      <w:r>
        <w:rPr>
          <w:rtl w:val="true"/>
        </w:rPr>
        <w:t>שימושיים נתפסו</w:t>
      </w:r>
      <w:r>
        <w:rPr>
          <w:rtl w:val="true"/>
        </w:rPr>
        <w:t xml:space="preserve">;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בענייננו עסקינן בעבירות כנגד ביטחון המדינה</w:t>
      </w:r>
      <w:r>
        <w:rPr>
          <w:rtl w:val="true"/>
        </w:rPr>
        <w:t xml:space="preserve">, </w:t>
      </w:r>
      <w:r>
        <w:rPr>
          <w:rtl w:val="true"/>
        </w:rPr>
        <w:t xml:space="preserve">בניגוד לעניין </w:t>
      </w:r>
      <w:hyperlink r:id="rId3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31744-03-15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שיבר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08.07.2015</w:t>
      </w:r>
      <w:r>
        <w:rPr>
          <w:rtl w:val="true"/>
        </w:rPr>
        <w:t xml:space="preserve">), </w:t>
      </w:r>
      <w:r>
        <w:rPr>
          <w:rtl w:val="true"/>
        </w:rPr>
        <w:t>שם הנאשם הואשם בביצוע עבירות מכס בלבד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אין להקל ראש בנסיבות העבירות שלפנינו</w:t>
      </w:r>
      <w:r>
        <w:rPr>
          <w:rtl w:val="true"/>
        </w:rPr>
        <w:t xml:space="preserve">, </w:t>
      </w:r>
      <w:r>
        <w:rPr>
          <w:rtl w:val="true"/>
        </w:rPr>
        <w:t>בהשוואה לנסיבות הפסיקה שנסקרה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 xml:space="preserve">חשוב להדגיש כי ישנן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מחמירות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הנוגעות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לביצוע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העבירות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כאן</w:t>
      </w:r>
      <w:r>
        <w:rPr>
          <w:rtl w:val="true"/>
        </w:rPr>
        <w:t xml:space="preserve">. </w:t>
      </w:r>
      <w:r>
        <w:rPr>
          <w:rtl w:val="true"/>
        </w:rPr>
        <w:t xml:space="preserve">לעבירות שביצעו המערערים קדם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תכנון</w:t>
      </w:r>
      <w:r>
        <w:rPr>
          <w:rtl w:val="true"/>
        </w:rPr>
        <w:t xml:space="preserve"> מקיף ותיאום בין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הסוחרים</w:t>
      </w:r>
      <w:r>
        <w:rPr>
          <w:rtl w:val="true"/>
        </w:rPr>
        <w:t xml:space="preserve"> לבין 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שכלל חלוקת תפקידים ותיאום של מועדי העברת הרכבים לביתם של המערערים </w:t>
      </w:r>
      <w:r>
        <w:rPr>
          <w:rtl w:val="true"/>
        </w:rPr>
        <w:t>–</w:t>
      </w:r>
      <w:r>
        <w:rPr>
          <w:rtl w:val="true"/>
        </w:rPr>
        <w:t xml:space="preserve"> ולאחר פירוקם ואריזתם </w:t>
      </w:r>
      <w:r>
        <w:rPr>
          <w:rtl w:val="true"/>
        </w:rPr>
        <w:t>–</w:t>
      </w:r>
      <w:r>
        <w:rPr>
          <w:rtl w:val="true"/>
        </w:rPr>
        <w:t xml:space="preserve"> העברת האריזות למעבר הגבול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מומחיותם של המערערים בפירוק כלי רכב היא זו שאיפשרה את ביצוע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וללא מומחיות זו </w:t>
      </w:r>
      <w:r>
        <w:rPr>
          <w:rtl w:val="true"/>
        </w:rPr>
        <w:t>–</w:t>
      </w:r>
      <w:r>
        <w:rPr>
          <w:rtl w:val="true"/>
        </w:rPr>
        <w:t xml:space="preserve">  הרכבים לא היו מועברים לשטחי עזה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חלקם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היחסי</w:t>
      </w:r>
      <w:r>
        <w:rPr>
          <w:rtl w:val="true"/>
        </w:rPr>
        <w:t xml:space="preserve"> של המערערים בביצוע העבירות הוא משמעותי מעצם היותם </w:t>
      </w:r>
      <w:r>
        <w:rPr>
          <w:rtl w:val="true"/>
        </w:rPr>
        <w:t>"</w:t>
      </w:r>
      <w:r>
        <w:rPr>
          <w:rtl w:val="true"/>
        </w:rPr>
        <w:t>חולייה שבלעדיה אין</w:t>
      </w:r>
      <w:r>
        <w:rPr>
          <w:rtl w:val="true"/>
        </w:rPr>
        <w:t xml:space="preserve">".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הנזק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צפוי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להיגרם</w:t>
      </w:r>
      <w:r>
        <w:rPr>
          <w:rtl w:val="true"/>
        </w:rPr>
        <w:t xml:space="preserve"> מהעבירות דנן הינו רב</w:t>
      </w:r>
      <w:r>
        <w:rPr>
          <w:rtl w:val="true"/>
        </w:rPr>
        <w:t xml:space="preserve">, </w:t>
      </w:r>
      <w:r>
        <w:rPr>
          <w:rtl w:val="true"/>
        </w:rPr>
        <w:t xml:space="preserve">מאחר שבגדרן הועבר מספר לא מבוטל של רכבי </w:t>
      </w:r>
      <w:r>
        <w:rPr/>
        <w:t>4</w:t>
      </w:r>
      <w:r>
        <w:rPr/>
        <w:t>X</w:t>
      </w:r>
      <w:r>
        <w:rPr/>
        <w:t>4</w:t>
      </w:r>
      <w:r>
        <w:rPr>
          <w:rtl w:val="true"/>
        </w:rPr>
        <w:t xml:space="preserve">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: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רכבים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3-2</w:t>
      </w:r>
      <w:r>
        <w:rPr>
          <w:rtl w:val="true"/>
        </w:rPr>
        <w:t xml:space="preserve">: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רכבים</w:t>
      </w:r>
      <w:r>
        <w:rPr>
          <w:rtl w:val="true"/>
        </w:rPr>
        <w:t xml:space="preserve">), </w:t>
      </w:r>
      <w:r>
        <w:rPr>
          <w:rtl w:val="true"/>
        </w:rPr>
        <w:t>כאשר ידוע שרכבים אלו יכולים לסייע לארגוני הטרור</w:t>
      </w:r>
      <w:r>
        <w:rPr>
          <w:rtl w:val="true"/>
        </w:rPr>
        <w:t xml:space="preserve">, </w:t>
      </w:r>
      <w:r>
        <w:rPr>
          <w:rtl w:val="true"/>
        </w:rPr>
        <w:t>בנסיעות בשטחי עזה החוליים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12"/>
          <w:szCs w:val="18"/>
        </w:rPr>
      </w:pPr>
      <w:r>
        <w:rPr>
          <w:sz w:val="12"/>
          <w:szCs w:val="1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   </w:t>
      </w:r>
      <w:r>
        <w:rPr>
          <w:rtl w:val="true"/>
        </w:rPr>
        <w:t xml:space="preserve">זאת ועוד </w:t>
      </w:r>
      <w:r>
        <w:rPr>
          <w:rtl w:val="true"/>
        </w:rPr>
        <w:t>–</w:t>
      </w:r>
      <w:r>
        <w:rPr>
          <w:rtl w:val="true"/>
        </w:rPr>
        <w:t xml:space="preserve"> אחרת</w:t>
      </w:r>
      <w:r>
        <w:rPr>
          <w:rtl w:val="true"/>
        </w:rPr>
        <w:t xml:space="preserve">. </w:t>
      </w:r>
      <w:r>
        <w:rPr>
          <w:rtl w:val="true"/>
        </w:rPr>
        <w:t xml:space="preserve">גם דין טענת המערערים </w:t>
      </w:r>
      <w:r>
        <w:rPr>
          <w:rtl w:val="true"/>
        </w:rPr>
        <w:t>–</w:t>
      </w:r>
      <w:r>
        <w:rPr>
          <w:rtl w:val="true"/>
        </w:rPr>
        <w:t xml:space="preserve"> לפיה העונש על סיוע       לעבירה העיקרית הינו מחצית מהעונש על הביצוע העיקרי </w:t>
      </w:r>
      <w:r>
        <w:rPr>
          <w:rtl w:val="true"/>
        </w:rPr>
        <w:t>–</w:t>
      </w:r>
      <w:r>
        <w:rPr>
          <w:rtl w:val="true"/>
        </w:rPr>
        <w:t xml:space="preserve"> להידחות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מאחר והמערערים הורשעו </w:t>
      </w:r>
      <w:r>
        <w:rPr>
          <w:b/>
          <w:b/>
          <w:bCs/>
          <w:rtl w:val="true"/>
        </w:rPr>
        <w:t>בביצוע העבירה העיקרית</w:t>
      </w:r>
      <w:r>
        <w:rPr>
          <w:rtl w:val="true"/>
        </w:rPr>
        <w:t xml:space="preserve"> של עבירות קשירת קשר ושל העברת חומר דו</w:t>
      </w:r>
      <w:r>
        <w:rPr>
          <w:rtl w:val="true"/>
        </w:rPr>
        <w:t>-</w:t>
      </w:r>
      <w:r>
        <w:rPr>
          <w:rtl w:val="true"/>
        </w:rPr>
        <w:t>שימושי</w:t>
      </w:r>
      <w:r>
        <w:rPr>
          <w:rtl w:val="true"/>
        </w:rPr>
        <w:t xml:space="preserve">, </w:t>
      </w:r>
      <w:r>
        <w:rPr>
          <w:rtl w:val="true"/>
        </w:rPr>
        <w:t>והם הורשעו ב</w:t>
      </w:r>
      <w:r>
        <w:rPr>
          <w:rFonts w:ascii="Century" w:hAnsi="Century" w:cs="Century"/>
          <w:b/>
          <w:b/>
          <w:bCs/>
          <w:sz w:val="22"/>
          <w:sz w:val="22"/>
          <w:rtl w:val="true"/>
        </w:rPr>
        <w:t>סיוע</w:t>
      </w:r>
      <w:r>
        <w:rPr>
          <w:rtl w:val="true"/>
        </w:rPr>
        <w:t xml:space="preserve"> לעבירה עצמה</w:t>
      </w:r>
      <w:r>
        <w:rPr>
          <w:rtl w:val="true"/>
        </w:rPr>
        <w:t xml:space="preserve">, </w:t>
      </w:r>
      <w:r>
        <w:rPr>
          <w:rtl w:val="true"/>
        </w:rPr>
        <w:t>ללא הרשעה בביצוע העבירה העיקרית</w:t>
      </w:r>
      <w:r>
        <w:rPr>
          <w:rtl w:val="true"/>
        </w:rPr>
        <w:t xml:space="preserve">, </w:t>
      </w:r>
      <w:r>
        <w:rPr>
          <w:rtl w:val="true"/>
        </w:rPr>
        <w:t>רק בנוגע לעבירה של קבלת דבר במרמה בנסיבות מחמירות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לנוכח כל האמור לעיל</w:t>
      </w:r>
      <w:r>
        <w:rPr>
          <w:rtl w:val="true"/>
        </w:rPr>
        <w:t xml:space="preserve">, </w:t>
      </w:r>
      <w:r>
        <w:rPr>
          <w:rtl w:val="true"/>
        </w:rPr>
        <w:t>ברי כי מתחם הענישה שנקבע על ידי בית המשפט המחוזי הנכבד מבטא נאמנה את עקרון ההלימה ואת כל הנלווה אליו</w:t>
      </w:r>
      <w:r>
        <w:rPr>
          <w:rtl w:val="true"/>
        </w:rPr>
        <w:t xml:space="preserve">, </w:t>
      </w:r>
      <w:r>
        <w:rPr>
          <w:rtl w:val="true"/>
        </w:rPr>
        <w:t>ומאזן כיאות בין השיקולים השונים שהובאו בהרחבה לעיל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מתחם הענישה</w:t>
      </w:r>
      <w:r>
        <w:rPr>
          <w:rtl w:val="true"/>
        </w:rPr>
        <w:t xml:space="preserve">, </w:t>
      </w:r>
      <w:r>
        <w:rPr>
          <w:rtl w:val="true"/>
        </w:rPr>
        <w:t>בית המשפט המחוזי הנכבד התחשב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שאינן</w:t>
      </w:r>
      <w:r>
        <w:rPr>
          <w:rtl w:val="true"/>
        </w:rPr>
        <w:t xml:space="preserve"> </w:t>
      </w:r>
      <w:r>
        <w:rPr>
          <w:rtl w:val="true"/>
        </w:rPr>
        <w:t>קשורות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 xml:space="preserve"> </w:t>
      </w:r>
      <w:r>
        <w:rPr>
          <w:rtl w:val="true"/>
        </w:rPr>
        <w:t>העביר</w:t>
      </w:r>
      <w:r>
        <w:rPr>
          <w:rtl w:val="true"/>
        </w:rPr>
        <w:t xml:space="preserve">ות </w:t>
      </w:r>
      <w:r>
        <w:rPr>
          <w:rtl w:val="true"/>
        </w:rPr>
        <w:t>(</w:t>
      </w:r>
      <w:r>
        <w:rPr>
          <w:rtl w:val="true"/>
        </w:rPr>
        <w:t xml:space="preserve">לפי </w:t>
      </w:r>
      <w:hyperlink r:id="rId3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</w:hyperlink>
      <w:r>
        <w:rPr>
          <w:rtl w:val="true"/>
        </w:rPr>
        <w:t xml:space="preserve"> ל</w:t>
      </w:r>
      <w:hyperlink r:id="rId40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ובכללן</w:t>
      </w:r>
      <w:r>
        <w:rPr>
          <w:rtl w:val="true"/>
        </w:rPr>
        <w:t xml:space="preserve">: </w:t>
      </w:r>
      <w:r>
        <w:rPr>
          <w:rtl w:val="true"/>
        </w:rPr>
        <w:t>נסיבותיהם האישיות של המערערים</w:t>
      </w:r>
      <w:r>
        <w:rPr>
          <w:rtl w:val="true"/>
        </w:rPr>
        <w:t xml:space="preserve">. </w:t>
      </w:r>
      <w:r>
        <w:rPr>
          <w:rtl w:val="true"/>
        </w:rPr>
        <w:t>כתוצאה מכך</w:t>
      </w:r>
      <w:r>
        <w:rPr>
          <w:rtl w:val="true"/>
        </w:rPr>
        <w:t xml:space="preserve">, </w:t>
      </w:r>
      <w:r>
        <w:rPr>
          <w:rtl w:val="true"/>
        </w:rPr>
        <w:t>מוקם עונשם של המערערים ברף התחתון של מתחם הענישה שנקבע</w:t>
      </w:r>
      <w:r>
        <w:rPr>
          <w:rtl w:val="true"/>
        </w:rPr>
        <w:t xml:space="preserve">, </w:t>
      </w:r>
      <w:r>
        <w:rPr>
          <w:rtl w:val="true"/>
        </w:rPr>
        <w:t xml:space="preserve">ובעשותו כן </w:t>
      </w:r>
      <w:r>
        <w:rPr>
          <w:rtl w:val="true"/>
        </w:rPr>
        <w:t>–</w:t>
      </w:r>
      <w:r>
        <w:rPr>
          <w:rtl w:val="true"/>
        </w:rPr>
        <w:t xml:space="preserve"> נהג בית המשפט המחוזי הנכבד כדין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color w:val="FF0000"/>
        </w:rPr>
      </w:pPr>
      <w:r>
        <w:rPr>
          <w:rtl w:val="true"/>
        </w:rPr>
        <w:tab/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בית המשפט המחוזי הנכבד צדק כאשר קבע מתחם ענישה שונה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והעמיד את עונשו על עונש מאסר כפול מעונשם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3-2</w:t>
      </w:r>
      <w:r>
        <w:rPr>
          <w:rtl w:val="true"/>
        </w:rPr>
        <w:t xml:space="preserve">. </w:t>
      </w:r>
      <w:r>
        <w:rPr>
          <w:rtl w:val="true"/>
        </w:rPr>
        <w:t>לקביעה זו אני מוצא בסיס</w:t>
      </w:r>
      <w:r>
        <w:rPr>
          <w:rtl w:val="true"/>
        </w:rPr>
        <w:t xml:space="preserve">, </w:t>
      </w:r>
      <w:r>
        <w:rPr>
          <w:rtl w:val="true"/>
        </w:rPr>
        <w:t xml:space="preserve">הטמון בעיקר בפן מסוים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עקרון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אחידות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ואחדד להלן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color w:val="FF0000"/>
        </w:rPr>
      </w:pPr>
      <w:r>
        <w:rPr>
          <w:color w:val="FF0000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color w:val="FF0000"/>
        </w:rPr>
      </w:pPr>
      <w:r>
        <w:rPr>
          <w:rtl w:val="true"/>
        </w:rPr>
        <w:t>עקרון אחידות הענישה</w:t>
      </w:r>
      <w:r>
        <w:rPr>
          <w:rtl w:val="true"/>
        </w:rPr>
        <w:t xml:space="preserve">, </w:t>
      </w:r>
      <w:r>
        <w:rPr>
          <w:rtl w:val="true"/>
        </w:rPr>
        <w:t xml:space="preserve">הנגזר מעקרון שוויון הנאשמים בפני החוק </w:t>
      </w:r>
      <w:r>
        <w:rPr>
          <w:rtl w:val="true"/>
        </w:rPr>
        <w:t>–</w:t>
      </w:r>
      <w:r>
        <w:rPr>
          <w:rtl w:val="true"/>
        </w:rPr>
        <w:t xml:space="preserve"> בא למנוע הפליה בין מקרים שווים</w:t>
      </w:r>
      <w:r>
        <w:rPr>
          <w:rtl w:val="true"/>
        </w:rPr>
        <w:t xml:space="preserve">, </w:t>
      </w:r>
      <w:r>
        <w:rPr>
          <w:rtl w:val="true"/>
        </w:rPr>
        <w:t>או קרובים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למען השגת שתי תכליות</w:t>
      </w:r>
      <w:r>
        <w:rPr>
          <w:rtl w:val="true"/>
        </w:rPr>
        <w:t xml:space="preserve">: </w:t>
      </w:r>
      <w:r>
        <w:rPr>
          <w:rtl w:val="true"/>
        </w:rPr>
        <w:t>עשיית צדק עם הנאשמים ושמירה על אמון הציבור במערכת המשפט בכלל ובהליך הפלילי בפרט</w:t>
      </w:r>
      <w:r>
        <w:rPr>
          <w:rtl w:val="true"/>
        </w:rPr>
        <w:t xml:space="preserve">. </w:t>
      </w:r>
      <w:r>
        <w:rPr>
          <w:rtl w:val="true"/>
        </w:rPr>
        <w:t>עקרון אחידות הענישה קובע כי יש להחיל על מצבים דומים</w:t>
      </w:r>
      <w:r>
        <w:rPr>
          <w:rtl w:val="true"/>
        </w:rPr>
        <w:t xml:space="preserve">, </w:t>
      </w:r>
      <w:r>
        <w:rPr>
          <w:rtl w:val="true"/>
        </w:rPr>
        <w:t>מבחינת אופי העבירות ונסיבותיהם האישיות של הנאשמים</w:t>
      </w:r>
      <w:r>
        <w:rPr>
          <w:rtl w:val="true"/>
        </w:rPr>
        <w:t xml:space="preserve">, </w:t>
      </w:r>
      <w:r>
        <w:rPr>
          <w:rtl w:val="true"/>
        </w:rPr>
        <w:t xml:space="preserve">שיקולי ענישה דומים ככל האפשר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9792/06</w:t>
        </w:r>
      </w:hyperlink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Cs w:val="24"/>
          <w:rtl w:val="true"/>
        </w:rPr>
        <w:t>חמוד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Cs w:val="24"/>
          <w:rtl w:val="true"/>
        </w:rPr>
        <w:t>ישראל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 xml:space="preserve">פיסקה </w:t>
      </w:r>
      <w:r>
        <w:rPr>
          <w:rFonts w:cs="Times New Roman" w:ascii="Times New Roman" w:hAnsi="Times New Roman"/>
        </w:rPr>
        <w:t>15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01.04.2007</w:t>
      </w:r>
      <w:r>
        <w:rPr>
          <w:rFonts w:cs="Times New Roman" w:ascii="Times New Roman" w:hAnsi="Times New Roman"/>
          <w:rtl w:val="true"/>
        </w:rPr>
        <w:t xml:space="preserve">)). </w:t>
      </w:r>
      <w:r>
        <w:rPr>
          <w:rtl w:val="true"/>
        </w:rPr>
        <w:t>עקרון אחידות הענישה מוביל איפוא למסקנה לכאורית שמקום בו מורשעים שניים בביצוע עבירה בצוותא</w:t>
      </w:r>
      <w:r>
        <w:rPr>
          <w:rtl w:val="true"/>
        </w:rPr>
        <w:t>-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יוטל עליהם בעיקרון עונש דומה</w:t>
      </w:r>
      <w:r>
        <w:rPr>
          <w:rtl w:val="true"/>
        </w:rPr>
        <w:t xml:space="preserve">, </w:t>
      </w:r>
      <w:r>
        <w:rPr>
          <w:rtl w:val="true"/>
        </w:rPr>
        <w:t>בהתאם לאחריותם המשותפת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עקרון זה</w:t>
      </w:r>
      <w:r>
        <w:rPr>
          <w:rtl w:val="true"/>
        </w:rPr>
        <w:t>: "</w:t>
      </w:r>
      <w:r>
        <w:rPr>
          <w:rtl w:val="true"/>
        </w:rPr>
        <w:t>אינו חזות הכול ויכול שייסוג מפני עקרונות וערכים אחרים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6672/03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קמינסקי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נח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441</w:t>
      </w:r>
      <w:r>
        <w:rPr>
          <w:rtl w:val="true"/>
        </w:rPr>
        <w:t xml:space="preserve">, </w:t>
      </w:r>
      <w:r>
        <w:rPr>
          <w:rtl w:val="true"/>
        </w:rPr>
        <w:t xml:space="preserve">פיסקה </w:t>
      </w:r>
      <w:r>
        <w:rPr/>
        <w:t>5</w:t>
      </w:r>
      <w:r>
        <w:rPr>
          <w:rtl w:val="true"/>
        </w:rPr>
        <w:t xml:space="preserve"> (</w:t>
      </w:r>
      <w:r>
        <w:rPr/>
        <w:t>2003</w:t>
      </w:r>
      <w:r>
        <w:rPr>
          <w:rtl w:val="true"/>
        </w:rPr>
        <w:t>)</w:t>
      </w:r>
      <w:r>
        <w:rPr>
          <w:rFonts w:cs="Times New Roman" w:ascii="Times New Roman" w:hAnsi="Times New Roman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כאשר נסיבותיו של שותף אחד מיוחדות לקולה</w:t>
      </w:r>
      <w:r>
        <w:rPr>
          <w:rtl w:val="true"/>
        </w:rPr>
        <w:t xml:space="preserve">, </w:t>
      </w:r>
      <w:r>
        <w:rPr>
          <w:rtl w:val="true"/>
        </w:rPr>
        <w:t>או לחומרה</w:t>
      </w:r>
      <w:r>
        <w:rPr>
          <w:rtl w:val="true"/>
        </w:rPr>
        <w:t xml:space="preserve">, </w:t>
      </w:r>
      <w:r>
        <w:rPr>
          <w:rtl w:val="true"/>
        </w:rPr>
        <w:t xml:space="preserve">בהשוואה לשותפו </w:t>
      </w:r>
      <w:r>
        <w:rPr>
          <w:rtl w:val="true"/>
        </w:rPr>
        <w:t>–</w:t>
      </w:r>
      <w:r>
        <w:rPr>
          <w:rtl w:val="true"/>
        </w:rPr>
        <w:t xml:space="preserve"> נסיבות אלו עשויות להשפיע על העונש שיושת עליו ולאבחנו משותפו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>:</w:t>
      </w:r>
      <w:r>
        <w:rPr>
          <w:rFonts w:cs="Times New Roman" w:ascii="Times New Roman" w:hAnsi="Times New Roman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9937/01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חורב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נח</w:t>
        </w:r>
      </w:hyperlink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), </w:t>
      </w:r>
      <w:r>
        <w:rPr/>
        <w:t>738</w:t>
      </w:r>
      <w:r>
        <w:rPr>
          <w:rtl w:val="true"/>
        </w:rPr>
        <w:t xml:space="preserve">, </w:t>
      </w:r>
      <w:r>
        <w:rPr>
          <w:rtl w:val="true"/>
        </w:rPr>
        <w:t xml:space="preserve">פיסקה </w:t>
      </w:r>
      <w:r>
        <w:rPr/>
        <w:t>12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>)</w:t>
      </w:r>
      <w:r>
        <w:rPr>
          <w:rFonts w:cs="Miriam" w:ascii="Times New Roman" w:hAnsi="Times New Roman"/>
          <w:spacing w:val="0"/>
          <w:szCs w:val="24"/>
          <w:rtl w:val="true"/>
        </w:rPr>
        <w:t xml:space="preserve">; </w:t>
      </w:r>
      <w:hyperlink r:id="rId44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5640/97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רייך נ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מדינת ישראל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ד נג</w:t>
        </w:r>
      </w:hyperlink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cs="Times New Roman" w:ascii="Times New Roman" w:hAnsi="Times New Roman"/>
        </w:rPr>
        <w:t>433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</w:rPr>
        <w:t>470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1999</w:t>
      </w:r>
      <w:r>
        <w:rPr>
          <w:rFonts w:cs="Times New Roman" w:ascii="Times New Roman" w:hAnsi="Times New Roman"/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tabs>
          <w:tab w:val="left" w:pos="720" w:leader="none"/>
        </w:tabs>
        <w:ind w:end="0"/>
        <w:jc w:val="both"/>
        <w:rPr>
          <w:color w:val="FF0000"/>
        </w:rPr>
      </w:pPr>
      <w:r>
        <w:rPr>
          <w:color w:val="FF0000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color w:val="FF0000"/>
        </w:rPr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 xml:space="preserve">עקרון אחידות הענישה אין די בו כדי להצדיק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זהות</w:t>
      </w:r>
      <w:r>
        <w:rPr>
          <w:rtl w:val="true"/>
        </w:rPr>
        <w:t xml:space="preserve"> בעונשיהם של המערערים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ביצע מספר העברות </w:t>
      </w:r>
      <w:r>
        <w:rPr>
          <w:b/>
          <w:b/>
          <w:bCs/>
          <w:rtl w:val="true"/>
        </w:rPr>
        <w:t>כפול</w:t>
      </w:r>
      <w:r>
        <w:rPr>
          <w:rtl w:val="true"/>
        </w:rPr>
        <w:t xml:space="preserve"> מ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3-2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ובמהלך תקופה </w:t>
      </w:r>
      <w:r>
        <w:rPr>
          <w:b/>
          <w:b/>
          <w:bCs/>
          <w:rtl w:val="true"/>
        </w:rPr>
        <w:t>כפולה</w:t>
      </w:r>
      <w:r>
        <w:rPr>
          <w:rtl w:val="true"/>
        </w:rPr>
        <w:t xml:space="preserve"> באורכה</w:t>
      </w:r>
      <w:r>
        <w:rPr>
          <w:rtl w:val="true"/>
        </w:rPr>
        <w:t xml:space="preserve">. </w:t>
      </w:r>
      <w:r>
        <w:rPr>
          <w:rtl w:val="true"/>
        </w:rPr>
        <w:t xml:space="preserve">לכך יש השפעה </w:t>
      </w:r>
      <w:r>
        <w:rPr>
          <w:b/>
          <w:b/>
          <w:bCs/>
          <w:rtl w:val="true"/>
        </w:rPr>
        <w:t>כפולה</w:t>
      </w:r>
      <w:r>
        <w:rPr>
          <w:rtl w:val="true"/>
        </w:rPr>
        <w:t xml:space="preserve"> הן על פוטנציאל הנזק שנגרם והן על חוסר הכרתו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 </w:t>
      </w:r>
      <w:r>
        <w:rPr>
          <w:rtl w:val="true"/>
        </w:rPr>
        <w:t>בחומרת מעשיו</w:t>
      </w:r>
      <w:r>
        <w:rPr>
          <w:rtl w:val="true"/>
        </w:rPr>
        <w:t xml:space="preserve">. </w:t>
      </w:r>
      <w:r>
        <w:rPr>
          <w:rtl w:val="true"/>
        </w:rPr>
        <w:t>מדובר במעשים מתמשכים שחזרו על עצמם פעמים רבות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>אף עירב בהם את ילדיו</w:t>
      </w:r>
      <w:r>
        <w:rPr>
          <w:rtl w:val="true"/>
        </w:rPr>
        <w:t xml:space="preserve">. </w:t>
      </w:r>
      <w:r>
        <w:rPr>
          <w:rtl w:val="true"/>
        </w:rPr>
        <w:t>עקרון ההלימה מחייב איפוא למצער השתת עונש</w:t>
      </w:r>
      <w:r>
        <w:rPr>
          <w:b/>
          <w:b/>
          <w:bCs/>
          <w:rtl w:val="true"/>
        </w:rPr>
        <w:t xml:space="preserve"> כפול</w:t>
      </w:r>
      <w:r>
        <w:rPr>
          <w:rtl w:val="true"/>
        </w:rPr>
        <w:t xml:space="preserve"> בנסיבות העניין</w:t>
      </w:r>
      <w:r>
        <w:rPr>
          <w:rtl w:val="true"/>
        </w:rPr>
        <w:t xml:space="preserve">. </w:t>
      </w:r>
      <w:r>
        <w:rPr>
          <w:rtl w:val="true"/>
        </w:rPr>
        <w:t xml:space="preserve">רק עונש כזה יכול להלום את החומרה שבמעשיו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לעומת מעשי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3-2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color w:val="FF0000"/>
        </w:rPr>
      </w:pPr>
      <w:r>
        <w:rPr>
          <w:color w:val="FF0000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sz w:val="22"/>
        </w:rPr>
      </w:pPr>
      <w:r>
        <w:rPr>
          <w:rtl w:val="true"/>
        </w:rPr>
        <w:t xml:space="preserve">לאור האמור עד הנה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sz w:val="22"/>
          <w:sz w:val="22"/>
          <w:rtl w:val="true"/>
        </w:rPr>
        <w:t xml:space="preserve">דין ערעורם </w:t>
      </w:r>
      <w:r>
        <w:rPr>
          <w:rtl w:val="true"/>
        </w:rPr>
        <w:t xml:space="preserve">של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spacing w:val="0"/>
          <w:sz w:val="22"/>
          <w:szCs w:val="24"/>
        </w:rPr>
        <w:t>2-1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בכל הנוגע ל</w:t>
      </w:r>
      <w:r>
        <w:rPr>
          <w:rFonts w:ascii="Century" w:hAnsi="Century" w:cs="Century"/>
          <w:sz w:val="22"/>
          <w:sz w:val="22"/>
          <w:rtl w:val="true"/>
        </w:rPr>
        <w:t>עונש המאסר שהושת עליהם</w:t>
      </w:r>
      <w:r>
        <w:rPr>
          <w:rtl w:val="true"/>
        </w:rPr>
        <w:t xml:space="preserve">,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sz w:val="22"/>
          <w:sz w:val="22"/>
          <w:rtl w:val="true"/>
        </w:rPr>
        <w:t xml:space="preserve">אפנה עתה לעניינו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</w:t>
      </w:r>
      <w:r>
        <w:rPr>
          <w:sz w:val="22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 xml:space="preserve">לנוכח חומרת העבירות שבהן הורשע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</w:t>
      </w:r>
      <w:r>
        <w:rPr>
          <w:rtl w:val="true"/>
        </w:rPr>
        <w:t xml:space="preserve">, </w:t>
      </w:r>
      <w:r>
        <w:rPr>
          <w:rtl w:val="true"/>
        </w:rPr>
        <w:t>ובהתחשב ביתר הנסיבות</w:t>
      </w:r>
      <w:r>
        <w:rPr>
          <w:rtl w:val="true"/>
        </w:rPr>
        <w:t xml:space="preserve">, </w:t>
      </w:r>
      <w:r>
        <w:rPr>
          <w:rtl w:val="true"/>
        </w:rPr>
        <w:t xml:space="preserve">עליהן עמד בית המשפט המחוזי הנכבד בגזר הדין ואותן סקרתי אף אני בהרחבה לעיל </w:t>
      </w:r>
      <w:r>
        <w:rPr>
          <w:rtl w:val="true"/>
        </w:rPr>
        <w:t>–</w:t>
      </w:r>
      <w:r>
        <w:rPr>
          <w:rtl w:val="true"/>
        </w:rPr>
        <w:t xml:space="preserve"> אין לקבוע כי העונש שהושת עליו מכביד מדי כשלעצמו</w:t>
      </w:r>
      <w:r>
        <w:rPr>
          <w:rtl w:val="true"/>
        </w:rPr>
        <w:t xml:space="preserve">, </w:t>
      </w:r>
      <w:r>
        <w:rPr>
          <w:rtl w:val="true"/>
        </w:rPr>
        <w:t>ומכל מקום עונשו איננו עולה כדי אותם מקרים חריגים שבהם מוצדקת במישור העקרוני התערבות ערכאת הערעור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קיימת לדידי הצדקה להקלה מסוימת בעונשו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</w:t>
      </w:r>
      <w:r>
        <w:rPr>
          <w:rtl w:val="true"/>
        </w:rPr>
        <w:t xml:space="preserve">, </w:t>
      </w:r>
      <w:r>
        <w:rPr>
          <w:rtl w:val="true"/>
        </w:rPr>
        <w:t>המבוססת על התחשבות</w:t>
      </w:r>
      <w:r>
        <w:rPr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בנסיבותיו האישיות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ובמיוחד נוכח תסקירי שירות המבחן החיוביים מאד שהונחו לפנינו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גילו הצעיר והיעדר של כל עבר פלילי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הכל כפי שיפורט להלן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hyperlink r:id="rId4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קובע כי ניתן לסטות ממתחם העונש ההולם בעניינו של נאשם באם נמצא כי הנאשם </w:t>
      </w:r>
      <w:r>
        <w:rPr>
          <w:rtl w:val="true"/>
        </w:rPr>
        <w:t>"</w:t>
      </w:r>
      <w:r>
        <w:rPr>
          <w:rtl w:val="true"/>
        </w:rPr>
        <w:t>השתקם</w:t>
      </w:r>
      <w:r>
        <w:rPr>
          <w:rtl w:val="true"/>
        </w:rPr>
        <w:t xml:space="preserve">", </w:t>
      </w:r>
      <w:r>
        <w:rPr>
          <w:rtl w:val="true"/>
        </w:rPr>
        <w:t xml:space="preserve">או כי יש </w:t>
      </w:r>
      <w:r>
        <w:rPr>
          <w:rtl w:val="true"/>
        </w:rPr>
        <w:t>"</w:t>
      </w:r>
      <w:r>
        <w:rPr>
          <w:rtl w:val="true"/>
        </w:rPr>
        <w:t>סיכוי של ממש</w:t>
      </w:r>
      <w:r>
        <w:rPr>
          <w:rtl w:val="true"/>
        </w:rPr>
        <w:t xml:space="preserve">" </w:t>
      </w:r>
      <w:r>
        <w:rPr>
          <w:rtl w:val="true"/>
        </w:rPr>
        <w:t>שהנאשם ישתקם</w:t>
      </w:r>
      <w:r>
        <w:rPr>
          <w:rtl w:val="true"/>
        </w:rPr>
        <w:t xml:space="preserve">. </w:t>
      </w:r>
      <w:r>
        <w:rPr>
          <w:rtl w:val="true"/>
        </w:rPr>
        <w:t>הסעיף מבטא את עמדת המחוקק</w:t>
      </w:r>
      <w:r>
        <w:rPr>
          <w:rtl w:val="true"/>
        </w:rPr>
        <w:t xml:space="preserve">, </w:t>
      </w:r>
      <w:r>
        <w:rPr>
          <w:rtl w:val="true"/>
        </w:rPr>
        <w:t>לפיה קיימים מקרים שבהם יש להעדיף את שיקולי השיקום על פני השיקולים האחרים הניצבים בבסיס הענישה</w:t>
      </w:r>
      <w:r>
        <w:rPr>
          <w:rtl w:val="true"/>
        </w:rPr>
        <w:t>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ברי כי </w:t>
      </w:r>
      <w:r>
        <w:rPr>
          <w:rFonts w:ascii="Century" w:hAnsi="Century" w:cs="Century"/>
          <w:rtl w:val="true"/>
        </w:rPr>
        <w:t>יש לבחון כל מקרה בהתאם לנסיבותיו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למונח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סיכוי של ממש</w:t>
      </w:r>
      <w:r>
        <w:rPr>
          <w:rFonts w:cs="Century" w:ascii="Century" w:hAnsi="Century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לא ניתנה הגדרה ברורה וחד משמעית בפסיקה עד כה</w:t>
      </w:r>
      <w:r>
        <w:rPr>
          <w:rtl w:val="true"/>
        </w:rPr>
        <w:t xml:space="preserve">, </w:t>
      </w:r>
      <w:r>
        <w:rPr>
          <w:rtl w:val="true"/>
        </w:rPr>
        <w:t>אך ניתן להצביע על השיקולים המרכזיים</w:t>
      </w:r>
      <w:r>
        <w:rPr>
          <w:rtl w:val="true"/>
        </w:rPr>
        <w:t xml:space="preserve">, </w:t>
      </w:r>
      <w:r>
        <w:rPr>
          <w:rtl w:val="true"/>
        </w:rPr>
        <w:t>אשר יובאו בחשבון במסגרת בחינתו</w:t>
      </w:r>
      <w:r>
        <w:rPr>
          <w:rtl w:val="true"/>
        </w:rPr>
        <w:t xml:space="preserve">, </w:t>
      </w:r>
      <w:r>
        <w:rPr>
          <w:rtl w:val="true"/>
        </w:rPr>
        <w:t>וביניהם</w:t>
      </w:r>
      <w:r>
        <w:rPr>
          <w:rtl w:val="true"/>
        </w:rPr>
        <w:t xml:space="preserve">: </w:t>
      </w:r>
      <w:r>
        <w:rPr>
          <w:rFonts w:ascii="Century" w:hAnsi="Century" w:cs="Century"/>
          <w:rtl w:val="true"/>
        </w:rPr>
        <w:t>מוטיבציית הנאשם להשתקם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הליכים שהנאשם עובר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ובכללם הליכי גמילה מהתמכרות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הבעת חרטה עמוקה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הפגנת הזדהות והבנה כלפי קורבן העבירה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הצלחה בהשתלבות בהליכים טיפוליים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וכן אינדיקציות לשינוי אמיתי בהתנהגות הנאשם ובדרך חשיבתו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6637/17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קרנדל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פיסקאות </w:t>
      </w:r>
      <w:r>
        <w:rPr/>
        <w:t>24-23</w:t>
      </w:r>
      <w:r>
        <w:rPr>
          <w:rtl w:val="true"/>
        </w:rPr>
        <w:t xml:space="preserve"> </w:t>
      </w:r>
      <w:r>
        <w:rPr>
          <w:rtl w:val="true"/>
        </w:rPr>
        <w:t>לחוות דעתה של כב</w:t>
      </w:r>
      <w:r>
        <w:rPr>
          <w:rtl w:val="true"/>
        </w:rPr>
        <w:t xml:space="preserve">'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ארז</w:t>
      </w:r>
      <w:r>
        <w:rPr>
          <w:rtl w:val="true"/>
        </w:rPr>
        <w:t xml:space="preserve"> והאסמכתאות המובאות שם </w:t>
      </w:r>
      <w:r>
        <w:rPr>
          <w:rtl w:val="true"/>
        </w:rPr>
        <w:t>(</w:t>
      </w:r>
      <w:r>
        <w:rPr/>
        <w:t>18.04.2018</w:t>
      </w:r>
      <w:r>
        <w:rPr>
          <w:rtl w:val="true"/>
        </w:rPr>
        <w:t>))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בהמשך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נקבע בפסיקה שכאשר קיים חשש כי מאסר בפועל של הנאשם עשוי לאיין את התהליך השיקומי בו הוא מצוי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לפגוע בו באופן משמעותי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לבכר את שיקולי השיקום על פני השיקולים האחרים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וביניהם אלו הנובעים מעיקרון ההלימה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שהוא כאמור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העיקרון המנחה בענישה </w:t>
      </w:r>
      <w:r>
        <w:rPr>
          <w:rFonts w:cs="Century" w:ascii="Century" w:hAnsi="Century"/>
          <w:rtl w:val="true"/>
        </w:rPr>
        <w:t>(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9147/17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פיסקה </w:t>
      </w: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 דינה של כב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וילנר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20.09.2018</w:t>
      </w:r>
      <w:r>
        <w:rPr>
          <w:rFonts w:cs="Century" w:ascii="Century" w:hAnsi="Century"/>
          <w:rtl w:val="true"/>
        </w:rPr>
        <w:t>)).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textAlignment w:val="auto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spacing w:val="0"/>
          <w:sz w:val="22"/>
          <w:szCs w:val="24"/>
        </w:rPr>
        <w:t>3</w:t>
      </w:r>
      <w:r>
        <w:rPr>
          <w:rtl w:val="true"/>
        </w:rPr>
        <w:t xml:space="preserve">, </w:t>
      </w:r>
      <w:r>
        <w:rPr>
          <w:rtl w:val="true"/>
        </w:rPr>
        <w:t xml:space="preserve">הינו צעיר בן </w:t>
      </w:r>
      <w:r>
        <w:rPr/>
        <w:t>27</w:t>
      </w:r>
      <w:r>
        <w:rPr>
          <w:rtl w:val="true"/>
        </w:rPr>
        <w:t xml:space="preserve">, </w:t>
      </w:r>
      <w:r>
        <w:rPr>
          <w:rtl w:val="true"/>
        </w:rPr>
        <w:t>אשר עובד מזה כשנה וחצי במקום עבודה קבוע שאינו קשור לתחום פירוק רכבים</w:t>
      </w:r>
      <w:r>
        <w:rPr>
          <w:rtl w:val="true"/>
        </w:rPr>
        <w:t xml:space="preserve">. </w:t>
      </w:r>
      <w:r>
        <w:rPr>
          <w:rtl w:val="true"/>
        </w:rPr>
        <w:t>הוא התחיל לימודים אקדמיים במכללה</w:t>
      </w:r>
      <w:r>
        <w:rPr>
          <w:rtl w:val="true"/>
        </w:rPr>
        <w:t xml:space="preserve">, </w:t>
      </w:r>
      <w:r>
        <w:rPr>
          <w:rtl w:val="true"/>
        </w:rPr>
        <w:t>והוציא רישיון נהיגה</w:t>
      </w:r>
      <w:r>
        <w:rPr>
          <w:rtl w:val="true"/>
        </w:rPr>
        <w:t xml:space="preserve">.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spacing w:val="0"/>
          <w:sz w:val="22"/>
          <w:szCs w:val="24"/>
        </w:rPr>
        <w:t>3</w:t>
      </w:r>
      <w:r>
        <w:rPr>
          <w:rtl w:val="true"/>
        </w:rPr>
        <w:t xml:space="preserve"> </w:t>
      </w:r>
      <w:r>
        <w:rPr>
          <w:rtl w:val="true"/>
        </w:rPr>
        <w:t>נעדר עבר פלילי</w:t>
      </w:r>
      <w:r>
        <w:rPr>
          <w:rtl w:val="true"/>
        </w:rPr>
        <w:t xml:space="preserve">, </w:t>
      </w:r>
      <w:r>
        <w:rPr>
          <w:rtl w:val="true"/>
        </w:rPr>
        <w:t>ולמעט העבירות הנ</w:t>
      </w:r>
      <w:r>
        <w:rPr>
          <w:rtl w:val="true"/>
        </w:rPr>
        <w:t>"</w:t>
      </w:r>
      <w:r>
        <w:rPr>
          <w:rtl w:val="true"/>
        </w:rPr>
        <w:t>ל בהן הורשע</w:t>
      </w:r>
      <w:r>
        <w:rPr>
          <w:rtl w:val="true"/>
        </w:rPr>
        <w:t xml:space="preserve">, </w:t>
      </w:r>
      <w:r>
        <w:rPr>
          <w:rtl w:val="true"/>
        </w:rPr>
        <w:t>הוא ניהל ומנהל אורח חיים סדיר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spacing w:val="0"/>
          <w:sz w:val="22"/>
          <w:szCs w:val="24"/>
        </w:rPr>
        <w:t>3</w:t>
      </w:r>
      <w:r>
        <w:rPr>
          <w:rtl w:val="true"/>
        </w:rPr>
        <w:t xml:space="preserve"> </w:t>
      </w:r>
      <w:r>
        <w:rPr>
          <w:rtl w:val="true"/>
        </w:rPr>
        <w:t>הכיר בחומרתם ובהשלכותיהם של מעשיו</w:t>
      </w:r>
      <w:r>
        <w:rPr>
          <w:rtl w:val="true"/>
        </w:rPr>
        <w:t xml:space="preserve">, </w:t>
      </w:r>
      <w:r>
        <w:rPr>
          <w:rtl w:val="true"/>
        </w:rPr>
        <w:t>נטל אחריות עליהם והביע חרטה וצער</w:t>
      </w:r>
      <w:r>
        <w:rPr>
          <w:rtl w:val="true"/>
        </w:rPr>
        <w:t xml:space="preserve">, </w:t>
      </w:r>
      <w:r>
        <w:rPr>
          <w:rtl w:val="true"/>
        </w:rPr>
        <w:t>לרבות ביטוי הבנה לצורך בענישה בגין מעשיו</w:t>
      </w:r>
      <w:r>
        <w:rPr>
          <w:rtl w:val="true"/>
        </w:rPr>
        <w:t xml:space="preserve">. </w:t>
      </w:r>
      <w:r>
        <w:rPr>
          <w:sz w:val="22"/>
          <w:sz w:val="22"/>
          <w:rtl w:val="true"/>
        </w:rPr>
        <w:t xml:space="preserve">הוא אף </w:t>
      </w:r>
      <w:r>
        <w:rPr>
          <w:rtl w:val="true"/>
        </w:rPr>
        <w:t>נרתם להליך טיפולי</w:t>
      </w:r>
      <w:r>
        <w:rPr>
          <w:rtl w:val="true"/>
        </w:rPr>
        <w:t xml:space="preserve">, </w:t>
      </w:r>
      <w:r>
        <w:rPr>
          <w:rtl w:val="true"/>
        </w:rPr>
        <w:t>אליו הוא מגיע בהתמדה ומשתתף בו באופן דומיננטי ופעיל</w:t>
      </w:r>
      <w:r>
        <w:rPr>
          <w:rtl w:val="true"/>
        </w:rPr>
        <w:t xml:space="preserve">. </w:t>
      </w:r>
      <w:r>
        <w:rPr>
          <w:rtl w:val="true"/>
        </w:rPr>
        <w:t>תסקירי שירות המבחן בעניינו</w:t>
      </w:r>
      <w:r>
        <w:rPr>
          <w:rtl w:val="true"/>
        </w:rPr>
        <w:t xml:space="preserve"> הם</w:t>
      </w:r>
      <w:r>
        <w:rPr>
          <w:rtl w:val="true"/>
        </w:rPr>
        <w:t xml:space="preserve"> חיוביים ומציגים עמדה </w:t>
      </w:r>
      <w:r>
        <w:rPr>
          <w:rtl w:val="true"/>
        </w:rPr>
        <w:t>ש</w:t>
      </w:r>
      <w:r>
        <w:rPr>
          <w:rtl w:val="true"/>
        </w:rPr>
        <w:t xml:space="preserve">לפיה </w:t>
      </w:r>
      <w:r>
        <w:rPr>
          <w:sz w:val="22"/>
          <w:sz w:val="22"/>
          <w:rtl w:val="true"/>
        </w:rPr>
        <w:t xml:space="preserve">ההליך הפלילי היווה גורם מרתיע עבורו וכי הוא </w:t>
      </w:r>
      <w:r>
        <w:rPr>
          <w:rtl w:val="true"/>
        </w:rPr>
        <w:t>הפיק את הלקחים הנדרשים</w:t>
      </w:r>
      <w:r>
        <w:rPr>
          <w:rtl w:val="true"/>
        </w:rPr>
        <w:t xml:space="preserve">. </w:t>
      </w:r>
      <w:r>
        <w:rPr>
          <w:rtl w:val="true"/>
        </w:rPr>
        <w:t>בכלל זה הוא מפתח זהות עצמאית ומגובשת</w:t>
      </w:r>
      <w:r>
        <w:rPr>
          <w:rtl w:val="true"/>
        </w:rPr>
        <w:t xml:space="preserve">, </w:t>
      </w:r>
      <w:r>
        <w:rPr>
          <w:rtl w:val="true"/>
        </w:rPr>
        <w:t>הנפרדת ממשפחתו ובפרט מאביו</w:t>
      </w:r>
      <w:r>
        <w:rPr>
          <w:rtl w:val="true"/>
        </w:rPr>
        <w:t xml:space="preserve">. </w:t>
      </w:r>
      <w:r>
        <w:rPr>
          <w:rtl w:val="true"/>
        </w:rPr>
        <w:t xml:space="preserve">ניכר איפוא כי התנהגותו הפלילית של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spacing w:val="0"/>
          <w:sz w:val="22"/>
          <w:szCs w:val="24"/>
        </w:rPr>
        <w:t>3</w:t>
      </w:r>
      <w:r>
        <w:rPr>
          <w:rtl w:val="true"/>
        </w:rPr>
        <w:t xml:space="preserve"> </w:t>
      </w:r>
      <w:r>
        <w:rPr>
          <w:rtl w:val="true"/>
        </w:rPr>
        <w:t>היתה לכאורה חד פעמית</w:t>
      </w:r>
      <w:r>
        <w:rPr>
          <w:rtl w:val="true"/>
        </w:rPr>
        <w:t xml:space="preserve">, </w:t>
      </w:r>
      <w:r>
        <w:rPr>
          <w:rtl w:val="true"/>
        </w:rPr>
        <w:t>ושונה מאד מהתנהלותו בדרך כלל וכי סיכויי שיקומו גבוהים</w:t>
      </w:r>
      <w:r>
        <w:rPr>
          <w:rtl w:val="true"/>
        </w:rPr>
        <w:t>.</w:t>
      </w:r>
      <w:r>
        <w:rPr>
          <w:color w:val="FF0000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ונוכח כל זאת</w:t>
      </w:r>
      <w:r>
        <w:rPr>
          <w:rtl w:val="true"/>
        </w:rPr>
        <w:t xml:space="preserve">, </w:t>
      </w:r>
      <w:r>
        <w:rPr>
          <w:rtl w:val="true"/>
        </w:rPr>
        <w:t xml:space="preserve">סבורני כי קיים חשש שמאסר בפועל של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spacing w:val="0"/>
          <w:sz w:val="22"/>
          <w:szCs w:val="24"/>
        </w:rPr>
        <w:t>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 משמעויותיו והשלכותיו השונות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ובין היתר הפגיעה ברצף התפקודי והתעסוקתי החיובי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יפגע באופן משמעותי בתהליך השיקום שלו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כפי שצוין אף בתסקיר שירות המבחן המשלים </w:t>
      </w:r>
      <w:r>
        <w:rPr>
          <w:rFonts w:cs="FrankRuehl" w:ascii="FrankRuehl" w:hAnsi="FrankRuehl"/>
          <w:sz w:val="22"/>
          <w:rtl w:val="true"/>
        </w:rPr>
        <w:t>(</w:t>
      </w:r>
      <w:r>
        <w:rPr>
          <w:rFonts w:ascii="FrankRuehl" w:hAnsi="FrankRuehl" w:cs="FrankRuehl"/>
          <w:sz w:val="22"/>
          <w:sz w:val="22"/>
          <w:rtl w:val="true"/>
        </w:rPr>
        <w:t>ראו</w:t>
      </w:r>
      <w:r>
        <w:rPr>
          <w:rFonts w:cs="FrankRuehl" w:ascii="FrankRuehl" w:hAnsi="FrankRuehl"/>
          <w:sz w:val="22"/>
          <w:rtl w:val="true"/>
        </w:rPr>
        <w:t xml:space="preserve">: </w:t>
      </w:r>
      <w:hyperlink r:id="rId49">
        <w:bookmarkStart w:id="18" w:name="Text1"/>
        <w:r>
          <w:rPr>
            <w:rStyle w:val="Hyperlink"/>
            <w:rFonts w:ascii="FrankRuehl" w:hAnsi="FrankRuehl" w:cs="FrankRuehl"/>
            <w:b/>
            <w:b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b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b/>
            <w:color w:val="0000FF"/>
            <w:sz w:val="22"/>
            <w:u w:val="single"/>
          </w:rPr>
          <w:t>2287/09</w:t>
        </w:r>
      </w:hyperlink>
      <w:r>
        <w:rPr>
          <w:rFonts w:cs="FrankRuehl" w:ascii="FrankRuehl" w:hAnsi="FrankRuehl"/>
          <w:bCs/>
          <w:sz w:val="22"/>
          <w:rtl w:val="true"/>
        </w:rPr>
        <w:t xml:space="preserve"> ‏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אבי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והבה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>'</w:t>
      </w:r>
      <w:r>
        <w:rPr>
          <w:rFonts w:cs="FrankRuehl" w:ascii="FrankRuehl" w:hAnsi="FrankRuehl"/>
          <w:bCs/>
          <w:sz w:val="22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bookmarkEnd w:id="18"/>
      <w:r>
        <w:rPr>
          <w:rFonts w:ascii="FrankRuehl" w:hAnsi="FrankRuehl" w:cs="FrankRuehl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2"/>
          <w:sz w:val="22"/>
          <w:rtl w:val="true"/>
        </w:rPr>
        <w:t xml:space="preserve">פיסקה </w:t>
      </w:r>
      <w:r>
        <w:rPr>
          <w:sz w:val="22"/>
        </w:rPr>
        <w:t>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 xml:space="preserve">לפסק דיני </w:t>
      </w:r>
      <w:r>
        <w:rPr>
          <w:sz w:val="22"/>
          <w:rtl w:val="true"/>
        </w:rPr>
        <w:t>(</w:t>
      </w:r>
      <w:r>
        <w:rPr>
          <w:sz w:val="22"/>
        </w:rPr>
        <w:t>25.01.2010</w:t>
      </w:r>
      <w:r>
        <w:rPr>
          <w:sz w:val="22"/>
          <w:rtl w:val="true"/>
        </w:rPr>
        <w:t>)</w:t>
      </w:r>
      <w:r>
        <w:rPr>
          <w:rFonts w:cs="FrankRuehl" w:ascii="FrankRuehl" w:hAnsi="FrankRuehl"/>
          <w:sz w:val="22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Century" w:ascii="Century" w:hAnsi="Century"/>
          <w:sz w:val="22"/>
          <w:rtl w:val="true"/>
        </w:rPr>
        <w:tab/>
      </w:r>
      <w:r>
        <w:rPr>
          <w:sz w:val="22"/>
          <w:sz w:val="22"/>
          <w:rtl w:val="true"/>
        </w:rPr>
        <w:t>לפיכך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ומבלי שיהיה בכך כדי להקל ראש במידת החומרה של מעשי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spacing w:val="0"/>
          <w:sz w:val="22"/>
          <w:szCs w:val="24"/>
        </w:rPr>
        <w:t>3</w:t>
      </w:r>
      <w:r>
        <w:rPr>
          <w:rFonts w:cs="Miriam"/>
          <w:b/>
          <w:spacing w:val="0"/>
          <w:sz w:val="22"/>
          <w:szCs w:val="24"/>
          <w:rtl w:val="true"/>
        </w:rPr>
        <w:t xml:space="preserve"> </w:t>
      </w:r>
      <w:r>
        <w:rPr>
          <w:sz w:val="22"/>
          <w:sz w:val="22"/>
          <w:rtl w:val="true"/>
        </w:rPr>
        <w:t xml:space="preserve">בהם הורשע </w:t>
      </w:r>
      <w:r>
        <w:rPr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סבורני כי יש לקבל </w:t>
      </w:r>
      <w:r>
        <w:rPr>
          <w:sz w:val="22"/>
          <w:sz w:val="22"/>
          <w:rtl w:val="true"/>
        </w:rPr>
        <w:t>את ערעור</w:t>
      </w:r>
      <w:r>
        <w:rPr>
          <w:sz w:val="22"/>
          <w:sz w:val="22"/>
          <w:rtl w:val="true"/>
        </w:rPr>
        <w:t xml:space="preserve">ו של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spacing w:val="0"/>
          <w:sz w:val="22"/>
          <w:szCs w:val="24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כנגד גזר דינו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כך שתאומץ </w:t>
      </w:r>
      <w:r>
        <w:rPr>
          <w:sz w:val="22"/>
          <w:sz w:val="22"/>
          <w:rtl w:val="true"/>
        </w:rPr>
        <w:t>המלצת שירות המבחן</w:t>
      </w:r>
      <w:r>
        <w:rPr>
          <w:sz w:val="22"/>
          <w:sz w:val="22"/>
          <w:rtl w:val="true"/>
        </w:rPr>
        <w:t xml:space="preserve"> לגביו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ויוקל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</w:t>
      </w:r>
      <w:r>
        <w:rPr>
          <w:sz w:val="22"/>
          <w:sz w:val="22"/>
          <w:rtl w:val="true"/>
        </w:rPr>
        <w:t>עונש שנגזר על</w:t>
      </w:r>
      <w:r>
        <w:rPr>
          <w:sz w:val="22"/>
          <w:sz w:val="22"/>
          <w:rtl w:val="true"/>
        </w:rPr>
        <w:t>יו</w:t>
      </w:r>
      <w:r>
        <w:rPr>
          <w:sz w:val="22"/>
          <w:rtl w:val="true"/>
        </w:rPr>
        <w:t>.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בהתאם לכך</w:t>
      </w:r>
      <w:r>
        <w:rPr>
          <w:sz w:val="22"/>
          <w:rtl w:val="true"/>
        </w:rPr>
        <w:t>,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חלף</w:t>
      </w:r>
      <w:r>
        <w:rPr>
          <w:sz w:val="22"/>
          <w:sz w:val="22"/>
          <w:rtl w:val="true"/>
        </w:rPr>
        <w:t xml:space="preserve"> העונש של </w:t>
      </w:r>
      <w:r>
        <w:rPr>
          <w:sz w:val="22"/>
        </w:rPr>
        <w:t>15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sz w:val="22"/>
          <w:sz w:val="22"/>
          <w:rtl w:val="true"/>
        </w:rPr>
        <w:t xml:space="preserve"> מאסר בפועל</w:t>
      </w:r>
      <w:r>
        <w:rPr>
          <w:sz w:val="22"/>
          <w:sz w:val="22"/>
          <w:rtl w:val="true"/>
        </w:rPr>
        <w:t xml:space="preserve"> שבית המשפט המחוזי הנכבד הטיל על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spacing w:val="0"/>
          <w:sz w:val="22"/>
          <w:szCs w:val="24"/>
        </w:rPr>
        <w:t>3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בניכוי ימי מעצרו</w:t>
      </w:r>
      <w:r>
        <w:rPr>
          <w:sz w:val="22"/>
          <w:rtl w:val="true"/>
        </w:rPr>
        <w:t xml:space="preserve">) </w:t>
      </w:r>
      <w:r>
        <w:rPr>
          <w:sz w:val="22"/>
          <w:rtl w:val="true"/>
        </w:rPr>
        <w:t>–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 xml:space="preserve">אני סבור כי ראוי להשית עליו עונש של </w:t>
      </w:r>
      <w:r>
        <w:rPr>
          <w:sz w:val="22"/>
        </w:rPr>
        <w:t>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 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שירוצו בדרך של עבודות שירות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לצד </w:t>
      </w:r>
      <w:r>
        <w:rPr>
          <w:rtl w:val="true"/>
        </w:rPr>
        <w:t xml:space="preserve">צו מבחן למשך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אשר במהלכם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spacing w:val="0"/>
          <w:sz w:val="22"/>
          <w:szCs w:val="24"/>
        </w:rPr>
        <w:t>3</w:t>
      </w:r>
      <w:r>
        <w:rPr>
          <w:rFonts w:cs="Miriam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>ימשיך בהליך הטיפולי שבו החל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מעבר לאלו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רכיב העונש של ששה חודשי מאסר על תנאי למשך שלוש שנים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כאשר התנאי הוא שלא יעבור אחת מהעבירות שבהן הורשע </w:t>
      </w:r>
      <w:r>
        <w:rPr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ייוותר על כנו</w:t>
      </w:r>
      <w:r>
        <w:rPr>
          <w:sz w:val="22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 xml:space="preserve">כפי שהוזכר בפיסקה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שלעיל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3-</w:t>
      </w:r>
      <w:r>
        <w:rPr>
          <w:rFonts w:cs="Century" w:ascii="Century" w:hAnsi="Century"/>
          <w:sz w:val="22"/>
        </w:rPr>
        <w:t>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טוענים אף כנגד חומרת עונש הקנס שהטיל עליהם בית המשפט המחוזי הנכבד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לגישתי יש לקבל את ערעורם ביחס לרכיב עונש זה</w:t>
      </w:r>
      <w:r>
        <w:rPr>
          <w:rtl w:val="true"/>
        </w:rPr>
        <w:t xml:space="preserve">, </w:t>
      </w:r>
      <w:r>
        <w:rPr>
          <w:rtl w:val="true"/>
        </w:rPr>
        <w:t>כך שעונש הקנס שהוטל ע</w:t>
      </w:r>
      <w:r>
        <w:rPr>
          <w:rFonts w:ascii="Century" w:hAnsi="Century" w:cs="Century"/>
          <w:sz w:val="22"/>
          <w:sz w:val="22"/>
          <w:rtl w:val="true"/>
        </w:rPr>
        <w:t>ליהם יופחת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אנמק מיד בסמוך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hyperlink r:id="rId50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tl w:val="true"/>
        </w:rPr>
        <w:t xml:space="preserve"> ל</w:t>
      </w:r>
      <w:hyperlink r:id="rId51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נאמר כך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/>
        <w:t>40</w:t>
      </w:r>
      <w:r>
        <w:rPr>
          <w:rtl w:val="true"/>
        </w:rPr>
        <w:t>ח</w:t>
      </w:r>
      <w:r>
        <w:rPr>
          <w:rtl w:val="true"/>
        </w:rPr>
        <w:t>.</w:t>
        <w:tab/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האמור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בסעיף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40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)</w:t>
      </w:r>
      <w:r>
        <w:rPr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ב</w:t>
      </w:r>
      <w:r>
        <w:rPr>
          <w:rFonts w:ascii="FrankRuehl" w:hAnsi="FrankRuehl"/>
          <w:b/>
          <w:b/>
          <w:spacing w:val="0"/>
          <w:sz w:val="28"/>
          <w:sz w:val="28"/>
          <w:rtl w:val="true"/>
        </w:rPr>
        <w:t>מצבו הכלכלי של הנאשם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"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ההדגשה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הוספה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ח</w:t>
      </w:r>
      <w:r>
        <w:rPr>
          <w:rFonts w:cs="Miriam" w:ascii="Century" w:hAnsi="Century"/>
          <w:b/>
          <w:spacing w:val="0"/>
          <w:szCs w:val="24"/>
          <w:rtl w:val="true"/>
          <w:lang w:eastAsia="he-IL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מ</w:t>
      </w:r>
      <w:r>
        <w:rPr>
          <w:rtl w:val="true"/>
          <w:lang w:eastAsia="he-IL"/>
        </w:rPr>
        <w:t>)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ab/>
      </w:r>
      <w:r>
        <w:rPr>
          <w:rtl w:val="true"/>
        </w:rPr>
        <w:t>מלשון הסעיף עולה כי בבואו להטיל עונש קנס על נאשם</w:t>
      </w:r>
      <w:r>
        <w:rPr>
          <w:rtl w:val="true"/>
        </w:rPr>
        <w:t xml:space="preserve">, </w:t>
      </w:r>
      <w:r>
        <w:rPr>
          <w:rtl w:val="true"/>
        </w:rPr>
        <w:t xml:space="preserve">על בית המשפט להביא בחשבון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במסגרת קביעת מתחם העונש ההולם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את השיקולים המנויים </w:t>
      </w:r>
      <w:hyperlink r:id="rId5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40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ג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53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את מצבו הכלכלי של הנאשם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ששלושת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פירנסו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ולהעמידו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הנגזרים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הקבועים</w:t>
      </w:r>
      <w:r>
        <w:rPr>
          <w:rFonts w:eastAsia="Arial TUR;Arial" w:cs="Arial TUR;Arial"/>
          <w:rtl w:val="true"/>
        </w:rPr>
        <w:t xml:space="preserve"> </w:t>
      </w:r>
      <w:hyperlink r:id="rId54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. </w:t>
      </w:r>
      <w:r>
        <w:rPr>
          <w:rtl w:val="true"/>
        </w:rPr>
        <w:t>משעה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b/>
          <w:b/>
          <w:bCs/>
          <w:rtl w:val="true"/>
        </w:rPr>
        <w:t>כפול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tl w:val="true"/>
        </w:rPr>
        <w:t xml:space="preserve"> (</w:t>
      </w:r>
      <w:r>
        <w:rPr>
          <w:rtl w:val="true"/>
        </w:rPr>
        <w:t>פיסקה</w:t>
      </w:r>
      <w:r>
        <w:rPr>
          <w:rFonts w:eastAsia="Arial TUR;Arial" w:cs="Arial TUR;Arial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הנוגעות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3-2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sz w:val="22"/>
          <w:sz w:val="22"/>
          <w:rtl w:val="true"/>
        </w:rPr>
        <w:t>נוכח כל האמור לעיל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אציע לחבריי לדחות את ערעורם </w:t>
      </w:r>
      <w:r>
        <w:rPr>
          <w:rtl w:val="true"/>
        </w:rPr>
        <w:t xml:space="preserve">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2-1</w:t>
      </w:r>
      <w:r>
        <w:rPr>
          <w:rtl w:val="true"/>
        </w:rPr>
        <w:t xml:space="preserve"> </w:t>
      </w:r>
      <w:r>
        <w:rPr>
          <w:rtl w:val="true"/>
        </w:rPr>
        <w:t>הנוגע לעונש המאסר שהוטל עליהם</w:t>
      </w:r>
      <w:r>
        <w:rPr>
          <w:rtl w:val="true"/>
        </w:rPr>
        <w:t xml:space="preserve">, </w:t>
      </w:r>
      <w:r>
        <w:rPr>
          <w:rtl w:val="true"/>
        </w:rPr>
        <w:t>בהעדר עילה להתערבות בגזר דינו של בית המשפט המחוזי הנכבד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>להתייצב איפוא לריצוי עונש המאסר שנגזר עליו</w:t>
      </w:r>
      <w:r>
        <w:rPr>
          <w:rtl w:val="true"/>
        </w:rPr>
        <w:t xml:space="preserve">, </w:t>
      </w:r>
      <w:r>
        <w:rPr>
          <w:rtl w:val="true"/>
        </w:rPr>
        <w:t xml:space="preserve">בתאריך </w:t>
      </w:r>
      <w:r>
        <w:rPr/>
        <w:t>16.02.2020</w:t>
      </w:r>
      <w:r>
        <w:rPr>
          <w:rtl w:val="true"/>
        </w:rPr>
        <w:t xml:space="preserve">, </w:t>
      </w:r>
      <w:r>
        <w:rPr>
          <w:rtl w:val="true"/>
        </w:rPr>
        <w:t xml:space="preserve">לא יאוחר מהשעה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ר דקל</w:t>
      </w:r>
      <w:r>
        <w:rPr>
          <w:rtl w:val="true"/>
        </w:rPr>
        <w:t xml:space="preserve">, </w:t>
      </w:r>
      <w:r>
        <w:rPr>
          <w:rtl w:val="true"/>
        </w:rPr>
        <w:t>או במקום אחר על פי החלטת שירות בתי הסוהר</w:t>
      </w:r>
      <w:r>
        <w:rPr>
          <w:rtl w:val="true"/>
        </w:rPr>
        <w:t xml:space="preserve">, </w:t>
      </w:r>
      <w:r>
        <w:rPr>
          <w:rtl w:val="true"/>
        </w:rPr>
        <w:t>כשברשותו תעודת זהות</w:t>
      </w:r>
      <w:r>
        <w:rPr>
          <w:rtl w:val="true"/>
        </w:rPr>
        <w:t xml:space="preserve">, </w:t>
      </w:r>
      <w:r>
        <w:rPr>
          <w:rtl w:val="true"/>
        </w:rPr>
        <w:t>או דרכון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</w:t>
      </w:r>
      <w:r>
        <w:rPr>
          <w:rtl w:val="true"/>
        </w:rPr>
        <w:t xml:space="preserve"> </w:t>
      </w:r>
      <w:r>
        <w:rPr>
          <w:rtl w:val="true"/>
        </w:rPr>
        <w:t>לתאם את הכניסה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שירות בתי הסוהר בטלפונים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/>
        <w:t>08-9787336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עיכוב ביצוע עונש המאסר בעניינו</w:t>
      </w:r>
      <w:r>
        <w:rPr>
          <w:rtl w:val="true"/>
        </w:rPr>
        <w:t xml:space="preserve">, </w:t>
      </w:r>
      <w:r>
        <w:rPr>
          <w:rtl w:val="true"/>
        </w:rPr>
        <w:t>שעליו הורה כב</w:t>
      </w:r>
      <w:r>
        <w:rPr>
          <w:rtl w:val="true"/>
        </w:rPr>
        <w:t xml:space="preserve">'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פוגלמן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כאמור בפיסקה </w:t>
      </w:r>
      <w:r>
        <w:rPr>
          <w:rFonts w:cs="Century" w:ascii="Century" w:hAnsi="Century"/>
          <w:sz w:val="22"/>
        </w:rPr>
        <w:t>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שלעיל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יתבטל בתאריך </w:t>
      </w:r>
      <w:r>
        <w:rPr/>
        <w:t>16.02.2020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במקביל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אציע</w:t>
      </w:r>
      <w:r>
        <w:rPr>
          <w:rtl w:val="true"/>
        </w:rPr>
        <w:t xml:space="preserve"> </w:t>
      </w:r>
      <w:r>
        <w:rPr>
          <w:rtl w:val="true"/>
        </w:rPr>
        <w:t xml:space="preserve">לחבריי </w:t>
      </w:r>
      <w:r>
        <w:rPr>
          <w:rtl w:val="true"/>
        </w:rPr>
        <w:t>לקבל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ערעורו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שרכיב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נשוא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הנכבד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יו</w:t>
      </w:r>
      <w:r>
        <w:rPr>
          <w:rtl w:val="true"/>
        </w:rPr>
        <w:t>פחת ויו</w:t>
      </w:r>
      <w:r>
        <w:rPr>
          <w:rtl w:val="true"/>
        </w:rPr>
        <w:t>עמד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שירוצו בדרך של עבודות שירות </w:t>
      </w:r>
      <w:r>
        <w:rPr>
          <w:rtl w:val="true"/>
        </w:rPr>
        <w:t>(</w:t>
      </w:r>
      <w:r>
        <w:rPr>
          <w:rtl w:val="true"/>
        </w:rPr>
        <w:t>ככל שימצא מתאים לכך</w:t>
      </w:r>
      <w:r>
        <w:rPr>
          <w:rtl w:val="true"/>
        </w:rPr>
        <w:t xml:space="preserve">) </w:t>
      </w:r>
      <w:r>
        <w:rPr>
          <w:rtl w:val="true"/>
        </w:rPr>
        <w:t xml:space="preserve">– </w:t>
      </w:r>
      <w:r>
        <w:rPr>
          <w:rtl w:val="true"/>
        </w:rPr>
        <w:t>במקום</w:t>
      </w:r>
      <w:r>
        <w:rPr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וזאת </w:t>
      </w:r>
      <w:r>
        <w:rPr>
          <w:rFonts w:ascii="Century" w:hAnsi="Century" w:cs="Century"/>
          <w:sz w:val="22"/>
          <w:sz w:val="22"/>
          <w:rtl w:val="true"/>
        </w:rPr>
        <w:t xml:space="preserve">לצד </w:t>
      </w:r>
      <w:r>
        <w:rPr>
          <w:rtl w:val="true"/>
        </w:rPr>
        <w:t xml:space="preserve">צו מבחן למשך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רכיב המאסר על תנאי שנקבע בגזר הדין לא ישתנה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כל האמור לעיל ייעשה </w:t>
      </w:r>
      <w:r>
        <w:rPr>
          <w:sz w:val="22"/>
          <w:sz w:val="22"/>
          <w:rtl w:val="true"/>
        </w:rPr>
        <w:t>בכפוף לקבלת חוות דעת חיובית מטעם הממונה על עבודות השירות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לצורך 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נבקש מן הממונה לזמן את המערער לראיון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וזאת לשם בחינת התאמתו לריצוי העונש בדרך של עבודות שירות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ולהגיש את חוות דעתו בעניין עד לתאריך </w:t>
      </w:r>
      <w:r>
        <w:rPr>
          <w:sz w:val="22"/>
        </w:rPr>
        <w:t>09.02.2020</w:t>
      </w:r>
      <w:r>
        <w:rPr>
          <w:sz w:val="22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עם קבלת חוות הדעת המעודכנת תינתן החלטה משלימה</w:t>
      </w:r>
      <w:r>
        <w:rPr>
          <w:rFonts w:cs="Times New Roman" w:ascii="Times New Roman" w:hAnsi="Times New Roman"/>
          <w:sz w:val="28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b/>
          <w:bCs/>
        </w:rPr>
      </w:pPr>
      <w:r>
        <w:rPr>
          <w:rFonts w:cs="Times New Roman" w:ascii="Times New Roman" w:hAnsi="Times New Roman"/>
          <w:sz w:val="28"/>
          <w:rtl w:val="true"/>
        </w:rPr>
        <w:tab/>
      </w:r>
      <w:r>
        <w:rPr>
          <w:rFonts w:ascii="Times New Roman" w:hAnsi="Times New Roman" w:cs="Times New Roman"/>
          <w:b/>
          <w:b/>
          <w:bCs/>
          <w:sz w:val="28"/>
          <w:sz w:val="28"/>
          <w:rtl w:val="true"/>
        </w:rPr>
        <w:t>המזכירות תעביר עותק של פסק דין זה לממונה על עבודות שירות במחוז דרום ולשירות המבחן</w:t>
      </w:r>
      <w:r>
        <w:rPr>
          <w:rFonts w:cs="Times New Roman" w:ascii="Times New Roman" w:hAnsi="Times New Roman"/>
          <w:b/>
          <w:bCs/>
          <w:sz w:val="28"/>
          <w:rtl w:val="true"/>
        </w:rPr>
        <w:t>.</w:t>
      </w:r>
    </w:p>
    <w:p>
      <w:pPr>
        <w:pStyle w:val="Ruller41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Times New Roman" w:hAnsi="Times New Roman" w:cs="Times New Roman"/>
          <w:sz w:val="28"/>
          <w:sz w:val="28"/>
          <w:rtl w:val="true"/>
        </w:rPr>
        <w:t>לבסוף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אציע לחבריי לקבל את ערעורם של </w:t>
      </w:r>
      <w:r>
        <w:rPr>
          <w:rFonts w:cs="Miriam"/>
          <w:b/>
          <w:b/>
          <w:spacing w:val="0"/>
          <w:szCs w:val="24"/>
          <w:rtl w:val="true"/>
        </w:rPr>
        <w:t>המערערים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spacing w:val="0"/>
          <w:szCs w:val="24"/>
        </w:rPr>
        <w:t>3-2</w:t>
      </w:r>
      <w:r>
        <w:rPr>
          <w:rFonts w:cs="Miriam"/>
          <w:b/>
          <w:spacing w:val="0"/>
          <w:szCs w:val="24"/>
          <w:rtl w:val="true"/>
        </w:rPr>
        <w:t xml:space="preserve"> </w:t>
      </w:r>
      <w:r>
        <w:rPr>
          <w:rtl w:val="true"/>
        </w:rPr>
        <w:t>בכל הנוגע לרכיב הקנס שהושת עליהם</w:t>
      </w:r>
      <w:r>
        <w:rPr>
          <w:rtl w:val="true"/>
        </w:rPr>
        <w:t xml:space="preserve">, </w:t>
      </w:r>
      <w:r>
        <w:rPr>
          <w:rtl w:val="true"/>
        </w:rPr>
        <w:t xml:space="preserve">כך שזה יעמוד על סך של </w:t>
      </w:r>
      <w:r>
        <w:rPr/>
        <w:t>25,000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 xml:space="preserve">במקום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כפי שפסק בית המשפט המחוזי הנכבד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 xml:space="preserve">אציע כי עיכוב ביצוע רכיב עונש הקנס שהושת על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spacing w:val="0"/>
          <w:sz w:val="22"/>
          <w:szCs w:val="24"/>
        </w:rPr>
        <w:t>3</w:t>
      </w:r>
      <w:r>
        <w:rPr>
          <w:rtl w:val="true"/>
        </w:rPr>
        <w:t xml:space="preserve">, </w:t>
      </w:r>
      <w:r>
        <w:rPr>
          <w:rtl w:val="true"/>
        </w:rPr>
        <w:t>שעליו הורתה חברתי</w:t>
      </w:r>
      <w:r>
        <w:rPr>
          <w:rtl w:val="true"/>
        </w:rPr>
        <w:t xml:space="preserve">, </w:t>
      </w:r>
      <w:r>
        <w:rPr>
          <w:rtl w:val="true"/>
        </w:rPr>
        <w:t xml:space="preserve">השופטת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וילנר</w:t>
      </w:r>
      <w:r>
        <w:rPr>
          <w:rtl w:val="true"/>
        </w:rPr>
        <w:t xml:space="preserve"> בהחלטתה הנזכרת בפיסקה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שלעיל </w:t>
      </w:r>
      <w:r>
        <w:rPr>
          <w:rtl w:val="true"/>
        </w:rPr>
        <w:t>–</w:t>
      </w:r>
      <w:r>
        <w:rPr>
          <w:rtl w:val="true"/>
        </w:rPr>
        <w:t xml:space="preserve"> יתבטל אף הוא</w:t>
      </w:r>
      <w:r>
        <w:rPr>
          <w:rtl w:val="true"/>
        </w:rPr>
        <w:t xml:space="preserve">, </w:t>
      </w:r>
      <w:r>
        <w:rPr>
          <w:sz w:val="22"/>
          <w:sz w:val="22"/>
          <w:rtl w:val="true"/>
        </w:rPr>
        <w:t>והקנס העדכני שמושת עליו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בגובה של </w:t>
      </w:r>
      <w:r>
        <w:rPr>
          <w:sz w:val="22"/>
        </w:rPr>
        <w:t>25,000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ישולם עד לתאריך </w:t>
      </w:r>
      <w:r>
        <w:rPr>
          <w:sz w:val="22"/>
        </w:rPr>
        <w:t>09.02.20</w:t>
      </w:r>
      <w:r>
        <w:rPr>
          <w:sz w:val="22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;Arial" w:cs="Arial TUR;Arial"/>
          <w:rtl w:val="true"/>
        </w:rPr>
        <w:t xml:space="preserve"> 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גרוסקופף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לנשיאה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מלצר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מערערים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מערערים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שירוצו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, </w:t>
      </w:r>
      <w:r>
        <w:rPr>
          <w:rtl w:val="true"/>
        </w:rPr>
        <w:t>ציוד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-</w:t>
      </w:r>
      <w:r>
        <w:rPr>
          <w:rtl w:val="true"/>
        </w:rPr>
        <w:t>שימושי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לשטחי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כדוגמת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רכבי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/>
        <w:t>X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tl w:val="true"/>
        </w:rPr>
        <w:t xml:space="preserve">, </w:t>
      </w:r>
      <w:r>
        <w:rPr>
          <w:rtl w:val="true"/>
        </w:rPr>
        <w:t>בסבירות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Fonts w:ascii="Century" w:hAnsi="Century" w:cs="Century"/>
          <w:rtl w:val="true"/>
        </w:rPr>
        <w:t>שמש לביצוע עבירות טרור ולסכן את ביטחון המדינה כפועל יוצא מכך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העונש הראוי בגין עבירות אלה הוא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ככלל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עונש מאסר בפועל מאחורי סורג ובריח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כך גם בענייננו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לגבי דידי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ענישה בדרך של ריצוי עבודות שירות אינה הולמת וחורגת ממדיניות הענישה הראויה בעבירות בהן הורשעו המערערים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אף שאני מצטרף כאמור לעמדה לפיה יש לקבל את ערעורו של מערער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נגד גזר דינו ולהפחית במידת מה מהעונש שהושת עליו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לשיטתי היה מקום להעמיד את עונשו על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 שירוצו מאחורי סורג ובריח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בדרך של עבודות שירות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המשנה לנשיאה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מלצר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bookmarkStart w:id="19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בטבת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ף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22.1.2020</w:t>
      </w:r>
      <w:r>
        <w:rPr>
          <w:rFonts w:cs="Century" w:ascii="Century" w:hAnsi="Century"/>
          <w:rtl w:val="true"/>
        </w:rPr>
        <w:t xml:space="preserve">). </w:t>
      </w:r>
      <w:bookmarkEnd w:id="19"/>
      <w:r>
        <w:rPr>
          <w:rFonts w:cs="Century" w:ascii="Century" w:hAnsi="Century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3"/>
        <w:gridCol w:w="2783"/>
      </w:tblGrid>
      <w:tr>
        <w:trPr/>
        <w:tc>
          <w:tcPr>
            <w:tcW w:w="279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18069580</w:t>
      </w:r>
      <w:r>
        <w:rPr>
          <w:sz w:val="16"/>
          <w:rtl w:val="true"/>
        </w:rPr>
        <w:t>_</w:t>
      </w:r>
      <w:r>
        <w:rPr>
          <w:sz w:val="16"/>
        </w:rPr>
        <w:t>K07.docx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מה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5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מינץ </w:t>
      </w:r>
      <w:r>
        <w:rPr>
          <w:rFonts w:cs="David" w:ascii="David" w:hAnsi="David"/>
          <w:color w:val="000000"/>
          <w:szCs w:val="22"/>
        </w:rPr>
        <w:t>54678313-6958/18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7"/>
      <w:footerReference w:type="default" r:id="rId5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6958/18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סעיד מצלאח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color w:val="000000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color w:val="000000"/>
    </w:rPr>
  </w:style>
  <w:style w:type="character" w:styleId="WW8Num12z0">
    <w:name w:val="WW8Num12z0"/>
    <w:qFormat/>
    <w:rPr>
      <w:rFonts w:ascii="Times New Roman" w:hAnsi="Times New Roman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 w:color="000000"/>
      <w:vertAlign w:val="baseline"/>
    </w:rPr>
  </w:style>
  <w:style w:type="character" w:styleId="WW8Num12z1">
    <w:name w:val="WW8Num12z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 w:color="000000"/>
      <w:vertAlign w:val="baseline"/>
    </w:rPr>
  </w:style>
  <w:style w:type="character" w:styleId="WW8Num14z0">
    <w:name w:val="WW8Num14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big-number">
    <w:name w:val="big-number"/>
    <w:qFormat/>
    <w:rPr>
      <w:rFonts w:ascii="Times New Roman" w:hAnsi="Times New Roman" w:cs="Times New Roman"/>
      <w:sz w:val="32"/>
      <w:szCs w:val="32"/>
    </w:rPr>
  </w:style>
  <w:style w:type="character" w:styleId="P00">
    <w:name w:val="P00 תו"/>
    <w:qFormat/>
    <w:rPr>
      <w:szCs w:val="26"/>
      <w:lang w:val="en-IL" w:eastAsia="en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</w:pPr>
    <w:rPr/>
  </w:style>
  <w:style w:type="paragraph" w:styleId="P001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4192" TargetMode="External"/><Relationship Id="rId3" Type="http://schemas.openxmlformats.org/officeDocument/2006/relationships/hyperlink" Target="http://www.nevo.co.il/law/74192/32.a.4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25" TargetMode="External"/><Relationship Id="rId6" Type="http://schemas.openxmlformats.org/officeDocument/2006/relationships/hyperlink" Target="http://www.nevo.co.il/law/70301/31" TargetMode="External"/><Relationship Id="rId7" Type="http://schemas.openxmlformats.org/officeDocument/2006/relationships/hyperlink" Target="http://www.nevo.co.il/law/70301/40c" TargetMode="External"/><Relationship Id="rId8" Type="http://schemas.openxmlformats.org/officeDocument/2006/relationships/hyperlink" Target="http://www.nevo.co.il/law/70301/40c.a" TargetMode="External"/><Relationship Id="rId9" Type="http://schemas.openxmlformats.org/officeDocument/2006/relationships/hyperlink" Target="http://www.nevo.co.il/law/70301/40d.a" TargetMode="External"/><Relationship Id="rId10" Type="http://schemas.openxmlformats.org/officeDocument/2006/relationships/hyperlink" Target="http://www.nevo.co.il/law/70301/40h" TargetMode="External"/><Relationship Id="rId11" Type="http://schemas.openxmlformats.org/officeDocument/2006/relationships/hyperlink" Target="http://www.nevo.co.il/law/70301/40i" TargetMode="External"/><Relationship Id="rId12" Type="http://schemas.openxmlformats.org/officeDocument/2006/relationships/hyperlink" Target="http://www.nevo.co.il/law/70301/40ja" TargetMode="External"/><Relationship Id="rId13" Type="http://schemas.openxmlformats.org/officeDocument/2006/relationships/hyperlink" Target="http://www.nevo.co.il/law/70301/415" TargetMode="External"/><Relationship Id="rId14" Type="http://schemas.openxmlformats.org/officeDocument/2006/relationships/hyperlink" Target="http://www.nevo.co.il/law/70301/499.a.1" TargetMode="External"/><Relationship Id="rId15" Type="http://schemas.openxmlformats.org/officeDocument/2006/relationships/hyperlink" Target="http://www.nevo.co.il/law/70301/499.a.2" TargetMode="External"/><Relationship Id="rId16" Type="http://schemas.openxmlformats.org/officeDocument/2006/relationships/hyperlink" Target="http://www.nevo.co.il/law/74192/32.a.4" TargetMode="External"/><Relationship Id="rId17" Type="http://schemas.openxmlformats.org/officeDocument/2006/relationships/hyperlink" Target="http://www.nevo.co.il/law/74192" TargetMode="External"/><Relationship Id="rId18" Type="http://schemas.openxmlformats.org/officeDocument/2006/relationships/hyperlink" Target="http://www.nevo.co.il/law/74192/32.a.4" TargetMode="External"/><Relationship Id="rId19" Type="http://schemas.openxmlformats.org/officeDocument/2006/relationships/hyperlink" Target="http://www.nevo.co.il/law/70301/25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499.a.1" TargetMode="External"/><Relationship Id="rId22" Type="http://schemas.openxmlformats.org/officeDocument/2006/relationships/hyperlink" Target="http://www.nevo.co.il/law/70301/499.a.2" TargetMode="External"/><Relationship Id="rId23" Type="http://schemas.openxmlformats.org/officeDocument/2006/relationships/hyperlink" Target="http://www.nevo.co.il/law/70301/415" TargetMode="External"/><Relationship Id="rId24" Type="http://schemas.openxmlformats.org/officeDocument/2006/relationships/hyperlink" Target="http://www.nevo.co.il/law/70301/31" TargetMode="External"/><Relationship Id="rId25" Type="http://schemas.openxmlformats.org/officeDocument/2006/relationships/hyperlink" Target="http://www.nevo.co.il/case/22195685" TargetMode="External"/><Relationship Id="rId26" Type="http://schemas.openxmlformats.org/officeDocument/2006/relationships/hyperlink" Target="http://www.nevo.co.il/case/5594306" TargetMode="External"/><Relationship Id="rId27" Type="http://schemas.openxmlformats.org/officeDocument/2006/relationships/hyperlink" Target="http://www.nevo.co.il/case/8291746" TargetMode="External"/><Relationship Id="rId28" Type="http://schemas.openxmlformats.org/officeDocument/2006/relationships/hyperlink" Target="http://www.nevo.co.il/case/13114133" TargetMode="External"/><Relationship Id="rId29" Type="http://schemas.openxmlformats.org/officeDocument/2006/relationships/hyperlink" Target="http://www.nevo.co.il/case/6247428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5573417" TargetMode="External"/><Relationship Id="rId32" Type="http://schemas.openxmlformats.org/officeDocument/2006/relationships/hyperlink" Target="http://www.nevo.co.il/law/70301/40c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40i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case/20096185" TargetMode="External"/><Relationship Id="rId37" Type="http://schemas.openxmlformats.org/officeDocument/2006/relationships/hyperlink" Target="http://www.nevo.co.il/case/20475995" TargetMode="External"/><Relationship Id="rId38" Type="http://schemas.openxmlformats.org/officeDocument/2006/relationships/hyperlink" Target="http://www.nevo.co.il/case/20118043" TargetMode="External"/><Relationship Id="rId39" Type="http://schemas.openxmlformats.org/officeDocument/2006/relationships/hyperlink" Target="http://www.nevo.co.il/law/70301/40ja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case/6159820" TargetMode="External"/><Relationship Id="rId42" Type="http://schemas.openxmlformats.org/officeDocument/2006/relationships/hyperlink" Target="http://www.nevo.co.il/case/6078350" TargetMode="External"/><Relationship Id="rId43" Type="http://schemas.openxmlformats.org/officeDocument/2006/relationships/hyperlink" Target="http://www.nevo.co.il/case/5701742" TargetMode="External"/><Relationship Id="rId44" Type="http://schemas.openxmlformats.org/officeDocument/2006/relationships/hyperlink" Target="http://www.nevo.co.il/case/5820942" TargetMode="External"/><Relationship Id="rId45" Type="http://schemas.openxmlformats.org/officeDocument/2006/relationships/hyperlink" Target="http://www.nevo.co.il/law/70301/40d.a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case/22938500" TargetMode="External"/><Relationship Id="rId48" Type="http://schemas.openxmlformats.org/officeDocument/2006/relationships/hyperlink" Target="http://www.nevo.co.il/case/23506543" TargetMode="External"/><Relationship Id="rId49" Type="http://schemas.openxmlformats.org/officeDocument/2006/relationships/hyperlink" Target="http://www.nevo.co.il/case/5823754" TargetMode="External"/><Relationship Id="rId50" Type="http://schemas.openxmlformats.org/officeDocument/2006/relationships/hyperlink" Target="http://www.nevo.co.il/law/70301/40h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0301/40c.a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0301/40c.a" TargetMode="External"/><Relationship Id="rId55" Type="http://schemas.openxmlformats.org/officeDocument/2006/relationships/hyperlink" Target="http://supreme.court.gov.il/" TargetMode="External"/><Relationship Id="rId56" Type="http://schemas.openxmlformats.org/officeDocument/2006/relationships/hyperlink" Target="http://www.nevo.co.il/advertisements/nevo-100.doc" TargetMode="External"/><Relationship Id="rId57" Type="http://schemas.openxmlformats.org/officeDocument/2006/relationships/header" Target="header1.xml"/><Relationship Id="rId58" Type="http://schemas.openxmlformats.org/officeDocument/2006/relationships/footer" Target="footer1.xml"/><Relationship Id="rId59" Type="http://schemas.openxmlformats.org/officeDocument/2006/relationships/numbering" Target="numbering.xml"/><Relationship Id="rId60" Type="http://schemas.openxmlformats.org/officeDocument/2006/relationships/fontTable" Target="fontTable.xml"/><Relationship Id="rId61" Type="http://schemas.openxmlformats.org/officeDocument/2006/relationships/settings" Target="settings.xml"/><Relationship Id="rId6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2020-01-23T12:03:00Z</dcterms:created>
  <dc:creator>h4</dc:creator>
  <dc:description/>
  <cp:keywords/>
  <dc:language>en-IL</dc:language>
  <cp:lastModifiedBy>orly</cp:lastModifiedBy>
  <cp:lastPrinted>2020-01-22T12:52:00Z</cp:lastPrinted>
  <dcterms:modified xsi:type="dcterms:W3CDTF">2020-01-23T12:03:00Z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סעיד מצלאח;פריס מצלאח;נח מצלח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22195685;5594306;8291746;13114133;6247428;5573417;20096185;20475995;20118043;6159820;6078350;5701742;5820942;22938500;23506543;5823754</vt:lpwstr>
  </property>
  <property fmtid="{D5CDD505-2E9C-101B-9397-08002B2CF9AE}" pid="9" name="CITY">
    <vt:lpwstr/>
  </property>
  <property fmtid="{D5CDD505-2E9C-101B-9397-08002B2CF9AE}" pid="10" name="DATE">
    <vt:lpwstr>20200122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ד' מינץ;ע' גרוסקופף;ח' מלצר</vt:lpwstr>
  </property>
  <property fmtid="{D5CDD505-2E9C-101B-9397-08002B2CF9AE}" pid="14" name="LAWLISTTMP1">
    <vt:lpwstr>74192/032.a.4:2</vt:lpwstr>
  </property>
  <property fmtid="{D5CDD505-2E9C-101B-9397-08002B2CF9AE}" pid="15" name="LAWLISTTMP2">
    <vt:lpwstr>70301/025;499.a.1;499.a.2;415;031;040c;040i;40ja;040d.a;040h;040c.a:2</vt:lpwstr>
  </property>
  <property fmtid="{D5CDD505-2E9C-101B-9397-08002B2CF9AE}" pid="16" name="LAWYER">
    <vt:lpwstr>אפרת גולדשטיין;אריה שכנאי;אבו עאמר עבד;לבן עלי;רות לוין;ברכה וייס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עונשין</vt:lpwstr>
  </property>
  <property fmtid="{D5CDD505-2E9C-101B-9397-08002B2CF9AE}" pid="33" name="NOSE16">
    <vt:lpwstr>עונשין</vt:lpwstr>
  </property>
  <property fmtid="{D5CDD505-2E9C-101B-9397-08002B2CF9AE}" pid="34" name="NOSE17">
    <vt:lpwstr>עונשין</vt:lpwstr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77;77;77;77;77;77;77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>ענישה</vt:lpwstr>
  </property>
  <property fmtid="{D5CDD505-2E9C-101B-9397-08002B2CF9AE}" pid="44" name="NOSE26">
    <vt:lpwstr>ענישה</vt:lpwstr>
  </property>
  <property fmtid="{D5CDD505-2E9C-101B-9397-08002B2CF9AE}" pid="45" name="NOSE27">
    <vt:lpwstr>ענישה</vt:lpwstr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1446;1446;1446;1446;1446;1446;1446</vt:lpwstr>
  </property>
  <property fmtid="{D5CDD505-2E9C-101B-9397-08002B2CF9AE}" pid="49" name="NOSE31">
    <vt:lpwstr>מדיניות ענישה: עבירות ביטחון</vt:lpwstr>
  </property>
  <property fmtid="{D5CDD505-2E9C-101B-9397-08002B2CF9AE}" pid="50" name="NOSE310">
    <vt:lpwstr/>
  </property>
  <property fmtid="{D5CDD505-2E9C-101B-9397-08002B2CF9AE}" pid="51" name="NOSE32">
    <vt:lpwstr>מדיניות ענישה: שיקולים לחומרה</vt:lpwstr>
  </property>
  <property fmtid="{D5CDD505-2E9C-101B-9397-08002B2CF9AE}" pid="52" name="NOSE33">
    <vt:lpwstr>התערבות ערכאת הערעור</vt:lpwstr>
  </property>
  <property fmtid="{D5CDD505-2E9C-101B-9397-08002B2CF9AE}" pid="53" name="NOSE34">
    <vt:lpwstr>אחדות הענישה</vt:lpwstr>
  </property>
  <property fmtid="{D5CDD505-2E9C-101B-9397-08002B2CF9AE}" pid="54" name="NOSE35">
    <vt:lpwstr>עקרון ההדרגתיות</vt:lpwstr>
  </property>
  <property fmtid="{D5CDD505-2E9C-101B-9397-08002B2CF9AE}" pid="55" name="NOSE36">
    <vt:lpwstr>עקרון ההלימה‏</vt:lpwstr>
  </property>
  <property fmtid="{D5CDD505-2E9C-101B-9397-08002B2CF9AE}" pid="56" name="NOSE37">
    <vt:lpwstr>מתחם הענישה</vt:lpwstr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8985;8995;8978;12547;16493;14799;14985</vt:lpwstr>
  </property>
  <property fmtid="{D5CDD505-2E9C-101B-9397-08002B2CF9AE}" pid="60" name="PADIDATE">
    <vt:lpwstr>20200123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עפ;עפ;עפ</vt:lpwstr>
  </property>
  <property fmtid="{D5CDD505-2E9C-101B-9397-08002B2CF9AE}" pid="65" name="PROCNUM">
    <vt:lpwstr>6958;7232;7314</vt:lpwstr>
  </property>
  <property fmtid="{D5CDD505-2E9C-101B-9397-08002B2CF9AE}" pid="66" name="PROCYEAR">
    <vt:lpwstr>18;18;18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410120200122</vt:lpwstr>
  </property>
  <property fmtid="{D5CDD505-2E9C-101B-9397-08002B2CF9AE}" pid="70" name="TYPE_N_DATE">
    <vt:lpwstr>41020200122</vt:lpwstr>
  </property>
  <property fmtid="{D5CDD505-2E9C-101B-9397-08002B2CF9AE}" pid="71" name="VOLUME">
    <vt:lpwstr/>
  </property>
  <property fmtid="{D5CDD505-2E9C-101B-9397-08002B2CF9AE}" pid="72" name="WORDNUMPAGES">
    <vt:lpwstr>20</vt:lpwstr>
  </property>
</Properties>
</file>