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6961/17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</w:t>
            </w:r>
            <w:r>
              <w:rPr>
                <w:rtl w:val="true"/>
              </w:rPr>
              <w:t>הדי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tl w:val="true"/>
              </w:rPr>
              <w:t>קיעאן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31333-05-16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5.3.2018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הכשרות המשפטית והאפוטרופסות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ישראלי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מלחמה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והסכמתו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כמחבל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מתאבד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משתייך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נפרדת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בגירים צעירים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גיל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ישראלי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מלחמה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והסכמתו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כמחבל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מתאבד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  <w:tab/>
        <w:t xml:space="preserve">       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משתייך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...".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והאפוטרופסות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שכותרתו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נפרדת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מתוקפו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הסטטוטורי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גילוֹ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מסוּר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כחוכמתו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בגילוֹ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לטשטש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הקלסיפיקציה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הסטטוטורית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טשטוש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לתמוה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להמתין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כמחבל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מתאבד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שותפה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קטגוריה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נפרדת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מוגדרת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>-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דיס</w:t>
      </w:r>
      <w:r>
        <w:rPr>
          <w:rtl w:val="true"/>
        </w:rPr>
        <w:t xml:space="preserve">.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דאעש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בפגישתם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דיס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בהצעתו</w:t>
      </w:r>
      <w:r>
        <w:rPr>
          <w:rtl w:val="true"/>
        </w:rPr>
        <w:t xml:space="preserve">, </w:t>
      </w:r>
      <w:r>
        <w:rPr>
          <w:rtl w:val="true"/>
        </w:rPr>
        <w:t>וכשנענה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z w:val="18"/>
          <w:sz w:val="18"/>
          <w:szCs w:val="24"/>
          <w:rtl w:val="true"/>
        </w:rPr>
        <w:t>על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אף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שלא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יצאו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משלב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הדיבורים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מתאבד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ובריאותם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סנדוקה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, "</w:t>
      </w:r>
      <w:r>
        <w:rPr>
          <w:rFonts w:cs="Miriam"/>
          <w:sz w:val="18"/>
          <w:sz w:val="18"/>
          <w:szCs w:val="24"/>
          <w:rtl w:val="true"/>
        </w:rPr>
        <w:t>גילו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המערער</w:t>
      </w:r>
      <w:r>
        <w:rPr>
          <w:rFonts w:cs="Miriam"/>
          <w:sz w:val="18"/>
          <w:szCs w:val="24"/>
          <w:rtl w:val="true"/>
        </w:rPr>
        <w:t xml:space="preserve">, </w:t>
      </w:r>
      <w:r>
        <w:rPr>
          <w:rFonts w:cs="Miriam"/>
          <w:sz w:val="18"/>
          <w:sz w:val="18"/>
          <w:szCs w:val="24"/>
          <w:rtl w:val="true"/>
        </w:rPr>
        <w:t>בעת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ביצוע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העבירה</w:t>
      </w:r>
      <w:r>
        <w:rPr>
          <w:rFonts w:cs="Miriam"/>
          <w:sz w:val="18"/>
          <w:szCs w:val="24"/>
          <w:rtl w:val="true"/>
        </w:rPr>
        <w:t xml:space="preserve">, </w:t>
      </w:r>
      <w:r>
        <w:rPr>
          <w:rFonts w:cs="Miriam"/>
          <w:sz w:val="18"/>
          <w:sz w:val="18"/>
          <w:szCs w:val="24"/>
          <w:rtl w:val="true"/>
        </w:rPr>
        <w:t>השפיע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על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יכולתו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להבין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את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חומרת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מעשיו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ואת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משמעותם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" </w:t>
      </w:r>
      <w:r>
        <w:rPr>
          <w:rtl w:val="true"/>
        </w:rPr>
        <w:t>ובצורך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      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צעיר</w:t>
      </w:r>
      <w:r>
        <w:rPr>
          <w:rtl w:val="true"/>
        </w:rPr>
        <w:t xml:space="preserve">".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3.4.2014</w:t>
      </w:r>
      <w:r>
        <w:rPr>
          <w:rtl w:val="true"/>
        </w:rPr>
        <w:t xml:space="preserve">)),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..."</w:t>
      </w:r>
      <w:r>
        <w:rPr>
          <w:rtl w:val="true"/>
        </w:rPr>
        <w:t xml:space="preserve"> (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הכשרות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והאפוטרופסות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1962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ובגירות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 </w:t>
      </w:r>
      <w:r>
        <w:rPr>
          <w:rFonts w:eastAsia="FrankRuehl" w:ascii="FrankRuehl" w:hAnsi="FrankRuehl"/>
          <w:b/>
          <w:bCs/>
          <w:rtl w:val="true"/>
        </w:rPr>
        <w:t>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18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18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;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גורעת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כשגיל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tl w:val="true"/>
        </w:rPr>
        <w:t>-</w:t>
      </w:r>
      <w:r>
        <w:rPr>
          <w:rtl w:val="true"/>
        </w:rPr>
        <w:t>המים</w:t>
      </w:r>
      <w:r>
        <w:rPr>
          <w:rtl w:val="true"/>
        </w:rPr>
        <w:t xml:space="preserve">).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גילוֹ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מסוּר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בגילוֹ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הקלסיפיקציה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טשטוש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צעיר</w:t>
      </w:r>
      <w:r>
        <w:rPr>
          <w:rtl w:val="true"/>
        </w:rPr>
        <w:t xml:space="preserve">". </w:t>
      </w:r>
      <w:r>
        <w:rPr>
          <w:rtl w:val="true"/>
        </w:rPr>
        <w:t>תמהני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תופת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סנדוקה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עזאם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דיים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).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bookmarkStart w:id="17" w:name="_GoBack"/>
      <w:bookmarkEnd w:id="17"/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סולברג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לקטגוריה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צעיר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7781/12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25.6.2013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רובינשטיין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2357/13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ascii="Century" w:hAnsi="Century" w:cs="Miriam"/>
          <w:b/>
          <w:b/>
          <w:rtl w:val="true"/>
        </w:rPr>
        <w:t>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6.10.2013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סולברג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452/14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3.4.2014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ברק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7661/13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נאסר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21.08.2014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קטגוריה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17069610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54678313-6961/17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6961/17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פהדי אבו אלקיעאן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2172" TargetMode="External"/><Relationship Id="rId3" Type="http://schemas.openxmlformats.org/officeDocument/2006/relationships/hyperlink" Target="http://www.nevo.co.il/law/70348" TargetMode="External"/><Relationship Id="rId4" Type="http://schemas.openxmlformats.org/officeDocument/2006/relationships/hyperlink" Target="http://www.nevo.co.il/law/70348/1" TargetMode="External"/><Relationship Id="rId5" Type="http://schemas.openxmlformats.org/officeDocument/2006/relationships/hyperlink" Target="http://www.nevo.co.il/law/70325" TargetMode="External"/><Relationship Id="rId6" Type="http://schemas.openxmlformats.org/officeDocument/2006/relationships/hyperlink" Target="http://www.nevo.co.il/law/70325/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i.6" TargetMode="External"/><Relationship Id="rId9" Type="http://schemas.openxmlformats.org/officeDocument/2006/relationships/hyperlink" Target="http://www.nevo.co.il/law/70301/40ja.1" TargetMode="External"/><Relationship Id="rId10" Type="http://schemas.openxmlformats.org/officeDocument/2006/relationships/hyperlink" Target="http://www.nevo.co.il/case/11206432" TargetMode="External"/><Relationship Id="rId11" Type="http://schemas.openxmlformats.org/officeDocument/2006/relationships/hyperlink" Target="http://www.nevo.co.il/law/70348/1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law/70325/3" TargetMode="External"/><Relationship Id="rId14" Type="http://schemas.openxmlformats.org/officeDocument/2006/relationships/hyperlink" Target="http://www.nevo.co.il/law/70325" TargetMode="External"/><Relationship Id="rId15" Type="http://schemas.openxmlformats.org/officeDocument/2006/relationships/hyperlink" Target="http://www.nevo.co.il/law/70301/40i.6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a.1" TargetMode="External"/><Relationship Id="rId18" Type="http://schemas.openxmlformats.org/officeDocument/2006/relationships/hyperlink" Target="http://www.nevo.co.il/case/6248029" TargetMode="External"/><Relationship Id="rId19" Type="http://schemas.openxmlformats.org/officeDocument/2006/relationships/hyperlink" Target="http://www.nevo.co.il/case/6862360" TargetMode="External"/><Relationship Id="rId20" Type="http://schemas.openxmlformats.org/officeDocument/2006/relationships/hyperlink" Target="http://www.nevo.co.il/case/11206432" TargetMode="External"/><Relationship Id="rId21" Type="http://schemas.openxmlformats.org/officeDocument/2006/relationships/hyperlink" Target="http://www.nevo.co.il/case/10459124" TargetMode="External"/><Relationship Id="rId22" Type="http://schemas.openxmlformats.org/officeDocument/2006/relationships/hyperlink" Target="http://www.nevo.co.il/law/70301/40j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2018-03-08T12:59:00Z</dcterms:created>
  <dc:creator> </dc:creator>
  <dc:description/>
  <cp:keywords/>
  <dc:language>en-IL</dc:language>
  <cp:lastModifiedBy>orly</cp:lastModifiedBy>
  <cp:lastPrinted>2018-03-07T08:02:00Z</cp:lastPrinted>
  <dcterms:modified xsi:type="dcterms:W3CDTF">2018-03-08T12:59:00Z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פהדי אבו אלקיעאן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21482172;11206432:2;6248029;6862360;10459124</vt:lpwstr>
  </property>
  <property fmtid="{D5CDD505-2E9C-101B-9397-08002B2CF9AE}" pid="9" name="CITY">
    <vt:lpwstr/>
  </property>
  <property fmtid="{D5CDD505-2E9C-101B-9397-08002B2CF9AE}" pid="10" name="DATE">
    <vt:lpwstr>20180307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70348/001</vt:lpwstr>
  </property>
  <property fmtid="{D5CDD505-2E9C-101B-9397-08002B2CF9AE}" pid="15" name="LAWLISTTMP2">
    <vt:lpwstr>70325/003</vt:lpwstr>
  </property>
  <property fmtid="{D5CDD505-2E9C-101B-9397-08002B2CF9AE}" pid="16" name="LAWLISTTMP3">
    <vt:lpwstr>70301/040i.6;40ja.1:2</vt:lpwstr>
  </property>
  <property fmtid="{D5CDD505-2E9C-101B-9397-08002B2CF9AE}" pid="17" name="LAWYER">
    <vt:lpwstr>מריה ציבלין;דרויש נאשף;ברכה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מדיניות ענישה: עבירות ביטחון</vt:lpwstr>
  </property>
  <property fmtid="{D5CDD505-2E9C-101B-9397-08002B2CF9AE}" pid="51" name="NOSE310">
    <vt:lpwstr/>
  </property>
  <property fmtid="{D5CDD505-2E9C-101B-9397-08002B2CF9AE}" pid="52" name="NOSE32">
    <vt:lpwstr>מדיניות ענישה: בגירים צעירים</vt:lpwstr>
  </property>
  <property fmtid="{D5CDD505-2E9C-101B-9397-08002B2CF9AE}" pid="53" name="NOSE33">
    <vt:lpwstr>מדיניות ענישה: שיקולי גיל</vt:lpwstr>
  </property>
  <property fmtid="{D5CDD505-2E9C-101B-9397-08002B2CF9AE}" pid="54" name="NOSE34">
    <vt:lpwstr>אחדות הענישה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8985;15137;15327;12547</vt:lpwstr>
  </property>
  <property fmtid="{D5CDD505-2E9C-101B-9397-08002B2CF9AE}" pid="61" name="PADIDATE">
    <vt:lpwstr>20180308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6961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410120180307</vt:lpwstr>
  </property>
  <property fmtid="{D5CDD505-2E9C-101B-9397-08002B2CF9AE}" pid="71" name="TYPE_N_DATE">
    <vt:lpwstr>41020180307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