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6962/17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קשת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042094-10-14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דיסקין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קפאח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Start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single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חאלד גנאים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2019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אונ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אילן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נבו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2020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spacing w:val="0"/>
          <w:sz w:val="24"/>
          <w:szCs w:val="24"/>
          <w:u w:val="single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186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305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335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S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C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הוטל על המערער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הרשעתו בניסיון לרצח חברו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שנעשה לאחר תכנון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ומתוך מניע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מניע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התעסקות חולנית של המערער במוות ואלימות שגרמה להתפרצותה של תאוות רצח ושל צפייה מקרוב באדם באותם הרגעים בהם הוא מאבד את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לרצח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 לרצח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בגדרו נגזרו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הרשעתו בניסיון לרצח ובגרימת חבלה חמורה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וכן מאסר על תנאי ופיצוי למתלונן בסך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 היה חברו של המערער משכבר הימים ולא נמצאו אינדיקציות ליריבות מוקדמת ביניהם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הכרעת הדין נדחו טענות ההגנה כי בעת המעשים לקה המערער בהתקף של הפרעת זהות דיסוציאטיבית של אישיות מרובת פנים – ועל כן לא שלט 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המערער ביצע את ניסיון הרצח על רקע התעסקותו המעוותת בתחומי עניין ביזריים וחולניים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שגרמה להתפרצותה של תאוות רצח ושל צפייה מקרוב באדם באותם הרגעים בהם הוא מאבד את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לא תתערב בעונש שנגזר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בהם מדובר בעונש החורג באופן קיצוני ממדיניות הענישה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מדובר בטעות בולטת שנפלה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כי עונשו של המערער חורג מרמת הענישה המקובלת בעבירות 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דין הערעור על חומרת העונש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של המערער הם חמורים על פי כל אמת 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נאמרים ביתר שאת כשנחשפים למניע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וליתר דיוק לחוסר המניע שבסיס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של ניסיון לרצח היא עבירה חמורה עד מאד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הנסיבות בהן בוצעה העבירה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בענייננו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הן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התכנון שקדם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האכזריות והאלימות שבה היא בוצעה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וניצולה של מערכת היחסים הקרובה שבין המערער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ברקע לכל זה מרחף עיסוקו החולני של המערער במוות ובאלימות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 על כלל הנסיבות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נמצא כי מתחם הענישה שנקבע מגלה עילה להתערבות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העמיד את עונשו של המערער ברף הגבוה של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בשל היעדר נטילת אחריות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 נטען כי כעת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משזנח המערער את טענתו כי זהותו השנייה היא שביצעה את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ולאור התרשמותו של שירות המבחן ולפיה המערער משתף פעולה עם גורמי הטיפול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שיש להקל בעונשו ולקבוע אותו קרוב יותר לחלקו התחתון של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בהתאם 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המאפשר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להתחשב בגזירת העונש בנסיבה שעניינה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נטילת האחריות של הנאשם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וחזרתו למוטב או מאמציו לחזור למוטב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דוחה את 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 כי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ודאתו שבאה לידי ביטוי בחזרתו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מערעורו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שביטא חרטה 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לא במסגרת התסקיר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ראויה להיזקף לזכותו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שיתוף הפעולה של המערער בהליך הטיפולי שהוא מקבל במסגרת מאסרו הוא מבורך ועל פי הערכת שירות המבחן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 להפחית את הסיכון להישנות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בו כדי להצדיק הקלה בעונשו של המערער הגם וייתכן שיעמוד ביום מן הימים לזכותו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במעשה חמור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שנעשה בעקבות תכנון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ומתוך מניע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 שאך מעצים את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נקודת הפתיחה לפיה ערכאת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לא תתערב בעונש שנגזר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גם נקודת הסיום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25.6.2017</w:t>
      </w:r>
      <w:r>
        <w:rPr>
          <w:rtl w:val="true"/>
        </w:rPr>
        <w:t xml:space="preserve"> (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42094-10-14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דיסקין</w:t>
      </w:r>
      <w:r>
        <w:rPr>
          <w:rtl w:val="true"/>
        </w:rPr>
        <w:t xml:space="preserve">, </w:t>
      </w:r>
      <w:r>
        <w:rPr>
          <w:rFonts w:cs="Miriam"/>
          <w:b/>
          <w:b/>
          <w:szCs w:val="24"/>
          <w:rtl w:val="true"/>
        </w:rPr>
        <w:t>ר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בן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Miriam"/>
          <w:b/>
          <w:b/>
          <w:szCs w:val="24"/>
          <w:rtl w:val="true"/>
        </w:rPr>
        <w:t>צ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קאפח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zCs w:val="24"/>
        </w:rPr>
      </w:pPr>
      <w:r>
        <w:rPr>
          <w:rFonts w:cs="Miriam"/>
          <w:b/>
          <w:b/>
          <w:szCs w:val="24"/>
          <w:rtl w:val="true"/>
        </w:rPr>
        <w:t>עובדות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כתב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cs="Miriam"/>
          <w:b/>
          <w:szCs w:val="24"/>
        </w:rPr>
      </w:pPr>
      <w:r>
        <w:rPr>
          <w:rFonts w:cs="Miriam"/>
          <w:b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zCs w:val="24"/>
          <w:rtl w:val="true"/>
        </w:rPr>
        <w:t>חוק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העונשין</w:t>
      </w:r>
      <w:r>
        <w:rPr>
          <w:rtl w:val="true"/>
        </w:rPr>
        <w:t xml:space="preserve">)); </w:t>
      </w:r>
      <w:r>
        <w:rPr>
          <w:rtl w:val="true"/>
        </w:rPr>
        <w:t>וחבלה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,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מחריד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להורגו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האמור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12.10.2014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בשעות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המערער לדירתו של המתלונן כאשר הוא מצויד בגז מדמיע ובסכין מלופפת בנייר טואלט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והמתלונן הקשיבו למוסיקה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עישנו חשיש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ושוחחו על פילוסופיה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כשעה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ביקש מהמתלונן להתחלף במקומות הישיבה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המתלונן קם מהספה והתיישב בכיס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התייצב מאחורי גבו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שלף את הסכין והחל לנסות לשסף את גרונו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הסיט את ידו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השניים נפלו ארצה ונאבקו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המשיך לדקור את המתלונן בגופו תוך שהמתלונן התחנן אליו לחדול ממעשיו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מסוים המערער הפסיק לרגע את תקיפתו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המתלונן הצליח לקום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ריסס אותו בגז המדמיע שהביא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ניסה להימלט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ובשארית כוחותיו הגיע לדלת הכניסה בעודו צועק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הצילו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המתלונן הצליח לפתוח את הדלת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התנפל עליו שוב ודקר אותו בגופו בעודו שרוע על גבו וזועק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הצילו הוא הורג אותי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עובר אורח שעבר ברחוב שמע את זעקותיו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בריצה לבניין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ראה את המערער דוקר את המתלונן בפתח 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והורה לו לעזוב את הסכין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זרק את הסכין ונמלט לאחד החדרים בדירה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עובר האורח הוציא את המתלונן מהדירה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לטפל בפצעיו והזעיק את עזרת המשטרה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כתוצאה ממעשי המערער נגרם למתלונן חתך רוחבי בצוואר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קרע בסרעפת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בכבד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שבר בצלע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בשכמה שמאל וזרוע ימין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חתך בגב ימני תחתון ובית החזה מימין בגובה צלעות תחתונות שגרמו לפנֵאוּמוֹטוֹרקס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חזה אויר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המתלונן עבר ניתוח לתיקון הקרע בסרעפת והכנסת נקז אוויר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נגרמו למתלונן חתכים בכף ידו הימנית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באצבעות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וחתך באצבע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שגרם לקרע בעורק ובעצב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נזקק לניתוח אורתופדי לתיקון הקרע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חלק הארי של התשתית העובדתית לא היה שנוי במחלוקת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השתית את עיקר הגנתו על 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ז</w:t>
        </w:r>
      </w:hyperlink>
      <w:r>
        <w:rPr>
          <w:rFonts w:ascii="Century" w:hAnsi="Century" w:cs="Century"/>
          <w:rtl w:val="true"/>
        </w:rPr>
        <w:t xml:space="preserve"> 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וגרסתו התגבשה במהלך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בתחילה המערער כפר בעובדות כתב האישום וטען כי היה אדם שלישי בדירה בשם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גדי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והוא זה שדקר את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שמיעת ראיות הוסכם כי לא היה אדם נוסף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הועלה קו הגנה נוסף הנסמך על הטענה כי המערער סובל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הפרעת זהות דיסוציאטיבית</w:t>
      </w:r>
      <w:r>
        <w:rPr>
          <w:rFonts w:cs="Century" w:ascii="Century" w:hAnsi="Century"/>
          <w:rtl w:val="true"/>
        </w:rPr>
        <w:t xml:space="preserve">",  </w:t>
      </w:r>
      <w:r>
        <w:rPr>
          <w:rFonts w:ascii="Century" w:hAnsi="Century" w:cs="Century"/>
          <w:rtl w:val="true"/>
        </w:rPr>
        <w:t>באופן שיש לו שתי זהויות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והעבירה בוצעה על ידי הזהות השנייה שלו העונה לשם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גדי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קו הגנה זה לא שלל את היות המערער כשיר לעמוד לדין ואף לא טען למחלת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טען לאחריות מופחתת בשל הטענה כי לא לוותה למעשה מחשבה פלילית עקב ההפרעה הנפשית ממנה סבל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הסייג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הופיע לבסוף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בסיכומי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התביעה טענה כי ההגנה לא הוכיחה את קיומה של ההפרעה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וטענה כי גם אם ההגנה הייתה מוכיחה שהמערער לוקה בה אין בכך כדי לפטור אותו מאחריות פלילית או להפחית מאחריותו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המערער עסק באופן אובססיבי בדרכי המתה על צורותיהן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שכללו המתת בעלי חיים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>וביקש לחזות מקרוב בעת יציאת הנשמה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  <w:b/>
          <w:szCs w:val="24"/>
        </w:rPr>
      </w:pPr>
      <w:r>
        <w:rPr>
          <w:rFonts w:cs="Century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בהכרעת הדין מיום </w:t>
      </w:r>
      <w:r>
        <w:rPr>
          <w:rFonts w:cs="Century" w:ascii="Century" w:hAnsi="Century"/>
        </w:rPr>
        <w:t>3.4.2017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הרשיע בית המשפט את המערער במיוחס לו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המערער לא עמד בנטל להוכיח כי הוא סובל מהפרעת זהות דיסוציאטיבית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שאינו עומד בקריטריוני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לאבחון הפרעה זו בספר האבחנות הפסיכיאטריות האמריקני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D</w:t>
      </w:r>
      <w:r>
        <w:rPr>
          <w:rFonts w:cs="Century" w:ascii="Century" w:hAnsi="Century"/>
        </w:rPr>
        <w:t>iagnostic and Statistical Manual of Mental Disorder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DSM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אימץ את חוות הדעת מטעם מומחה התביעה לפיה המערער אחראי למעשיו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ואת עדותו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היה חשד קטן שבקטנים אפילו להפרעה דיסוציאטיבית קלה </w:t>
      </w:r>
      <w:r>
        <w:rPr>
          <w:rFonts w:cs="Century" w:ascii="Century" w:hAnsi="Century"/>
          <w:rtl w:val="true"/>
        </w:rPr>
        <w:t xml:space="preserve">[...]", </w:t>
      </w:r>
      <w:r>
        <w:rPr>
          <w:rFonts w:ascii="Century" w:hAnsi="Century" w:cs="Century"/>
          <w:rtl w:val="true"/>
        </w:rPr>
        <w:t>וזאת על פני חוות הדעת מטעם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בקבעו לגביה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הקביעות האבחנתיות עומדות בניגוד מוחלט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DSM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לעדויות של מומחים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מומחה נוסף של ההגנה ולמאמרים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של העד עצמו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דחה את טענת ההגנה לסייג הקבוע </w:t>
      </w:r>
      <w:hyperlink r:id="rId2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מן הטעם שהמערער אינו חולה נפש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מעבר לנדרש להרשעת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על בסיס עדויות וראיות שהובאו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 xml:space="preserve">המניע של המערער </w:t>
      </w:r>
      <w:r>
        <w:rPr>
          <w:rFonts w:ascii="Century" w:hAnsi="Century" w:cs="Century"/>
          <w:rtl w:val="true"/>
        </w:rPr>
        <w:t xml:space="preserve">למעשיו </w:t>
      </w:r>
      <w:r>
        <w:rPr>
          <w:rFonts w:ascii="Century" w:hAnsi="Century" w:cs="Century"/>
          <w:rtl w:val="true"/>
        </w:rPr>
        <w:t xml:space="preserve">היה לחזות </w:t>
      </w:r>
      <w:r>
        <w:rPr>
          <w:rFonts w:ascii="Century" w:hAnsi="Century" w:cs="Century"/>
          <w:rtl w:val="true"/>
        </w:rPr>
        <w:t xml:space="preserve">מקרוב </w:t>
      </w:r>
      <w:r>
        <w:rPr>
          <w:rFonts w:ascii="Century" w:hAnsi="Century" w:cs="Century"/>
          <w:rtl w:val="true"/>
        </w:rPr>
        <w:t>במוות מוחשי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הובאו ראיות לכך שהמערער החזיק בדירתו אוסף סכינים מגוון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חבל תלייה קשור בצורת לולאה ותחפושת של איש </w:t>
      </w:r>
      <w:r>
        <w:rPr>
          <w:rFonts w:cs="Century" w:ascii="Century" w:hAnsi="Century"/>
        </w:rPr>
        <w:t>KKK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הקו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קלוקס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קלאן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במחשבו הנייד נמצאו צילומים של אדם שחוט עם דם על הקיר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ציור של שחיטת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סמלים נאציים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וציור של חמישה תינוקות שחוטים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חיפוש במחשבו של המערער גילה שהמערער חיפש בגוגל באמצעות מילות חיפוש כדוגמת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המשפד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צליבה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אנשים ששופדו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מוצאת להורג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ועוד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המערער כתב יחד עם בני משפחתו סיפור בשם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חצוצרת הדמים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נגן חצוצרה ההופך לרוצח אכזרי העוקר את עיניהם של קרבנותיו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חבריו של המערער סיפרו שהלה אהב לצפות בסרטי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סנאף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המתעדים אלימות גרפית מפורטת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כן חבריו תיארו התנהגות אלימה ואמירות אלימות מצדו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שלח ביום האירוע לקרובת משפחתו תמונה של עקידת יצחק עם שלוש תמונות משנה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כשבאחת מהן אברהם אוחז בסכין והמלאך עוצר בעדו ובידו השנייה לופת את יצחק בראשו בעוד יצחק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צורח מאימה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כמתואר בהסבר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ובשנייה נראה ראשו של יצחק אחוז בידו של אברהם בעוד יצחק צורח בחוסר אונים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</w:t>
      </w:r>
      <w:r>
        <w:rPr>
          <w:rFonts w:ascii="Century" w:hAnsi="Century" w:cs="Century"/>
          <w:rtl w:val="true"/>
        </w:rPr>
        <w:t xml:space="preserve">לא נתן אמון בגרסת המערער לפיה </w:t>
      </w:r>
      <w:r>
        <w:rPr>
          <w:rFonts w:ascii="Century" w:hAnsi="Century" w:cs="Century"/>
          <w:rtl w:val="true"/>
        </w:rPr>
        <w:t>העיסוק במוות ואלימות על צורותיהם היה</w:t>
      </w:r>
      <w:r>
        <w:rPr>
          <w:rFonts w:ascii="Century" w:hAnsi="Century" w:cs="Century"/>
          <w:rtl w:val="true"/>
        </w:rPr>
        <w:t xml:space="preserve"> רק </w:t>
      </w:r>
      <w:r>
        <w:rPr>
          <w:rFonts w:ascii="Century" w:hAnsi="Century" w:cs="Century"/>
          <w:rtl w:val="true"/>
        </w:rPr>
        <w:t>עיסוק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אסתטיקה של הרצח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מההיבט הפילוסופי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בגזר דינו מיום </w:t>
      </w:r>
      <w:r>
        <w:rPr>
          <w:rFonts w:cs="Century" w:ascii="Century" w:hAnsi="Century"/>
        </w:rPr>
        <w:t>25.6.2017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המשפט תיאר את מעשיו של המערער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מעשה העבירה הנפשע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האכזרי ומעורר הבעתה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וקבע שמדובר במקרה יוצא דופן שמתבלט בחריגותו נוכח התעסקותו המעוותת והמחליאה של המערער בתחומי עניין ביזריים וחולניים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שגרמה להתפרצותה של תאוות רצח ושל צפייה מקרוב באדם באותם הרגעים בהם הוא מאבד את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והכשירה את הקרקע לניסיון הברוטלי לרצוח את חברו הטוב ששימש קורבן לסיפוק יצריו האפלים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תחומי העניין הללו קשורים בקשר בל ינותק לעבירה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יישקלו כנסיבה לחומרה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הצביע על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כאדם שטבועה בו סכנה ממשית ושומה להרחיקו מהחברה לפרק זמן ארוך ככל האפשר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חומרת העבירה נקבעה כגבוהה נוכח התכנון שקדם לעבירה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האכזריות והאלימות בהן היא בוצעה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והניצול לרעה את מערכת היחסים הקרובה בין המערער למתלונן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הנזקים הקשים וההרסניים שנגרמו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החרדות המשתקות שתוקפות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המחשבות האובדניות שפוקדות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הקשיים החברתיים עמם הוא מתמודד נוכח הצלקות שעל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והעובדה שחייו ניצלו בנס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קבע את מתחם הענישה בין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בפני בית המשפט העידו שורה של עדי אופי אשר העידו לזכות המערער וכולם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קשרו לו כתרים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הישגיו בלימודים ועל יחסו הנעים לזולת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ואיש מהם לא הכיר את הצד האפל והרצחני שבאישיותו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טיעון ההגנה על אודות יחסו המכבד לזולת משמש כחרב פיפיות מתהפכת שמחדדת את הסכנה הטבועה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והעובדה שהמערער ביצע את ניסיון הרצח על רקע התעניינותו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הפילוסופית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בדרכי ההמתה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פועלת לטובתו אלא דווקא מעוררת פלצות ואימה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היעדר נטילת אחריות אמיתית וכנה מצד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הציב את עונשו בחלק העליון של המתחם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השית על המערער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מאסר על תנאי לבל יעבור עבירות מסוג פשע על </w:t>
      </w:r>
      <w:hyperlink r:id="rId29">
        <w:r>
          <w:rPr>
            <w:rStyle w:val="Hyperlink"/>
            <w:rFonts w:ascii="Century" w:hAnsi="Century" w:cs="Century"/>
            <w:rtl w:val="true"/>
          </w:rPr>
          <w:t>סימנים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או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לפרק י</w:t>
      </w:r>
      <w:r>
        <w:rPr>
          <w:rFonts w:cs="Century" w:ascii="Century" w:hAnsi="Century"/>
          <w:rtl w:val="true"/>
        </w:rPr>
        <w:t xml:space="preserve">', </w:t>
      </w:r>
      <w:hyperlink r:id="rId30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186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במשך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ממאסר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לבל יעבור עבירות מסוג עוון על </w:t>
      </w:r>
      <w:hyperlink r:id="rId32">
        <w:r>
          <w:rPr>
            <w:rStyle w:val="Hyperlink"/>
            <w:rFonts w:ascii="Century" w:hAnsi="Century" w:cs="Century"/>
            <w:rtl w:val="true"/>
          </w:rPr>
          <w:t>סימנים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לחוק העונשין במשך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ממאסר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למתלונן בסך כולל של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₪.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אציין שהערעור הופנה תחילה הן כלפי הכרעת הדין והן כלפי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בפתח הדיון שנערך בפנינו ביום </w:t>
      </w:r>
      <w:r>
        <w:rPr>
          <w:rFonts w:cs="Century" w:ascii="Century" w:hAnsi="Century"/>
        </w:rPr>
        <w:t>2.2.2020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חזר בו מהערעור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לעונש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בהחלטה מאותו היום נעתרנו לבקשת המערער לדחות את מתן פסק דיננו עד לאחר קבלת תסקיר שירות 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והשלמת טיעון בכתב על ידי הצדדים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Century"/>
          <w:b/>
          <w:szCs w:val="24"/>
        </w:rPr>
      </w:pPr>
      <w:r>
        <w:rPr>
          <w:rFonts w:cs="Century" w:ascii="Century" w:hAnsi="Century"/>
          <w:b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17.5.2020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 תסקיר מבחן בעניינו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ציין כי מדובר בהרשעתו הראשונה של המערער ולא תלויים כנגדו תיקי מב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סקר את עברו של המערער כפי שהובא על 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קשריו המשפחתיים התאפיינו בריחוק רגשי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בגיל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 בטיפול תרופתי בגין חרדות מהן סבל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שיתף את שירות המבחן ואת גורמי הטיפול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ברקע למעשיו נכח העניין שגילה לאורך השנים בתכנים אלימים ופוגעניים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וההתרגשות שחווה בצפייה בתכנים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סיפר כי בתקופה בה ביצע את העבירה חש ריקנות וחרדה והתעורר בו רצון לפגוע באחר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ובחר במתלונן נוכח השקפת עולמם השונה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זיהה סימנים בסביבה אשר אישרו והצדיקו את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מסר כי בעת ביצוע העבירות הוא היה מודע למעשיו ופעל מתוך תחושת שליטה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מבין את הפגיעות שהסב למתלונן ולמשפחתו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המכשילים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ותובנתו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zCs w:val="24"/>
        </w:rPr>
      </w:pPr>
      <w:r>
        <w:rPr>
          <w:rFonts w:cs="Miriam"/>
          <w:b/>
          <w:b/>
          <w:szCs w:val="24"/>
          <w:rtl w:val="true"/>
        </w:rPr>
        <w:t>טענות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הצדדים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cs="Miriam"/>
          <w:b/>
          <w:szCs w:val="24"/>
        </w:rPr>
      </w:pPr>
      <w:r>
        <w:rPr>
          <w:rFonts w:cs="Miriam"/>
          <w:b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שהטילה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האובססיבי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והריקנות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המכשילים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, </w:t>
      </w:r>
      <w:r>
        <w:rPr>
          <w:rtl w:val="true"/>
        </w:rPr>
        <w:t>והערכת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דיון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cs="Miriam"/>
          <w:b/>
          <w:szCs w:val="24"/>
        </w:rPr>
      </w:pPr>
      <w:r>
        <w:rPr>
          <w:rFonts w:cs="Miriam"/>
          <w:b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יחיא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חדיר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17.5.2012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5810/13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לוי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22.12.2013</w:t>
      </w:r>
      <w:r>
        <w:rPr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כשנחשפים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זיהה</w:t>
      </w:r>
      <w:r>
        <w:rPr>
          <w:rtl w:val="true"/>
        </w:rPr>
        <w:t xml:space="preserve">"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כקרבן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ריסס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;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; </w:t>
      </w:r>
      <w:r>
        <w:rPr>
          <w:rtl w:val="true"/>
        </w:rPr>
        <w:t>נאבק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; </w:t>
      </w:r>
      <w:r>
        <w:rPr>
          <w:rtl w:val="true"/>
        </w:rPr>
        <w:t>ולולא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האובססיבי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</w:t>
      </w:r>
      <w:r>
        <w:rPr>
          <w:rtl w:val="true"/>
        </w:rPr>
        <w:t xml:space="preserve">; </w:t>
      </w:r>
      <w:r>
        <w:rPr>
          <w:rtl w:val="true"/>
        </w:rPr>
        <w:t>באוסף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שבחדרו</w:t>
      </w:r>
      <w:r>
        <w:rPr>
          <w:rtl w:val="true"/>
        </w:rPr>
        <w:t xml:space="preserve">; </w:t>
      </w:r>
      <w:r>
        <w:rPr>
          <w:rtl w:val="true"/>
        </w:rPr>
        <w:t>בסרטי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סנאף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tl w:val="true"/>
        </w:rPr>
        <w:t xml:space="preserve">;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לפנימיי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;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האנה</w:t>
      </w:r>
      <w:r>
        <w:rPr>
          <w:rtl w:val="true"/>
        </w:rPr>
        <w:t xml:space="preserve">" </w:t>
      </w:r>
      <w:r>
        <w:rPr>
          <w:rtl w:val="true"/>
        </w:rPr>
        <w:t>ידידתם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מגרמניה</w:t>
      </w:r>
      <w:r>
        <w:rPr>
          <w:rtl w:val="true"/>
        </w:rPr>
        <w:t xml:space="preserve">, </w:t>
      </w:r>
      <w:r>
        <w:rPr>
          <w:rtl w:val="true"/>
        </w:rPr>
        <w:t>כנקמה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בגרמנים</w:t>
      </w:r>
      <w:r>
        <w:rPr>
          <w:rtl w:val="true"/>
        </w:rPr>
        <w:t xml:space="preserve">; </w:t>
      </w:r>
      <w:r>
        <w:rPr>
          <w:rtl w:val="true"/>
        </w:rPr>
        <w:t>ובהתבטאותו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שמסוכסך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מהפנים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ופוגעניים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התרגשות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179</w:t>
      </w:r>
      <w:r>
        <w:rPr>
          <w:rtl w:val="true"/>
        </w:rPr>
        <w:t xml:space="preserve">); </w:t>
      </w:r>
      <w:r>
        <w:rPr>
          <w:rtl w:val="true"/>
        </w:rPr>
        <w:t>מרדכי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/>
        <w:t>2019</w:t>
      </w:r>
      <w:r>
        <w:rPr>
          <w:rtl w:val="true"/>
        </w:rPr>
        <w:t xml:space="preserve">] </w:t>
      </w:r>
      <w:r>
        <w:rPr/>
        <w:t>343-340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: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; </w:t>
      </w:r>
      <w:r>
        <w:rPr>
          <w:rtl w:val="true"/>
        </w:rPr>
        <w:t>וניצולה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ובאלימות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קפוטה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305/03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מוסקוביץ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16.12.2003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917/04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מוסקוביץ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6.1.2005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zCs w:val="24"/>
          <w:rtl w:val="true"/>
        </w:rPr>
        <w:t>עניין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מוסקוביץ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2555/15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מוהלוס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נגר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12.5.2020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משזנח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וחזרתו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מחקירת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"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</w:t>
      </w:r>
      <w:r>
        <w:rPr>
          <w:rtl w:val="true"/>
        </w:rPr>
        <w:t>-</w:t>
      </w:r>
      <w:r>
        <w:rPr>
          <w:rtl w:val="true"/>
        </w:rPr>
        <w:t>דיאגנוסטי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חונך</w:t>
      </w:r>
      <w:r>
        <w:rPr>
          <w:rtl w:val="true"/>
        </w:rPr>
        <w:t xml:space="preserve">".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בחזרתו</w:t>
      </w:r>
      <w:r>
        <w:rPr>
          <w:rtl w:val="true"/>
        </w:rPr>
        <w:t>-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".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>-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הסיום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מוסקוביץ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מתוקנת אינה יכולה להתיר לעצמה כי מעשים כמעשה המערער ייעשו בקירבה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מעשהו של המערער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מעשה לאופולד ולב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מעשה הוא הנוגד את טבע אנוש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ואם יש משמעות לאמירה כי שומה עליו על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להגן על החברה מפני מעשים פורעי חוק וסדר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בעניינו של המערער מקבלת משמעות זו את תוכנה העמוק ביותר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spacing w:lineRule="auto" w:line="24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 נדחה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1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24.8.2020</w:t>
      </w:r>
      <w:r>
        <w:rPr>
          <w:rFonts w:cs="Century" w:ascii="Century" w:hAnsi="Century"/>
          <w:rtl w:val="true"/>
        </w:rPr>
        <w:t xml:space="preserve">). </w:t>
      </w:r>
      <w:bookmarkEnd w:id="21"/>
    </w:p>
    <w:p>
      <w:pPr>
        <w:pStyle w:val="Ruller41"/>
        <w:spacing w:lineRule="auto" w:line="24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17069620</w:t>
      </w:r>
      <w:r>
        <w:rPr>
          <w:sz w:val="16"/>
          <w:rtl w:val="true"/>
        </w:rPr>
        <w:t>_</w:t>
      </w:r>
      <w:r>
        <w:rPr>
          <w:sz w:val="16"/>
        </w:rPr>
        <w:t>E23.docx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54678313-6962/17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6962/17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קשת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ascii="Calibri" w:hAnsi="Calibri" w:eastAsia="Calibri" w:cs="FrankRuehl"/>
    </w:rPr>
  </w:style>
  <w:style w:type="character" w:styleId="FootnoteCharacters">
    <w:name w:val="Footnote Characters"/>
    <w:qFormat/>
    <w:rPr>
      <w:vertAlign w:val="superscript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FootnoteText">
    <w:name w:val="footnote text"/>
    <w:basedOn w:val="Normal"/>
    <w:pPr>
      <w:overflowPunct w:val="true"/>
      <w:autoSpaceDE w:val="true"/>
      <w:jc w:val="both"/>
      <w:textAlignment w:val="auto"/>
    </w:pPr>
    <w:rPr>
      <w:rFonts w:ascii="Calibri" w:hAnsi="Calibri" w:eastAsia="Calibri" w:cs="FrankRuehl"/>
      <w:szCs w:val="20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18857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g" TargetMode="External"/><Relationship Id="rId7" Type="http://schemas.openxmlformats.org/officeDocument/2006/relationships/hyperlink" Target="http://www.nevo.co.il/law/70301/34h" TargetMode="External"/><Relationship Id="rId8" Type="http://schemas.openxmlformats.org/officeDocument/2006/relationships/hyperlink" Target="http://www.nevo.co.il/law/70301/186" TargetMode="External"/><Relationship Id="rId9" Type="http://schemas.openxmlformats.org/officeDocument/2006/relationships/hyperlink" Target="http://www.nevo.co.il/law/70301/305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40ja.4" TargetMode="External"/><Relationship Id="rId13" Type="http://schemas.openxmlformats.org/officeDocument/2006/relationships/hyperlink" Target="http://www.nevo.co.il/law/70301/d" TargetMode="External"/><Relationship Id="rId14" Type="http://schemas.openxmlformats.org/officeDocument/2006/relationships/hyperlink" Target="http://www.nevo.co.il/law/70301/hS" TargetMode="External"/><Relationship Id="rId15" Type="http://schemas.openxmlformats.org/officeDocument/2006/relationships/hyperlink" Target="http://www.nevo.co.il/law/70301/jCa" TargetMode="External"/><Relationship Id="rId16" Type="http://schemas.openxmlformats.org/officeDocument/2006/relationships/hyperlink" Target="http://www.nevo.co.il/law/70301/40ja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8118857" TargetMode="External"/><Relationship Id="rId19" Type="http://schemas.openxmlformats.org/officeDocument/2006/relationships/hyperlink" Target="http://www.nevo.co.il/law/70301/30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3" TargetMode="External"/><Relationship Id="rId22" Type="http://schemas.openxmlformats.org/officeDocument/2006/relationships/hyperlink" Target="http://www.nevo.co.il/law/70301/335.a.1" TargetMode="External"/><Relationship Id="rId23" Type="http://schemas.openxmlformats.org/officeDocument/2006/relationships/hyperlink" Target="http://www.nevo.co.il/law/70301/34g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h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h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jCa;d;hS" TargetMode="External"/><Relationship Id="rId30" Type="http://schemas.openxmlformats.org/officeDocument/2006/relationships/hyperlink" Target="http://www.nevo.co.il/law/70301/186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jCa;d;hS" TargetMode="External"/><Relationship Id="rId33" Type="http://schemas.openxmlformats.org/officeDocument/2006/relationships/hyperlink" Target="http://www.nevo.co.il/case/5833175" TargetMode="External"/><Relationship Id="rId34" Type="http://schemas.openxmlformats.org/officeDocument/2006/relationships/hyperlink" Target="http://www.nevo.co.il/case/5574190" TargetMode="External"/><Relationship Id="rId35" Type="http://schemas.openxmlformats.org/officeDocument/2006/relationships/hyperlink" Target="http://www.nevo.co.il/case/7977381" TargetMode="External"/><Relationship Id="rId36" Type="http://schemas.openxmlformats.org/officeDocument/2006/relationships/hyperlink" Target="http://www.nevo.co.il/law/70301/30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safrut/bookgroup/2063" TargetMode="External"/><Relationship Id="rId39" Type="http://schemas.openxmlformats.org/officeDocument/2006/relationships/hyperlink" Target="http://www.nevo.co.il/case/287987" TargetMode="External"/><Relationship Id="rId40" Type="http://schemas.openxmlformats.org/officeDocument/2006/relationships/hyperlink" Target="http://www.nevo.co.il/case/5734395" TargetMode="External"/><Relationship Id="rId41" Type="http://schemas.openxmlformats.org/officeDocument/2006/relationships/hyperlink" Target="http://www.nevo.co.il/case/20188572" TargetMode="External"/><Relationship Id="rId42" Type="http://schemas.openxmlformats.org/officeDocument/2006/relationships/hyperlink" Target="http://www.nevo.co.il/case/24314976" TargetMode="External"/><Relationship Id="rId43" Type="http://schemas.openxmlformats.org/officeDocument/2006/relationships/hyperlink" Target="http://www.nevo.co.il/law/70301/40ja.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supreme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2020-08-25T07:46:00Z</dcterms:created>
  <dc:creator>h4</dc:creator>
  <dc:description/>
  <cp:keywords/>
  <dc:language>en-IL</dc:language>
  <cp:lastModifiedBy>orly</cp:lastModifiedBy>
  <cp:lastPrinted>2020-08-24T09:38:00Z</cp:lastPrinted>
  <dcterms:modified xsi:type="dcterms:W3CDTF">2020-08-25T07:46:00Z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אברהם קשת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SLISTTMP1">
    <vt:lpwstr>18118857:2;5833175;5574190;7977381;287987;5734395;20188572;24314976</vt:lpwstr>
  </property>
  <property fmtid="{D5CDD505-2E9C-101B-9397-08002B2CF9AE}" pid="10" name="CITY">
    <vt:lpwstr/>
  </property>
  <property fmtid="{D5CDD505-2E9C-101B-9397-08002B2CF9AE}" pid="11" name="DATE">
    <vt:lpwstr>20200824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עמית;ע' גרוסקופף;א' שטיין</vt:lpwstr>
  </property>
  <property fmtid="{D5CDD505-2E9C-101B-9397-08002B2CF9AE}" pid="15" name="LAWLISTTMP1">
    <vt:lpwstr>70301/305:2;333;335.a.1;034g;034h:2;jCa:2;d:2;hS:2;186;40ja.4</vt:lpwstr>
  </property>
  <property fmtid="{D5CDD505-2E9C-101B-9397-08002B2CF9AE}" pid="16" name="LAWYER">
    <vt:lpwstr>תמר פרוש;אביגדור פלדמן;אורית רוט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עבירות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1446;1446;1443</vt:lpwstr>
  </property>
  <property fmtid="{D5CDD505-2E9C-101B-9397-08002B2CF9AE}" pid="49" name="NOSE31">
    <vt:lpwstr>מדיניות ענישה: שיקולים לחומרה</vt:lpwstr>
  </property>
  <property fmtid="{D5CDD505-2E9C-101B-9397-08002B2CF9AE}" pid="50" name="NOSE310">
    <vt:lpwstr/>
  </property>
  <property fmtid="{D5CDD505-2E9C-101B-9397-08002B2CF9AE}" pid="51" name="NOSE32">
    <vt:lpwstr>מדיניות ענישה: ניסיון לרצח</vt:lpwstr>
  </property>
  <property fmtid="{D5CDD505-2E9C-101B-9397-08002B2CF9AE}" pid="52" name="NOSE33">
    <vt:lpwstr>ניסיון לרצח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8995;18350;8867</vt:lpwstr>
  </property>
  <property fmtid="{D5CDD505-2E9C-101B-9397-08002B2CF9AE}" pid="60" name="PADIDATE">
    <vt:lpwstr>20200825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6962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410120200824</vt:lpwstr>
  </property>
  <property fmtid="{D5CDD505-2E9C-101B-9397-08002B2CF9AE}" pid="70" name="TYPE_N_DATE">
    <vt:lpwstr>41020200824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