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6968/16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420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20"/>
      </w:tblGrid>
      <w:tr>
        <w:trPr/>
        <w:tc>
          <w:tcPr>
            <w:tcW w:w="5420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2"/>
                <w:rtl w:val="true"/>
              </w:rPr>
              <w:t>ג</w:t>
            </w:r>
            <w:r>
              <w:rPr>
                <w:rFonts w:cs="Miriam"/>
                <w:sz w:val="24"/>
                <w:szCs w:val="22"/>
                <w:rtl w:val="true"/>
              </w:rPr>
              <w:t>'</w:t>
            </w:r>
            <w:r>
              <w:rPr>
                <w:rFonts w:cs="Miriam"/>
                <w:sz w:val="24"/>
                <w:sz w:val="24"/>
                <w:szCs w:val="22"/>
                <w:rtl w:val="true"/>
              </w:rPr>
              <w:t>ורג</w:t>
            </w:r>
            <w:r>
              <w:rPr>
                <w:rFonts w:cs="Miriam"/>
                <w:sz w:val="24"/>
                <w:szCs w:val="22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2"/>
                <w:rtl w:val="true"/>
              </w:rPr>
              <w:t>קרא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34887-10-15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18.7.2016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7542" w:type="dxa"/>
        <w:jc w:val="start"/>
        <w:tblInd w:w="9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באייר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10.5.2018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סתוית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רייכמן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אוליאל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חוה דיין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אם לא תהיי שלי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אוגוסט </w:t>
        </w:r>
        <w:r>
          <w:rPr>
            <w:rStyle w:val="Hyperlink"/>
            <w:rFonts w:cs="FrankRuehl" w:ascii="FrankRuehl" w:hAnsi="FrankRuehl"/>
            <w:sz w:val="24"/>
          </w:rPr>
          <w:t>2014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205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Start w:id="10" w:name="LawTable_End"/>
      <w:bookmarkEnd w:id="9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וחזר וקבע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עבירות אלימות נגד נשים במסגרת התא המשפחתי יזכו ליחס מחמיר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החמרת הענישה במקרים אלה מייצגת את חשיבותו של הערך המוגן שמונח על הכף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והוא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שנגזר על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 בקנה אחד עם מגמה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הולם את חומרת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מחוזי במסגרתו נגזר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ועונשים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זאת בעקבות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 בעבירה של חבלה בכוונה מחמירה ובעבירת 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 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זוגו לשעבר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שהיכה בראשה של המתלוננת באמצעות פטיש פלסטיק קשיח עד זוב דם וכן השמיע איומים על 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 ומ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נפל כל פגם 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המצדיק התערבות ערעורית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וחזר וקבע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עבירות אלימות נגד נשים במסגרת התא המשפחתי יזכו ליחס מחמיר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החמרת הענישה במקרים אלה מייצגת את חשיבותו של הערך המוגן שמונח על הכף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והוא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המערער עולה בקנה אחד עם מגמה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הולם את חומרת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היכה במתלוננת בפטיש כשהוא מכוון לפניה ולראשה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חנק אותה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תוך שהוא אינו שועה לתחנוניה כי יחדל ממעשיו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וזאת על רקע תקופה בת כשנתיים לאחר פרידתם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במהלכה הוסיף להצר את צעדיה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השמיע מעת לעת איומים על 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רק שהמערער פגע בשלמות גופה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שבמעשיו פגע גם בחירותה הבסיסית של המתלוננת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להחליט לבד עם מי תהיה ביחד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כל אלה ביצע המערער בדל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אמות ביתה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המקום שבו היא אמורה להרגיש בטוחה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 על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המערער בעבר בעבירות אלימות נגד בת זוג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אף שלא ריצה עונש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 כי הוא מגלה דפוס התנהגות חוזר שהסלים לאורך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בכדי 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כעת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האיזון שערך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תואם את מדיניות הענישה הנוהגת והראויה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מותיר פתח להתערבות של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מעיון בפסקי הדין אליהם הפנה המערער ביחס למדיניות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 כי העונש שנגזר על המערער תואם את המקובל בגין מעשים חמורים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David" w:ascii="Century" w:hAnsi="Century"/>
          <w:b/>
          <w:spacing w:val="0"/>
          <w:sz w:val="24"/>
          <w:szCs w:val="24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Century" w:hAnsi="Century" w:cs="David"/>
          <w:b/>
          <w:spacing w:val="0"/>
          <w:sz w:val="24"/>
          <w:szCs w:val="24"/>
        </w:rPr>
      </w:pPr>
      <w:r>
        <w:rPr>
          <w:rFonts w:cs="David" w:ascii="Century" w:hAnsi="Century"/>
          <w:b/>
          <w:spacing w:val="0"/>
          <w:sz w:val="24"/>
          <w:szCs w:val="24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 w:val="28"/>
        </w:rPr>
      </w:pPr>
      <w:r>
        <w:rPr>
          <w:rFonts w:cs="Century" w:ascii="Century" w:hAnsi="Century"/>
          <w:b/>
          <w:spacing w:val="0"/>
          <w:sz w:val="28"/>
          <w:rtl w:val="true"/>
        </w:rPr>
        <w:tab/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ערעור על גזר דינו של בית המשפט המחוזי תל</w:t>
      </w:r>
      <w:r>
        <w:rPr>
          <w:rFonts w:cs="Century" w:ascii="Century" w:hAnsi="Century"/>
          <w:b/>
          <w:spacing w:val="0"/>
          <w:sz w:val="28"/>
          <w:rtl w:val="true"/>
        </w:rPr>
        <w:t>-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אביב יפו </w:t>
      </w:r>
      <w:r>
        <w:rPr>
          <w:rFonts w:cs="Century" w:ascii="Century" w:hAnsi="Century"/>
          <w:b/>
          <w:spacing w:val="0"/>
          <w:sz w:val="28"/>
          <w:rtl w:val="true"/>
        </w:rPr>
        <w:t>(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ורג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קרא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)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ב</w:t>
      </w:r>
      <w:hyperlink r:id="rId10">
        <w:r>
          <w:rPr>
            <w:rStyle w:val="Hyperlink"/>
            <w:rFonts w:ascii="Century" w:hAnsi="Century" w:cs="Century"/>
            <w:b/>
            <w:b/>
            <w:color w:val="0000FF"/>
            <w:spacing w:val="0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b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/>
            <w:b/>
            <w:color w:val="0000FF"/>
            <w:spacing w:val="0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/>
            <w:b/>
            <w:color w:val="0000FF"/>
            <w:spacing w:val="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/>
            <w:color w:val="0000FF"/>
            <w:spacing w:val="0"/>
            <w:sz w:val="28"/>
            <w:u w:val="single"/>
          </w:rPr>
          <w:t>34887-10-15</w:t>
        </w:r>
      </w:hyperlink>
      <w:r>
        <w:rPr>
          <w:rFonts w:cs="Century" w:ascii="Century" w:hAnsi="Century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מיום </w:t>
      </w:r>
      <w:r>
        <w:rPr>
          <w:rFonts w:cs="Century" w:ascii="Century" w:hAnsi="Century"/>
          <w:b/>
          <w:spacing w:val="0"/>
          <w:sz w:val="28"/>
        </w:rPr>
        <w:t>18.7.2016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,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במסגרתו נגזר על המערער עונש מאסר בפועל של </w:t>
      </w:r>
      <w:r>
        <w:rPr>
          <w:rFonts w:cs="Century" w:ascii="Century" w:hAnsi="Century"/>
          <w:b/>
          <w:spacing w:val="0"/>
          <w:sz w:val="28"/>
        </w:rPr>
        <w:t>6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שנות מאסר ועונשים על תנאי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,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כפי שיפורטו להלן</w:t>
      </w:r>
      <w:r>
        <w:rPr>
          <w:rFonts w:cs="Century" w:ascii="Century" w:hAnsi="Century"/>
          <w:b/>
          <w:spacing w:val="0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 w:val="28"/>
        </w:rPr>
      </w:pPr>
      <w:r>
        <w:rPr>
          <w:rFonts w:cs="Century" w:ascii="Century" w:hAnsi="Century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הורשע ביום </w:t>
      </w:r>
      <w:r>
        <w:rPr/>
        <w:t>10.5.2016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>בעבירת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szCs w:val="24"/>
          <w:rtl w:val="true"/>
        </w:rPr>
        <w:t>חוק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 xml:space="preserve">ובעבירת איומים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וזאת בהתייחס למסכת המתוארת 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>המערער והמתלוננת היו בני זוג במהלך עשר שנים</w:t>
      </w:r>
      <w:r>
        <w:rPr>
          <w:rtl w:val="true"/>
        </w:rPr>
        <w:t xml:space="preserve">, </w:t>
      </w:r>
      <w:r>
        <w:rPr>
          <w:rtl w:val="true"/>
        </w:rPr>
        <w:t>בהן נולדו להם שתי בנות</w:t>
      </w:r>
      <w:r>
        <w:rPr>
          <w:rtl w:val="true"/>
        </w:rPr>
        <w:t xml:space="preserve">. </w:t>
      </w:r>
      <w:r>
        <w:rPr>
          <w:rtl w:val="true"/>
        </w:rPr>
        <w:t>המערער והמתלוננת התגוררו יחד בתל אביב</w:t>
      </w:r>
      <w:r>
        <w:rPr>
          <w:rtl w:val="true"/>
        </w:rPr>
        <w:t xml:space="preserve">, </w:t>
      </w:r>
      <w:r>
        <w:rPr>
          <w:rtl w:val="true"/>
        </w:rPr>
        <w:t xml:space="preserve">בבית המצוי בתוך מתחם השייך למשפחת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 xml:space="preserve">בשנת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נפרדו בני הזוג</w:t>
      </w:r>
      <w:r>
        <w:rPr>
          <w:rtl w:val="true"/>
        </w:rPr>
        <w:t xml:space="preserve">, </w:t>
      </w:r>
      <w:r>
        <w:rPr>
          <w:rtl w:val="true"/>
        </w:rPr>
        <w:t>ולאחר הפרידה</w:t>
      </w:r>
      <w:r>
        <w:rPr>
          <w:rtl w:val="true"/>
        </w:rPr>
        <w:t xml:space="preserve">, </w:t>
      </w:r>
      <w:r>
        <w:rPr>
          <w:rtl w:val="true"/>
        </w:rPr>
        <w:t>המשיכה המתלוננת להתגורר בבית</w:t>
      </w:r>
      <w:r>
        <w:rPr>
          <w:rtl w:val="true"/>
        </w:rPr>
        <w:t xml:space="preserve">, </w:t>
      </w:r>
      <w:r>
        <w:rPr>
          <w:rtl w:val="true"/>
        </w:rPr>
        <w:t>בעוד המערער התגורר בצריף במתחם האמור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765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>בשנתיים שחלפו ממועד הפרידה עד לאירוע המתואר להלן</w:t>
      </w:r>
      <w:r>
        <w:rPr>
          <w:rtl w:val="true"/>
        </w:rPr>
        <w:t xml:space="preserve">, </w:t>
      </w:r>
      <w:r>
        <w:rPr>
          <w:rtl w:val="true"/>
        </w:rPr>
        <w:t>איים המערער על המתלוננת במספר מועדים שונים כי ירצח אותה</w:t>
      </w:r>
      <w:r>
        <w:rPr>
          <w:rtl w:val="true"/>
        </w:rPr>
        <w:t xml:space="preserve">, </w:t>
      </w:r>
      <w:r>
        <w:rPr>
          <w:rtl w:val="true"/>
        </w:rPr>
        <w:t>וזאת על רקע קשרים שניהלה עם גברים אחרים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 xml:space="preserve">בצהרי יום </w:t>
      </w:r>
      <w:r>
        <w:rPr/>
        <w:t>12.10.2015</w:t>
      </w:r>
      <w:r>
        <w:rPr>
          <w:rtl w:val="true"/>
        </w:rPr>
        <w:t xml:space="preserve"> </w:t>
      </w:r>
      <w:r>
        <w:rPr>
          <w:rtl w:val="true"/>
        </w:rPr>
        <w:t>נכנס המערער לבית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וחבט בעוצמה בחלקו האחורי של ראשה באמצעות פטיש גומי קשיח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הפטיש</w:t>
      </w:r>
      <w:r>
        <w:rPr>
          <w:rtl w:val="true"/>
        </w:rPr>
        <w:t xml:space="preserve">"). </w:t>
      </w:r>
      <w:r>
        <w:rPr>
          <w:rtl w:val="true"/>
        </w:rPr>
        <w:t>כאשר הסתובבה המתלוננת אל המערער</w:t>
      </w:r>
      <w:r>
        <w:rPr>
          <w:rtl w:val="true"/>
        </w:rPr>
        <w:t xml:space="preserve">, </w:t>
      </w:r>
      <w:r>
        <w:rPr>
          <w:rtl w:val="true"/>
        </w:rPr>
        <w:t>הוא חבט בה שוב בראשה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הפיל המערער את המתלוננת לארץ בכוח</w:t>
      </w:r>
      <w:r>
        <w:rPr>
          <w:rtl w:val="true"/>
        </w:rPr>
        <w:t xml:space="preserve">, </w:t>
      </w:r>
      <w:r>
        <w:rPr>
          <w:rtl w:val="true"/>
        </w:rPr>
        <w:t>דרך על פניה</w:t>
      </w:r>
      <w:r>
        <w:rPr>
          <w:rtl w:val="true"/>
        </w:rPr>
        <w:t xml:space="preserve">, </w:t>
      </w:r>
      <w:r>
        <w:rPr>
          <w:rtl w:val="true"/>
        </w:rPr>
        <w:t>ותפס בצווארה תוך שהוא חונק אותה</w:t>
      </w:r>
      <w:r>
        <w:rPr>
          <w:rtl w:val="true"/>
        </w:rPr>
        <w:t xml:space="preserve">. </w:t>
      </w:r>
      <w:r>
        <w:rPr>
          <w:rtl w:val="true"/>
        </w:rPr>
        <w:t>כדי להימלט מאחיזתו של המערער בצווארה</w:t>
      </w:r>
      <w:r>
        <w:rPr>
          <w:rtl w:val="true"/>
        </w:rPr>
        <w:t xml:space="preserve">, </w:t>
      </w:r>
      <w:r>
        <w:rPr>
          <w:rtl w:val="true"/>
        </w:rPr>
        <w:t>בעטה המתלוננת בקיר גבס סמוך</w:t>
      </w:r>
      <w:r>
        <w:rPr>
          <w:rtl w:val="true"/>
        </w:rPr>
        <w:t xml:space="preserve">, </w:t>
      </w:r>
      <w:r>
        <w:rPr>
          <w:rtl w:val="true"/>
        </w:rPr>
        <w:t>עד שזה התמוטט והיא הצליחה להשתחרר</w:t>
      </w:r>
      <w:r>
        <w:rPr>
          <w:rtl w:val="true"/>
        </w:rPr>
        <w:t xml:space="preserve">. </w:t>
      </w:r>
      <w:r>
        <w:rPr>
          <w:rtl w:val="true"/>
        </w:rPr>
        <w:t>לאחר מכן נטל המערער את הפטיש בשנית</w:t>
      </w:r>
      <w:r>
        <w:rPr>
          <w:rtl w:val="true"/>
        </w:rPr>
        <w:t xml:space="preserve">, </w:t>
      </w:r>
      <w:r>
        <w:rPr>
          <w:rtl w:val="true"/>
        </w:rPr>
        <w:t>וחבט במתלוננת בשלישית</w:t>
      </w:r>
      <w:r>
        <w:rPr>
          <w:rtl w:val="true"/>
        </w:rPr>
        <w:t xml:space="preserve">. </w:t>
      </w:r>
      <w:r>
        <w:rPr>
          <w:rtl w:val="true"/>
        </w:rPr>
        <w:t>המתלוננת דיממה בעוצמה</w:t>
      </w:r>
      <w:r>
        <w:rPr>
          <w:rtl w:val="true"/>
        </w:rPr>
        <w:t xml:space="preserve">, </w:t>
      </w:r>
      <w:r>
        <w:rPr>
          <w:rtl w:val="true"/>
        </w:rPr>
        <w:t>והתחננה שהמערער יניח 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גרר המערער את המתלוננת לחדר האמבטיה</w:t>
      </w:r>
      <w:r>
        <w:rPr>
          <w:rtl w:val="true"/>
        </w:rPr>
        <w:t xml:space="preserve">, </w:t>
      </w:r>
      <w:r>
        <w:rPr>
          <w:rtl w:val="true"/>
        </w:rPr>
        <w:t>הושיבה במקלחת</w:t>
      </w:r>
      <w:r>
        <w:rPr>
          <w:rtl w:val="true"/>
        </w:rPr>
        <w:t xml:space="preserve">, </w:t>
      </w:r>
      <w:r>
        <w:rPr>
          <w:rtl w:val="true"/>
        </w:rPr>
        <w:t>ופתח את זרם המים עליה</w:t>
      </w:r>
      <w:r>
        <w:rPr>
          <w:rtl w:val="true"/>
        </w:rPr>
        <w:t xml:space="preserve">. </w:t>
      </w:r>
      <w:r>
        <w:rPr>
          <w:rtl w:val="true"/>
        </w:rPr>
        <w:t>כאשר נעמדה המתלוננת על רגליה</w:t>
      </w:r>
      <w:r>
        <w:rPr>
          <w:rtl w:val="true"/>
        </w:rPr>
        <w:t xml:space="preserve">, </w:t>
      </w:r>
      <w:r>
        <w:rPr>
          <w:rtl w:val="true"/>
        </w:rPr>
        <w:t>המערער הניף את הפטיש כשהוא מאיים עליה שיכה בה שוב אם לא תשב</w:t>
      </w:r>
      <w:r>
        <w:rPr>
          <w:rtl w:val="true"/>
        </w:rPr>
        <w:t xml:space="preserve">. </w:t>
      </w:r>
      <w:r>
        <w:rPr>
          <w:rtl w:val="true"/>
        </w:rPr>
        <w:t>המתלוננת ניסתה לצאת מהמקלחת</w:t>
      </w:r>
      <w:r>
        <w:rPr>
          <w:rtl w:val="true"/>
        </w:rPr>
        <w:t xml:space="preserve">, </w:t>
      </w:r>
      <w:r>
        <w:rPr>
          <w:rtl w:val="true"/>
        </w:rPr>
        <w:t>אך המערער החזיקהּ עד שסבר שהדימום נפסק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765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כי בכתב האישום יוחסה למערער גם עבירה של ניסיון חבלה בכוונה מחמירה באמצעות מיכל גז למילוי מצתים</w:t>
      </w:r>
      <w:r>
        <w:rPr>
          <w:rtl w:val="true"/>
        </w:rPr>
        <w:t xml:space="preserve">, </w:t>
      </w:r>
      <w:r>
        <w:rPr>
          <w:rtl w:val="true"/>
        </w:rPr>
        <w:t>שאירע על פי הנטען בהמשך למתואר לעיל</w:t>
      </w:r>
      <w:r>
        <w:rPr>
          <w:rtl w:val="true"/>
        </w:rPr>
        <w:t xml:space="preserve">, </w:t>
      </w:r>
      <w:r>
        <w:rPr>
          <w:rtl w:val="true"/>
        </w:rPr>
        <w:t>ואולם המערער זוכה מעבירה זו לאחר שנקבע כי גרסת המתלוננת בעניין זה עמומה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765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>כתוצאה ממעשי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אושפזה המתלוננת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 בבית החולים</w:t>
      </w:r>
      <w:r>
        <w:rPr>
          <w:rtl w:val="true"/>
        </w:rPr>
        <w:t xml:space="preserve">, </w:t>
      </w:r>
      <w:r>
        <w:rPr>
          <w:rtl w:val="true"/>
        </w:rPr>
        <w:t>ונגרמו לה חבלות חמורות בראשה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להשלמת התמונה יובהר כי המערער לא חלק על כך שבמועד האמור היכה בראשה של המתלוננת באמצעות הפטיש מספר פעמים</w:t>
      </w:r>
      <w:r>
        <w:rPr>
          <w:rtl w:val="true"/>
        </w:rPr>
        <w:t xml:space="preserve">, </w:t>
      </w:r>
      <w:r>
        <w:rPr>
          <w:rtl w:val="true"/>
        </w:rPr>
        <w:t>אך הכחיש פרטים אחרים בתיאור המתלוננת את האירוע</w:t>
      </w:r>
      <w:r>
        <w:rPr>
          <w:rtl w:val="true"/>
        </w:rPr>
        <w:t xml:space="preserve">, </w:t>
      </w:r>
      <w:r>
        <w:rPr>
          <w:rtl w:val="true"/>
        </w:rPr>
        <w:t>וטען כי לא השמיע כלפיה בעבר איומים שירצח אותה</w:t>
      </w:r>
      <w:r>
        <w:rPr>
          <w:rtl w:val="true"/>
        </w:rPr>
        <w:t xml:space="preserve">. </w:t>
      </w:r>
      <w:r>
        <w:rPr>
          <w:rtl w:val="true"/>
        </w:rPr>
        <w:t xml:space="preserve">עוד טען המערער כי את אשר ביצע עשה תחת השפעת סמים מסוג </w:t>
      </w:r>
      <w:r>
        <w:rPr>
          <w:rtl w:val="true"/>
        </w:rPr>
        <w:t>"</w:t>
      </w:r>
      <w:r>
        <w:rPr>
          <w:rtl w:val="true"/>
        </w:rPr>
        <w:t>נייס גאי</w:t>
      </w:r>
      <w:r>
        <w:rPr>
          <w:rtl w:val="true"/>
        </w:rPr>
        <w:t xml:space="preserve">", </w:t>
      </w:r>
      <w:r>
        <w:rPr>
          <w:rtl w:val="true"/>
        </w:rPr>
        <w:t>אותם צרך באותה תקופה באופן קבוע</w:t>
      </w:r>
      <w:r>
        <w:rPr>
          <w:rtl w:val="true"/>
        </w:rPr>
        <w:t xml:space="preserve">. </w:t>
      </w:r>
      <w:r>
        <w:rPr>
          <w:rtl w:val="true"/>
        </w:rPr>
        <w:t>בית המשפט קמא ביכר את גרסתה של המתלוננת על פני גרסתו של המערער הן לעניין האיומים שהשמיע המערער על חייה</w:t>
      </w:r>
      <w:r>
        <w:rPr>
          <w:rtl w:val="true"/>
        </w:rPr>
        <w:t xml:space="preserve">, </w:t>
      </w:r>
      <w:r>
        <w:rPr>
          <w:rtl w:val="true"/>
        </w:rPr>
        <w:t>והן לעניין מהלך התרחשות האירוע עצמו</w:t>
      </w:r>
      <w:r>
        <w:rPr>
          <w:rtl w:val="true"/>
        </w:rPr>
        <w:t xml:space="preserve">. </w:t>
      </w:r>
      <w:r>
        <w:rPr>
          <w:rtl w:val="true"/>
        </w:rPr>
        <w:t xml:space="preserve">כן דחה בית המשפט את טענותיו של המערער כי על מעשיו חל סייג השכרות החלקית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בשל היותו תחת השפעת סמים</w:t>
      </w:r>
      <w:r>
        <w:rPr>
          <w:rtl w:val="true"/>
        </w:rPr>
        <w:t xml:space="preserve">, </w:t>
      </w:r>
      <w:r>
        <w:rPr>
          <w:rtl w:val="true"/>
        </w:rPr>
        <w:t>שכן לא עמד בנטל ההוכחה של קיומו של הסייג</w:t>
      </w:r>
      <w:r>
        <w:rPr>
          <w:rtl w:val="true"/>
        </w:rPr>
        <w:t xml:space="preserve">. </w:t>
      </w:r>
      <w:r>
        <w:rPr>
          <w:rtl w:val="true"/>
        </w:rPr>
        <w:t xml:space="preserve">לפי קביעת בית המשפט קמא המערער תקף את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מתווספים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חשדותיו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דין</w:t>
      </w:r>
    </w:p>
    <w:p>
      <w:pPr>
        <w:pStyle w:val="Ruller4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בגזר דינו מיום </w:t>
      </w:r>
      <w:r>
        <w:rPr/>
        <w:t>18.7.2016</w:t>
      </w:r>
      <w:r>
        <w:rPr>
          <w:rtl w:val="true"/>
        </w:rPr>
        <w:t xml:space="preserve"> </w:t>
      </w:r>
      <w:r>
        <w:rPr>
          <w:rtl w:val="true"/>
        </w:rPr>
        <w:t>קבע בית המשפט קמא כי יש להתייחס לכלל העבירות בהן הורשע המערער כאירוע אחד לצורך קביעת מתחם ענישה הולם אחד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המערער פגע בשלומה</w:t>
      </w:r>
      <w:r>
        <w:rPr>
          <w:rtl w:val="true"/>
        </w:rPr>
        <w:t xml:space="preserve">, </w:t>
      </w:r>
      <w:r>
        <w:rPr>
          <w:rtl w:val="true"/>
        </w:rPr>
        <w:t>שלמות גופה ובחייה של המתלוננת בעבירת החבלה</w:t>
      </w:r>
      <w:r>
        <w:rPr>
          <w:rtl w:val="true"/>
        </w:rPr>
        <w:t xml:space="preserve">, </w:t>
      </w:r>
      <w:r>
        <w:rPr>
          <w:rtl w:val="true"/>
        </w:rPr>
        <w:t>ופגע בחופש הפעולה והרצון שלה בעבירת האיומים</w:t>
      </w:r>
      <w:r>
        <w:rPr>
          <w:rtl w:val="true"/>
        </w:rPr>
        <w:t xml:space="preserve">. </w:t>
      </w:r>
      <w:r>
        <w:rPr>
          <w:rtl w:val="true"/>
        </w:rPr>
        <w:t>בבואו לקבוע את מתחם העונש ההולם עמד בית המשפט על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חייה של המתלוננת בצל איומי הרצח</w:t>
      </w:r>
      <w:r>
        <w:rPr>
          <w:rtl w:val="true"/>
        </w:rPr>
        <w:t xml:space="preserve">; </w:t>
      </w:r>
      <w:r>
        <w:rPr>
          <w:rtl w:val="true"/>
        </w:rPr>
        <w:t>אירוע האלימות שבו השתמש המערער בפטיש לצורך הכאת המתלוננת בפניה ובראשה</w:t>
      </w:r>
      <w:r>
        <w:rPr>
          <w:rtl w:val="true"/>
        </w:rPr>
        <w:t xml:space="preserve">; </w:t>
      </w:r>
      <w:r>
        <w:rPr>
          <w:rtl w:val="true"/>
        </w:rPr>
        <w:t>התעלמותו מתחינותיה ומבכייה לכל אורך האירוע</w:t>
      </w:r>
      <w:r>
        <w:rPr>
          <w:rtl w:val="true"/>
        </w:rPr>
        <w:t xml:space="preserve">; </w:t>
      </w:r>
      <w:r>
        <w:rPr>
          <w:rtl w:val="true"/>
        </w:rPr>
        <w:t>והנזק הפיזי והנפשי שנגרם למתלוננת</w:t>
      </w:r>
      <w:r>
        <w:rPr>
          <w:rtl w:val="true"/>
        </w:rPr>
        <w:t xml:space="preserve">, </w:t>
      </w:r>
      <w:r>
        <w:rPr>
          <w:rtl w:val="true"/>
        </w:rPr>
        <w:t>שאף היה עלול להיות חמור יותר</w:t>
      </w:r>
      <w:r>
        <w:rPr>
          <w:rtl w:val="true"/>
        </w:rPr>
        <w:t xml:space="preserve">. </w:t>
      </w:r>
      <w:r>
        <w:rPr>
          <w:rtl w:val="true"/>
        </w:rPr>
        <w:t>עוד ציין בית המשפט</w:t>
      </w:r>
      <w:r>
        <w:rPr>
          <w:rtl w:val="true"/>
        </w:rPr>
        <w:t xml:space="preserve">, </w:t>
      </w:r>
      <w:r>
        <w:rPr>
          <w:rtl w:val="true"/>
        </w:rPr>
        <w:t>כי אמנם לא ניתן לומר שהמעשים בוצעו על רקע תכנון מוקדם</w:t>
      </w:r>
      <w:r>
        <w:rPr>
          <w:rtl w:val="true"/>
        </w:rPr>
        <w:t xml:space="preserve">, </w:t>
      </w:r>
      <w:r>
        <w:rPr>
          <w:rtl w:val="true"/>
        </w:rPr>
        <w:t>אך עם זאת יש לזקוף לחובתו של המערער את העובדה שמדובר בהוצאה לפועל של איומים קודמים כלפי המתלוננת</w:t>
      </w:r>
      <w:r>
        <w:rPr>
          <w:rtl w:val="true"/>
        </w:rPr>
        <w:t xml:space="preserve">. </w:t>
      </w:r>
      <w:r>
        <w:rPr>
          <w:rtl w:val="true"/>
        </w:rPr>
        <w:t>סיכומו של עניין</w:t>
      </w:r>
      <w:r>
        <w:rPr>
          <w:rtl w:val="true"/>
        </w:rPr>
        <w:t xml:space="preserve">, </w:t>
      </w:r>
      <w:r>
        <w:rPr>
          <w:rtl w:val="true"/>
        </w:rPr>
        <w:t>ובהתייחס למדיניות הענישה המחמירה הנהוגה במקרי אלימות במשפחה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מתחם הענישה הראוי הוא בטווח שבין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לצורך 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את היעדר נטילת האחריות ואי גילוי אמפתיה כלפי המתלוננת</w:t>
      </w:r>
      <w:r>
        <w:rPr>
          <w:rtl w:val="true"/>
        </w:rPr>
        <w:t xml:space="preserve">, </w:t>
      </w:r>
      <w:r>
        <w:rPr>
          <w:rtl w:val="true"/>
        </w:rPr>
        <w:t>כפי שעולה מתסקיר שירות המבחן בעניינו של המערער</w:t>
      </w:r>
      <w:r>
        <w:rPr>
          <w:rtl w:val="true"/>
        </w:rPr>
        <w:t xml:space="preserve">; </w:t>
      </w:r>
      <w:r>
        <w:rPr>
          <w:rtl w:val="true"/>
        </w:rPr>
        <w:t>את עברו הפלילי הקודם של המערער</w:t>
      </w:r>
      <w:r>
        <w:rPr>
          <w:rtl w:val="true"/>
        </w:rPr>
        <w:t xml:space="preserve">, </w:t>
      </w:r>
      <w:r>
        <w:rPr>
          <w:rtl w:val="true"/>
        </w:rPr>
        <w:t>הכולל ארבע 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מתוכן שתיים בגין תקיפה של בת זוג </w:t>
      </w:r>
      <w:r>
        <w:rPr>
          <w:rtl w:val="true"/>
        </w:rPr>
        <w:t>(</w:t>
      </w:r>
      <w:r>
        <w:rPr>
          <w:rtl w:val="true"/>
        </w:rPr>
        <w:t>הרשעות שהתיישנו</w:t>
      </w:r>
      <w:r>
        <w:rPr>
          <w:rtl w:val="true"/>
        </w:rPr>
        <w:t xml:space="preserve">, </w:t>
      </w:r>
      <w:r>
        <w:rPr>
          <w:rtl w:val="true"/>
        </w:rPr>
        <w:t>אך לא נמחקו</w:t>
      </w:r>
      <w:r>
        <w:rPr>
          <w:rtl w:val="true"/>
        </w:rPr>
        <w:t xml:space="preserve">); </w:t>
      </w:r>
      <w:r>
        <w:rPr>
          <w:rtl w:val="true"/>
        </w:rPr>
        <w:t>ואת הערכת שירות המבחן בדבר מסוכנותו הגבוהה כלפי המתלוננת</w:t>
      </w:r>
      <w:r>
        <w:rPr>
          <w:rtl w:val="true"/>
        </w:rPr>
        <w:t xml:space="preserve">. </w:t>
      </w:r>
      <w:r>
        <w:rPr>
          <w:rtl w:val="true"/>
        </w:rPr>
        <w:t>עוד ציין בית המשפט</w:t>
      </w:r>
      <w:r>
        <w:rPr>
          <w:rtl w:val="true"/>
        </w:rPr>
        <w:t xml:space="preserve">, </w:t>
      </w:r>
      <w:r>
        <w:rPr>
          <w:rtl w:val="true"/>
        </w:rPr>
        <w:t>כי נוכח מסוכנות זו</w:t>
      </w:r>
      <w:r>
        <w:rPr>
          <w:rtl w:val="true"/>
        </w:rPr>
        <w:t xml:space="preserve">, </w:t>
      </w:r>
      <w:r>
        <w:rPr>
          <w:rtl w:val="true"/>
        </w:rPr>
        <w:t>אין לראות בפגיעה שעשויה להיגרם לבנותיו של המערער ממאסרו משום שיקול להקל בעונשו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 xml:space="preserve">התייחס בית המשפט לכך שהמערער זוכה מאחת העבירות שיוחסו לו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עבירת הניסיון לחבלה בכוונה מחמירה</w:t>
      </w:r>
      <w:r>
        <w:rPr>
          <w:rtl w:val="true"/>
        </w:rPr>
        <w:t xml:space="preserve">, </w:t>
      </w:r>
      <w:r>
        <w:rPr>
          <w:rtl w:val="true"/>
        </w:rPr>
        <w:t>על אף שצוין כי עבירה זו אינה מרכזית</w:t>
      </w:r>
      <w:r>
        <w:rPr>
          <w:rtl w:val="true"/>
        </w:rPr>
        <w:t xml:space="preserve">), </w:t>
      </w:r>
      <w:r>
        <w:rPr>
          <w:rtl w:val="true"/>
        </w:rPr>
        <w:t>וכי המערער לא ניהל הליך סרק והתמקד במסגרת הליך ההוכחות בשאלות הרלבנטיות שדרשו הכרעה</w:t>
      </w:r>
      <w:r>
        <w:rPr>
          <w:rtl w:val="true"/>
        </w:rPr>
        <w:t xml:space="preserve">. </w:t>
      </w:r>
      <w:r>
        <w:rPr>
          <w:rtl w:val="true"/>
        </w:rPr>
        <w:t>עוד התייחס בית המשפט להתנהלות גורמי התביעה</w:t>
      </w:r>
      <w:r>
        <w:rPr>
          <w:rtl w:val="true"/>
        </w:rPr>
        <w:t xml:space="preserve">, </w:t>
      </w:r>
      <w:r>
        <w:rPr>
          <w:rtl w:val="true"/>
        </w:rPr>
        <w:t>שהובילה לכך שכתב האישום הוגש בתחילה לבית משפט השלום ורק לאחר מכן הועבר ההליך לבית המשפט המחוזי</w:t>
      </w:r>
      <w:r>
        <w:rPr>
          <w:rtl w:val="true"/>
        </w:rPr>
        <w:t xml:space="preserve">, </w:t>
      </w:r>
      <w:r>
        <w:rPr>
          <w:rtl w:val="true"/>
        </w:rPr>
        <w:t>כל זאת בזמן שהמערער שוהה במעצר</w:t>
      </w:r>
      <w:r>
        <w:rPr>
          <w:rtl w:val="true"/>
        </w:rPr>
        <w:t xml:space="preserve">; </w:t>
      </w:r>
      <w:r>
        <w:rPr>
          <w:rtl w:val="true"/>
        </w:rPr>
        <w:t>וכך גם נסיבות חייו המורכבות</w:t>
      </w:r>
      <w:r>
        <w:rPr>
          <w:rtl w:val="true"/>
        </w:rPr>
        <w:t xml:space="preserve">, </w:t>
      </w:r>
      <w:r>
        <w:rPr>
          <w:rtl w:val="true"/>
        </w:rPr>
        <w:t>והנכות הפיזית והנפשית שלו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בית המשפט נתן משקל מצומצם לבקשת המתלוננת להקל בעונשו של המערער נוכח רצונה שהמערער ישמור על קשר עם בנותיו</w:t>
      </w:r>
      <w:r>
        <w:rPr>
          <w:rtl w:val="true"/>
        </w:rPr>
        <w:t xml:space="preserve">. </w:t>
      </w:r>
      <w:r>
        <w:rPr>
          <w:rtl w:val="true"/>
        </w:rPr>
        <w:t xml:space="preserve">על סמך אלה הוטל על המערער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 בניכוי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כאשר התנאי הוא כי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 לא יעבור המערער עבירות אלימות כנגד הגוף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כאשר התנאי הוא כי במשך שלוש שנים מיום שחרורו ממאסר לא יעבור המערער עבירת איומים</w:t>
      </w:r>
      <w:r>
        <w:rPr>
          <w:rtl w:val="true"/>
        </w:rPr>
        <w:t xml:space="preserve">; </w:t>
      </w:r>
      <w:r>
        <w:rPr>
          <w:rtl w:val="true"/>
        </w:rPr>
        <w:t xml:space="preserve">ותשלום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תמצית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הגיש ערעור הן על הכרעת הדין והן על גזר הדין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 ששמע את הערות המותב לעניין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הודיע המערער כי הוא חוזר בו מחלק זה של הערעור</w:t>
      </w:r>
      <w:r>
        <w:rPr>
          <w:rtl w:val="true"/>
        </w:rPr>
        <w:t xml:space="preserve">, </w:t>
      </w:r>
      <w:r>
        <w:rPr>
          <w:rtl w:val="true"/>
        </w:rPr>
        <w:t>ומתמקד בטענותיו לעניין גזר 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מלין על משך עונש המאסר בפועל שהושת עליו</w:t>
      </w:r>
      <w:r>
        <w:rPr>
          <w:rtl w:val="true"/>
        </w:rPr>
        <w:t xml:space="preserve">. </w:t>
      </w:r>
      <w:r>
        <w:rPr>
          <w:rtl w:val="true"/>
        </w:rPr>
        <w:t>לדידו של המערער</w:t>
      </w:r>
      <w:r>
        <w:rPr>
          <w:rtl w:val="true"/>
        </w:rPr>
        <w:t xml:space="preserve">, </w:t>
      </w:r>
      <w:r>
        <w:rPr>
          <w:rtl w:val="true"/>
        </w:rPr>
        <w:t>שגה בית המשפט קמא כאשר לא קבע כי העונש שיושת עליו יהא בהתאם לרף התחתון במתחם הענישה שנקבע בעניינו</w:t>
      </w:r>
      <w:r>
        <w:rPr>
          <w:rtl w:val="true"/>
        </w:rPr>
        <w:t xml:space="preserve">, </w:t>
      </w:r>
      <w:r>
        <w:rPr>
          <w:rtl w:val="true"/>
        </w:rPr>
        <w:t>זאת בהתחשב בנסיבות הבאות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כי מעשיו של המערער לא נבעו מכוונה מובהקת והם נעדרים תכנון מוקדם</w:t>
      </w:r>
      <w:r>
        <w:rPr>
          <w:rtl w:val="true"/>
        </w:rPr>
        <w:t xml:space="preserve">, </w:t>
      </w:r>
      <w:r>
        <w:rPr>
          <w:rtl w:val="true"/>
        </w:rPr>
        <w:t>אלא משקפים את חוסר השליטה וסערת הרגשות שבה היה מצוי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כי הנזק שנגרם למתלוננת לא היה בלתי הפיך</w:t>
      </w:r>
      <w:r>
        <w:rPr>
          <w:rtl w:val="true"/>
        </w:rPr>
        <w:t xml:space="preserve">, </w:t>
      </w:r>
      <w:r>
        <w:rPr>
          <w:rtl w:val="true"/>
        </w:rPr>
        <w:t>והיא נדרשה לטיפול מינימלי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כי ביחס לענישה בעבירות אלימות במשפחה</w:t>
      </w:r>
      <w:r>
        <w:rPr>
          <w:rtl w:val="true"/>
        </w:rPr>
        <w:t xml:space="preserve">, </w:t>
      </w:r>
      <w:r>
        <w:rPr>
          <w:rtl w:val="true"/>
        </w:rPr>
        <w:t>הרי שמעשיו לא כללו התעללות ממושכת או תקיפה מינית</w:t>
      </w:r>
      <w:r>
        <w:rPr>
          <w:rtl w:val="true"/>
        </w:rPr>
        <w:t xml:space="preserve">, </w:t>
      </w:r>
      <w:r>
        <w:rPr>
          <w:rtl w:val="true"/>
        </w:rPr>
        <w:t>ועל כן ביחס למקרים אחרים מעשיו מצויים ברף התחתון של מתחם הענישה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הצביע המערער על נסיבותיו האישיות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, </w:t>
      </w:r>
      <w:r>
        <w:rPr>
          <w:rtl w:val="true"/>
        </w:rPr>
        <w:t>רקע משפחתי קשה</w:t>
      </w:r>
      <w:r>
        <w:rPr>
          <w:rtl w:val="true"/>
        </w:rPr>
        <w:t xml:space="preserve">, </w:t>
      </w:r>
      <w:r>
        <w:rPr>
          <w:rtl w:val="true"/>
        </w:rPr>
        <w:t>ותאונת דרכים שעבר</w:t>
      </w:r>
      <w:r>
        <w:rPr>
          <w:rtl w:val="true"/>
        </w:rPr>
        <w:t xml:space="preserve">, </w:t>
      </w:r>
      <w:r>
        <w:rPr>
          <w:rtl w:val="true"/>
        </w:rPr>
        <w:t>שלאחריה סבל מנכות פיזית ונפשית שהובילה להתמכרות ל</w:t>
      </w:r>
      <w:r>
        <w:rPr>
          <w:rtl w:val="true"/>
        </w:rPr>
        <w:t>"</w:t>
      </w:r>
      <w:r>
        <w:rPr>
          <w:rtl w:val="true"/>
        </w:rPr>
        <w:t>סמי פיצוציות</w:t>
      </w:r>
      <w:r>
        <w:rPr>
          <w:rtl w:val="true"/>
        </w:rPr>
        <w:t>";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טוען המערער כי הערכת המסוכנות בעניינו אינה מדויקת</w:t>
      </w:r>
      <w:r>
        <w:rPr>
          <w:rtl w:val="true"/>
        </w:rPr>
        <w:t xml:space="preserve">, </w:t>
      </w:r>
      <w:r>
        <w:rPr>
          <w:rtl w:val="true"/>
        </w:rPr>
        <w:t>ועל אף החשש כי הקרבה הפיזית למתלוננת תסכן אותה</w:t>
      </w:r>
      <w:r>
        <w:rPr>
          <w:rtl w:val="true"/>
        </w:rPr>
        <w:t xml:space="preserve">, </w:t>
      </w:r>
      <w:r>
        <w:rPr>
          <w:rtl w:val="true"/>
        </w:rPr>
        <w:t>הרי מאחר שהמתלוננת צפויה לעזוב את ביתה במתחם המגורים המשותף</w:t>
      </w:r>
      <w:r>
        <w:rPr>
          <w:rtl w:val="true"/>
        </w:rPr>
        <w:t xml:space="preserve">, </w:t>
      </w:r>
      <w:r>
        <w:rPr>
          <w:rtl w:val="true"/>
        </w:rPr>
        <w:t>מסוכנותו פוחתת</w:t>
      </w:r>
      <w:r>
        <w:rPr>
          <w:rtl w:val="true"/>
        </w:rPr>
        <w:t xml:space="preserve">; </w:t>
      </w:r>
      <w:r>
        <w:rPr>
          <w:rFonts w:cs="Miriam"/>
          <w:szCs w:val="24"/>
          <w:rtl w:val="true"/>
        </w:rPr>
        <w:t>שישית</w:t>
      </w:r>
      <w:r>
        <w:rPr>
          <w:rtl w:val="true"/>
        </w:rPr>
        <w:t xml:space="preserve">, </w:t>
      </w:r>
      <w:r>
        <w:rPr>
          <w:rtl w:val="true"/>
        </w:rPr>
        <w:t>התייחס המערער למחדלי חקירה שלטענתו התקיימו בעניינו</w:t>
      </w:r>
      <w:r>
        <w:rPr>
          <w:rtl w:val="true"/>
        </w:rPr>
        <w:t xml:space="preserve">. </w:t>
      </w:r>
      <w:r>
        <w:rPr>
          <w:rtl w:val="true"/>
        </w:rPr>
        <w:t>בנוסף טען המערער כי בהכרעת הדין לא נכללה באופן מפורש התייחסות לגרירת המתלוננת למקלחת</w:t>
      </w:r>
      <w:r>
        <w:rPr>
          <w:rtl w:val="true"/>
        </w:rPr>
        <w:t xml:space="preserve">, </w:t>
      </w:r>
      <w:r>
        <w:rPr>
          <w:rtl w:val="true"/>
        </w:rPr>
        <w:t>לפתיחת זרם המים</w:t>
      </w:r>
      <w:r>
        <w:rPr>
          <w:rtl w:val="true"/>
        </w:rPr>
        <w:t xml:space="preserve">, </w:t>
      </w:r>
      <w:r>
        <w:rPr>
          <w:rtl w:val="true"/>
        </w:rPr>
        <w:t xml:space="preserve">ולהנפת הפטיש לעברה </w:t>
      </w:r>
      <w:r>
        <w:rPr>
          <w:rtl w:val="true"/>
        </w:rPr>
        <w:t>–</w:t>
      </w:r>
      <w:r>
        <w:rPr>
          <w:rtl w:val="true"/>
        </w:rPr>
        <w:t xml:space="preserve"> ועל כן לא היה מקום לתת משקל לנסיבות אלו במסגרת גזר הדין</w:t>
      </w:r>
      <w:r>
        <w:rPr>
          <w:rtl w:val="true"/>
        </w:rPr>
        <w:t xml:space="preserve">. </w:t>
      </w:r>
      <w:r>
        <w:rPr>
          <w:rtl w:val="true"/>
        </w:rPr>
        <w:t>כל אלה עולים כדי נסיבות המצדיקות את ההקלה בעונשו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סומכת את ידיה על פסק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מתייחסת המשיבה למחלוקת הנוגעת להרחבת הבסיס העובדתי במסגרת גזר הדין</w:t>
      </w:r>
      <w:r>
        <w:rPr>
          <w:rtl w:val="true"/>
        </w:rPr>
        <w:t xml:space="preserve">, </w:t>
      </w:r>
      <w:r>
        <w:rPr>
          <w:rtl w:val="true"/>
        </w:rPr>
        <w:t>וטוענת כי העובדות הנוגעות לגרירת המתלוננת למקלחת לא שנויות במחלוקת</w:t>
      </w:r>
      <w:r>
        <w:rPr>
          <w:rtl w:val="true"/>
        </w:rPr>
        <w:t xml:space="preserve">, </w:t>
      </w:r>
      <w:r>
        <w:rPr>
          <w:rtl w:val="true"/>
        </w:rPr>
        <w:t>או שנקבע בעניינן ממצא עובדתי בהכרעת הדין</w:t>
      </w:r>
      <w:r>
        <w:rPr>
          <w:rtl w:val="true"/>
        </w:rPr>
        <w:t xml:space="preserve">, </w:t>
      </w:r>
      <w:r>
        <w:rPr>
          <w:rtl w:val="true"/>
        </w:rPr>
        <w:t>ועל כן אין מקום להתערב בהן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בסיום הדיון ביקש המערער לפנות בדברים לבית המשפט</w:t>
      </w:r>
      <w:r>
        <w:rPr>
          <w:rtl w:val="true"/>
        </w:rPr>
        <w:t xml:space="preserve">, </w:t>
      </w:r>
      <w:r>
        <w:rPr>
          <w:rtl w:val="true"/>
        </w:rPr>
        <w:t>ורצונו כובד</w:t>
      </w:r>
      <w:r>
        <w:rPr>
          <w:rtl w:val="true"/>
        </w:rPr>
        <w:t xml:space="preserve">. </w:t>
      </w:r>
      <w:r>
        <w:rPr>
          <w:rtl w:val="true"/>
        </w:rPr>
        <w:t xml:space="preserve">בדבריו ביקש המערער את רחמי בית המשפט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שתקלו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tl w:val="true"/>
        </w:rPr>
        <w:t xml:space="preserve">"), </w:t>
      </w:r>
      <w:r>
        <w:rPr>
          <w:rtl w:val="true"/>
        </w:rPr>
        <w:t xml:space="preserve">הצביע על הליך השיקום שעבר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tl w:val="true"/>
        </w:rPr>
        <w:t xml:space="preserve">") </w:t>
      </w:r>
      <w:r>
        <w:rPr>
          <w:rtl w:val="true"/>
        </w:rPr>
        <w:t xml:space="preserve">אבל גם ביקש להמעיט מחומרת מעשיו ומרמת מסוכנותו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tl w:val="true"/>
        </w:rPr>
        <w:t>").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שעיינו בערעור ובצרופותיו ושמענו את באי כוח הצדדים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גם דין הערעור על גזר הדין להידחות</w:t>
      </w:r>
      <w:r>
        <w:rPr>
          <w:rtl w:val="true"/>
        </w:rPr>
        <w:t xml:space="preserve">, </w:t>
      </w:r>
      <w:r>
        <w:rPr>
          <w:rtl w:val="true"/>
        </w:rPr>
        <w:t>על סמך הנימוקים שיפורטו להלן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ידועה היא כי התערבות ערכאת הערעור בעונשים שנגזרו על ידי בית משפט קמא שמורה למקרים 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כשהעונש שנגזר חורג בצורה קיצונית ממדיניות הענישה במקרים דומים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6522/15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חאג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25.5.2016</w:t>
      </w:r>
      <w:r>
        <w:rPr>
          <w:rtl w:val="true"/>
        </w:rPr>
        <w:t>)</w:t>
      </w:r>
      <w:bookmarkStart w:id="19" w:name="Text1"/>
      <w:r>
        <w:rPr>
          <w:rtl w:val="true"/>
        </w:rPr>
        <w:t>;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7716/14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9"/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27.4.2015</w:t>
      </w:r>
      <w:r>
        <w:rPr>
          <w:rtl w:val="true"/>
        </w:rPr>
        <w:t xml:space="preserve">)). </w:t>
      </w:r>
      <w:r>
        <w:rPr>
          <w:rtl w:val="true"/>
        </w:rPr>
        <w:t>הערעור שלפנינו אינו מגלה אחת מעילות אלה</w:t>
      </w:r>
      <w:r>
        <w:rPr>
          <w:rtl w:val="true"/>
        </w:rPr>
        <w:t xml:space="preserve">, </w:t>
      </w:r>
      <w:r>
        <w:rPr>
          <w:rtl w:val="true"/>
        </w:rPr>
        <w:t>ואנו מוצאים כי יש להותיר את העונש על כנו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קבע</w:t>
      </w:r>
      <w:r>
        <w:rPr>
          <w:rtl w:val="true"/>
        </w:rPr>
        <w:t xml:space="preserve">, </w:t>
      </w:r>
      <w:r>
        <w:rPr>
          <w:rtl w:val="true"/>
        </w:rPr>
        <w:t>וחזר וקבע</w:t>
      </w:r>
      <w:r>
        <w:rPr>
          <w:rtl w:val="true"/>
        </w:rPr>
        <w:t xml:space="preserve">, </w:t>
      </w:r>
      <w:r>
        <w:rPr>
          <w:rtl w:val="true"/>
        </w:rPr>
        <w:t xml:space="preserve">כי עבירות אלימות נגד נשים במסגרת התא המשפחתי יזכו ליחס מחמיר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דובגילנוק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31.3.2015</w:t>
      </w:r>
      <w:r>
        <w:rPr>
          <w:rtl w:val="true"/>
        </w:rPr>
        <w:t xml:space="preserve">);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305/12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צוובנר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24.6.2013</w:t>
      </w:r>
      <w:r>
        <w:rPr>
          <w:rtl w:val="true"/>
        </w:rPr>
        <w:t xml:space="preserve">)). </w:t>
      </w:r>
      <w:r>
        <w:rPr>
          <w:rtl w:val="true"/>
        </w:rPr>
        <w:t>החמרת הענישה במקרים אלה מייצגת את חשיבותו של הערך המוגן שמונח על הכף</w:t>
      </w:r>
      <w:r>
        <w:rPr>
          <w:rtl w:val="true"/>
        </w:rPr>
        <w:t xml:space="preserve">, </w:t>
      </w:r>
      <w:r>
        <w:rPr>
          <w:rtl w:val="true"/>
        </w:rPr>
        <w:t xml:space="preserve">והוא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מבצרה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משפחתה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העונש שנגזר על המערער עולה בקנה אחד עם מגמה זו</w:t>
      </w:r>
      <w:r>
        <w:rPr>
          <w:rtl w:val="true"/>
        </w:rPr>
        <w:t xml:space="preserve">, </w:t>
      </w:r>
      <w:r>
        <w:rPr>
          <w:rtl w:val="true"/>
        </w:rPr>
        <w:t>והוא הולם את חומרת מעשיו</w:t>
      </w:r>
      <w:r>
        <w:rPr>
          <w:rtl w:val="true"/>
        </w:rPr>
        <w:t xml:space="preserve">. </w:t>
      </w:r>
      <w:r>
        <w:rPr>
          <w:rtl w:val="true"/>
        </w:rPr>
        <w:t>המערער היכה במתלוננת בפטיש כשהוא מכוון לפניה ולראשה</w:t>
      </w:r>
      <w:r>
        <w:rPr>
          <w:rtl w:val="true"/>
        </w:rPr>
        <w:t xml:space="preserve">, </w:t>
      </w:r>
      <w:r>
        <w:rPr>
          <w:rtl w:val="true"/>
        </w:rPr>
        <w:t xml:space="preserve">חנק אותה </w:t>
      </w:r>
      <w:r>
        <w:rPr>
          <w:rtl w:val="true"/>
        </w:rPr>
        <w:t>–</w:t>
      </w:r>
      <w:r>
        <w:rPr>
          <w:rtl w:val="true"/>
        </w:rPr>
        <w:t xml:space="preserve"> תוך שהוא אינו שועה לתחנוניה כי יחדל ממעשיו </w:t>
      </w:r>
      <w:r>
        <w:rPr>
          <w:rtl w:val="true"/>
        </w:rPr>
        <w:t>–</w:t>
      </w:r>
      <w:r>
        <w:rPr>
          <w:rtl w:val="true"/>
        </w:rPr>
        <w:t xml:space="preserve"> וזאת על רקע תקופה בת כשנתיים לאחר פרידתם</w:t>
      </w:r>
      <w:r>
        <w:rPr>
          <w:rtl w:val="true"/>
        </w:rPr>
        <w:t xml:space="preserve">, </w:t>
      </w:r>
      <w:r>
        <w:rPr>
          <w:rtl w:val="true"/>
        </w:rPr>
        <w:t>במהלכה הוסיף להצר את צעדיה</w:t>
      </w:r>
      <w:r>
        <w:rPr>
          <w:rtl w:val="true"/>
        </w:rPr>
        <w:t xml:space="preserve">, </w:t>
      </w:r>
      <w:r>
        <w:rPr>
          <w:rtl w:val="true"/>
        </w:rPr>
        <w:t>ואף השמיע מעת לעת איומים על חייה</w:t>
      </w:r>
      <w:r>
        <w:rPr>
          <w:rtl w:val="true"/>
        </w:rPr>
        <w:t xml:space="preserve">. </w:t>
      </w:r>
      <w:r>
        <w:rPr>
          <w:rtl w:val="true"/>
        </w:rPr>
        <w:t>לא רק שהמערער פגע בשלמות גופה</w:t>
      </w:r>
      <w:r>
        <w:rPr>
          <w:rtl w:val="true"/>
        </w:rPr>
        <w:t xml:space="preserve">, </w:t>
      </w:r>
      <w:r>
        <w:rPr>
          <w:rtl w:val="true"/>
        </w:rPr>
        <w:t xml:space="preserve">אלא שבמעשיו פגע גם בחירותה הבסיסית של המתלוננת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להחליט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לבד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תהיה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ביחד</w:t>
      </w:r>
      <w:r>
        <w:rPr>
          <w:spacing w:val="0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חוה </w:t>
      </w:r>
      <w:hyperlink r:id="rId2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דיין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"'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אם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לא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תהיי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שלי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</w:hyperlink>
      <w:r>
        <w:rPr>
          <w:spacing w:val="0"/>
          <w:sz w:val="28"/>
          <w:sz w:val="28"/>
          <w:rtl w:val="true"/>
        </w:rPr>
        <w:t xml:space="preserve"> </w:t>
      </w:r>
      <w:r>
        <w:rPr>
          <w:spacing w:val="0"/>
          <w:sz w:val="28"/>
          <w:sz w:val="28"/>
          <w:rtl w:val="true"/>
        </w:rPr>
        <w:t>–</w:t>
      </w:r>
      <w:r>
        <w:rPr>
          <w:spacing w:val="0"/>
          <w:sz w:val="28"/>
          <w:sz w:val="28"/>
          <w:rtl w:val="true"/>
        </w:rPr>
        <w:t xml:space="preserve"> לא תהיי</w:t>
      </w:r>
      <w:r>
        <w:rPr>
          <w:spacing w:val="0"/>
          <w:sz w:val="28"/>
          <w:rtl w:val="true"/>
        </w:rPr>
        <w:t xml:space="preserve">': </w:t>
      </w:r>
      <w:r>
        <w:rPr>
          <w:spacing w:val="0"/>
          <w:sz w:val="28"/>
          <w:sz w:val="28"/>
          <w:rtl w:val="true"/>
        </w:rPr>
        <w:t xml:space="preserve">רצח נשים ותיקון מוצע לסעיף </w:t>
      </w:r>
      <w:r>
        <w:rPr>
          <w:spacing w:val="0"/>
          <w:sz w:val="28"/>
        </w:rPr>
        <w:t>301</w:t>
      </w:r>
      <w:r>
        <w:rPr>
          <w:spacing w:val="0"/>
          <w:sz w:val="28"/>
          <w:rtl w:val="true"/>
        </w:rPr>
        <w:t xml:space="preserve"> </w:t>
      </w:r>
      <w:r>
        <w:rPr>
          <w:spacing w:val="0"/>
          <w:sz w:val="28"/>
          <w:sz w:val="28"/>
          <w:rtl w:val="true"/>
        </w:rPr>
        <w:t>ל</w:t>
      </w:r>
      <w:hyperlink r:id="rId22">
        <w:r>
          <w:rPr>
            <w:rStyle w:val="Hyperlink"/>
            <w:color w:val="0000FF"/>
            <w:spacing w:val="0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0"/>
            <w:sz w:val="28"/>
            <w:sz w:val="28"/>
            <w:u w:val="single"/>
            <w:rtl w:val="true"/>
          </w:rPr>
          <w:t>העונשין</w:t>
        </w:r>
      </w:hyperlink>
      <w:r>
        <w:rPr>
          <w:spacing w:val="0"/>
          <w:sz w:val="28"/>
          <w:rtl w:val="true"/>
        </w:rPr>
        <w:t>"</w:t>
      </w:r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חוקים</w:t>
      </w:r>
      <w:r>
        <w:rPr>
          <w:rtl w:val="true"/>
        </w:rPr>
        <w:t xml:space="preserve"> ו </w:t>
      </w:r>
      <w:r>
        <w:rPr/>
        <w:t>205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 xml:space="preserve">)). </w:t>
      </w:r>
      <w:r>
        <w:rPr>
          <w:rtl w:val="true"/>
        </w:rPr>
        <w:t>את כל אלה ביצע המערער בדל</w:t>
      </w:r>
      <w:r>
        <w:rPr>
          <w:rtl w:val="true"/>
        </w:rPr>
        <w:t>"</w:t>
      </w:r>
      <w:r>
        <w:rPr>
          <w:rtl w:val="true"/>
        </w:rPr>
        <w:t>ת אמות ביתה של המתלוננת</w:t>
      </w:r>
      <w:r>
        <w:rPr>
          <w:rtl w:val="true"/>
        </w:rPr>
        <w:t xml:space="preserve">, </w:t>
      </w:r>
      <w:r>
        <w:rPr>
          <w:rtl w:val="true"/>
        </w:rPr>
        <w:t>המקום שבו היא אמורה להרגיש בטוחה ביותר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הורשע המערער בעבר בעבירות אלימות נגד בת זוג</w:t>
      </w:r>
      <w:r>
        <w:rPr>
          <w:rtl w:val="true"/>
        </w:rPr>
        <w:t xml:space="preserve">, </w:t>
      </w:r>
      <w:r>
        <w:rPr>
          <w:rtl w:val="true"/>
        </w:rPr>
        <w:t>ועל אף שלא ריצה עונש מאסר בפועל</w:t>
      </w:r>
      <w:r>
        <w:rPr>
          <w:rtl w:val="true"/>
        </w:rPr>
        <w:t xml:space="preserve">, </w:t>
      </w:r>
      <w:r>
        <w:rPr>
          <w:rtl w:val="true"/>
        </w:rPr>
        <w:t>ניכר כי הוא מגלה דפוס התנהגות חוזר שהסלים לאורך השנים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לא בכדי נגזרו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כעת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קמא שקל לחומרא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חומרת מעשיו של המערער ועברו האלים נגד בנות זוג</w:t>
      </w:r>
      <w:r>
        <w:rPr>
          <w:rtl w:val="true"/>
        </w:rPr>
        <w:t xml:space="preserve">, </w:t>
      </w:r>
      <w:r>
        <w:rPr>
          <w:rtl w:val="true"/>
        </w:rPr>
        <w:t xml:space="preserve">תוך שנתן משקל לקולא לנסיבותיו האישיות של המערער </w:t>
      </w:r>
      <w:r>
        <w:rPr>
          <w:rtl w:val="true"/>
        </w:rPr>
        <w:t>(</w:t>
      </w:r>
      <w:r>
        <w:rPr>
          <w:rtl w:val="true"/>
        </w:rPr>
        <w:t>ובהן זיכויו של המערער מעבירת הניסיון לחבלה בכוונה חמורה</w:t>
      </w:r>
      <w:r>
        <w:rPr>
          <w:rtl w:val="true"/>
        </w:rPr>
        <w:t xml:space="preserve">, </w:t>
      </w:r>
      <w:r>
        <w:rPr>
          <w:rtl w:val="true"/>
        </w:rPr>
        <w:t>טעותם של גורמי התביעה ביחס לכתב האישום</w:t>
      </w:r>
      <w:r>
        <w:rPr>
          <w:rtl w:val="true"/>
        </w:rPr>
        <w:t xml:space="preserve">, </w:t>
      </w:r>
      <w:r>
        <w:rPr>
          <w:rtl w:val="true"/>
        </w:rPr>
        <w:t>ונסיבותיו האישיות של המערער</w:t>
      </w:r>
      <w:r>
        <w:rPr>
          <w:rtl w:val="true"/>
        </w:rPr>
        <w:t xml:space="preserve">). </w:t>
      </w:r>
      <w:r>
        <w:rPr>
          <w:rtl w:val="true"/>
        </w:rPr>
        <w:t xml:space="preserve">יתר השיקולים אשר הציג המערער הוצגו אף בפני בית המשפט קמא </w:t>
      </w:r>
      <w:r>
        <w:rPr>
          <w:rtl w:val="true"/>
        </w:rPr>
        <w:t>(</w:t>
      </w:r>
      <w:r>
        <w:rPr>
          <w:rtl w:val="true"/>
        </w:rPr>
        <w:t>כדוגמת כוונת המתלוננת לעזוב את מתחם המגורים של משפחת המערער</w:t>
      </w:r>
      <w:r>
        <w:rPr>
          <w:rtl w:val="true"/>
        </w:rPr>
        <w:t xml:space="preserve">, </w:t>
      </w:r>
      <w:r>
        <w:rPr>
          <w:rtl w:val="true"/>
        </w:rPr>
        <w:t>כוונה שבינתיים מומשה</w:t>
      </w:r>
      <w:r>
        <w:rPr>
          <w:rtl w:val="true"/>
        </w:rPr>
        <w:t xml:space="preserve">), </w:t>
      </w:r>
      <w:r>
        <w:rPr>
          <w:rtl w:val="true"/>
        </w:rPr>
        <w:t>והם אינם מחדשים כעת</w:t>
      </w:r>
      <w:r>
        <w:rPr>
          <w:rtl w:val="true"/>
        </w:rPr>
        <w:t xml:space="preserve">. </w:t>
      </w:r>
      <w:r>
        <w:rPr>
          <w:rtl w:val="true"/>
        </w:rPr>
        <w:t>האיזון שערך בית משפט קמא תואם את מדיניות הענישה הנוהגת והראויה</w:t>
      </w:r>
      <w:r>
        <w:rPr>
          <w:rtl w:val="true"/>
        </w:rPr>
        <w:t xml:space="preserve">, </w:t>
      </w:r>
      <w:r>
        <w:rPr>
          <w:rtl w:val="true"/>
        </w:rPr>
        <w:t>ואינו מותיר פתח להתערבות של ערכאת הערעור</w:t>
      </w:r>
      <w:r>
        <w:rPr>
          <w:rtl w:val="true"/>
        </w:rPr>
        <w:t xml:space="preserve">. </w:t>
      </w:r>
      <w:r>
        <w:rPr>
          <w:rtl w:val="true"/>
        </w:rPr>
        <w:t>אף מעיון בפסקי הדין אליהם הפנה המערער ביחס למדיניות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עולה כי העונש שנגזר על המערער תואם את המקובל בגין מעשים חמורים מסוג 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לאסי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1.11.2012</w:t>
      </w:r>
      <w:r>
        <w:rPr>
          <w:rtl w:val="true"/>
        </w:rPr>
        <w:t xml:space="preserve">) </w:t>
      </w:r>
      <w:r>
        <w:rPr>
          <w:rtl w:val="true"/>
        </w:rPr>
        <w:t>נדחה ערעור המדינה על קולת עונש</w:t>
      </w:r>
      <w:r>
        <w:rPr>
          <w:rtl w:val="true"/>
        </w:rPr>
        <w:t xml:space="preserve">, </w:t>
      </w:r>
      <w:r>
        <w:rPr>
          <w:rtl w:val="true"/>
        </w:rPr>
        <w:t xml:space="preserve">לאחר שנגזרו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על גבר שתקף את בת זוגתו לשעבר בסכין</w:t>
      </w:r>
      <w:r>
        <w:rPr>
          <w:rtl w:val="true"/>
        </w:rPr>
        <w:t xml:space="preserve">, </w:t>
      </w:r>
      <w:r>
        <w:rPr>
          <w:rtl w:val="true"/>
        </w:rPr>
        <w:t>ואיים עליה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התחשב בית המשפט המחוזי בנסיבותיו האישיות הייחודיות של המשיב </w:t>
      </w:r>
      <w:r>
        <w:rPr>
          <w:rtl w:val="true"/>
        </w:rPr>
        <w:t>(</w:t>
      </w:r>
      <w:r>
        <w:rPr>
          <w:rtl w:val="true"/>
        </w:rPr>
        <w:t>אזרח זר</w:t>
      </w:r>
      <w:r>
        <w:rPr>
          <w:rtl w:val="true"/>
        </w:rPr>
        <w:t xml:space="preserve">; </w:t>
      </w:r>
      <w:r>
        <w:rPr>
          <w:rtl w:val="true"/>
        </w:rPr>
        <w:t>מצבו הנפשי</w:t>
      </w:r>
      <w:r>
        <w:rPr>
          <w:rtl w:val="true"/>
        </w:rPr>
        <w:t xml:space="preserve">) </w:t>
      </w:r>
      <w:r>
        <w:rPr>
          <w:rtl w:val="true"/>
        </w:rPr>
        <w:t>וגזר את עונשו בהתאם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אף שבית משפט זה לא התערב בעונש במסגרת הערעור שהוגש</w:t>
      </w:r>
      <w:r>
        <w:rPr>
          <w:rtl w:val="true"/>
        </w:rPr>
        <w:t xml:space="preserve">, </w:t>
      </w:r>
      <w:r>
        <w:rPr>
          <w:rtl w:val="true"/>
        </w:rPr>
        <w:t>ציין כי הוא סבור שהיה פוסק לחומרא לו היה משמש כערכאה ראשונה לעניין גזירת 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16.12.2014</w:t>
      </w:r>
      <w:r>
        <w:rPr>
          <w:rtl w:val="true"/>
        </w:rPr>
        <w:t xml:space="preserve">) </w:t>
      </w:r>
      <w:r>
        <w:rPr>
          <w:rtl w:val="true"/>
        </w:rPr>
        <w:t>הוקל עונש המאסר של המערער במקרה בעל נסיבות דומות מ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 המשפט ציין כי ההקלה נובעת מחרטת המערער</w:t>
      </w:r>
      <w:r>
        <w:rPr>
          <w:rtl w:val="true"/>
        </w:rPr>
        <w:t xml:space="preserve">, </w:t>
      </w:r>
      <w:r>
        <w:rPr>
          <w:rtl w:val="true"/>
        </w:rPr>
        <w:t>מעברו הנקי</w:t>
      </w:r>
      <w:r>
        <w:rPr>
          <w:rtl w:val="true"/>
        </w:rPr>
        <w:t xml:space="preserve">, </w:t>
      </w:r>
      <w:r>
        <w:rPr>
          <w:rtl w:val="true"/>
        </w:rPr>
        <w:t>מהיעדר היסטוריה של אלימות נגד בת זוגו</w:t>
      </w:r>
      <w:r>
        <w:rPr>
          <w:rtl w:val="true"/>
        </w:rPr>
        <w:t xml:space="preserve">, </w:t>
      </w:r>
      <w:r>
        <w:rPr>
          <w:rtl w:val="true"/>
        </w:rPr>
        <w:t>ובמידת מה</w:t>
      </w:r>
      <w:r>
        <w:rPr>
          <w:rtl w:val="true"/>
        </w:rPr>
        <w:t xml:space="preserve">, </w:t>
      </w:r>
      <w:r>
        <w:rPr>
          <w:rtl w:val="true"/>
        </w:rPr>
        <w:t>מבקשת בת הזוג עצמה</w:t>
      </w:r>
      <w:r>
        <w:rPr>
          <w:rtl w:val="true"/>
        </w:rPr>
        <w:t xml:space="preserve">; </w:t>
      </w:r>
      <w:r>
        <w:rPr>
          <w:rtl w:val="true"/>
        </w:rPr>
        <w:t>וזאת שונה באופן מהותי מהמקרה שלפנינו</w:t>
      </w:r>
      <w:r>
        <w:rPr>
          <w:rtl w:val="true"/>
        </w:rPr>
        <w:t xml:space="preserve">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הענישה במקרה שלפנינו אינה חורגת ממדיניות הענישה הנוהגת באופן שמצדיק את התערבותנו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המערער סבורה כי בגזר הדין נפלה טעות</w:t>
      </w:r>
      <w:r>
        <w:rPr>
          <w:rtl w:val="true"/>
        </w:rPr>
        <w:t xml:space="preserve">, </w:t>
      </w:r>
      <w:r>
        <w:rPr>
          <w:rtl w:val="true"/>
        </w:rPr>
        <w:t>בשל האזכור של האירועים שהתרחשו במקלחת</w:t>
      </w:r>
      <w:r>
        <w:rPr>
          <w:rtl w:val="true"/>
        </w:rPr>
        <w:t xml:space="preserve">, </w:t>
      </w:r>
      <w:r>
        <w:rPr>
          <w:rtl w:val="true"/>
        </w:rPr>
        <w:t>בעוד שלהבנתה אין בהכרעת הדין קביעה כי בעניין זה פעל המערער מתוך מטרה לפגוע במתלוננת</w:t>
      </w:r>
      <w:r>
        <w:rPr>
          <w:rtl w:val="true"/>
        </w:rPr>
        <w:t xml:space="preserve">. </w:t>
      </w:r>
      <w:r>
        <w:rPr>
          <w:rtl w:val="true"/>
        </w:rPr>
        <w:t>לאחר בחינת הכרעת הדין השתכנענו כי אין מדובר בשגגה</w:t>
      </w:r>
      <w:r>
        <w:rPr>
          <w:rtl w:val="true"/>
        </w:rPr>
        <w:t xml:space="preserve">, </w:t>
      </w:r>
      <w:r>
        <w:rPr>
          <w:rtl w:val="true"/>
        </w:rPr>
        <w:t>שהרי בית המשפט קמא אימץ את גרסת המתלוננת לאירועים הללו</w:t>
      </w:r>
      <w:r>
        <w:rPr>
          <w:rtl w:val="true"/>
        </w:rPr>
        <w:t xml:space="preserve">, </w:t>
      </w:r>
      <w:r>
        <w:rPr>
          <w:rtl w:val="true"/>
        </w:rPr>
        <w:t>ובכלל זה את תיאורה לאשר התרחש במקלחת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הזיכוי מעבירת הניסיון מתייחס למיוחס למערער בקשר למיכל הגז</w:t>
      </w:r>
      <w:r>
        <w:rPr>
          <w:rtl w:val="true"/>
        </w:rPr>
        <w:t xml:space="preserve">, </w:t>
      </w:r>
      <w:r>
        <w:rPr>
          <w:rtl w:val="true"/>
        </w:rPr>
        <w:t>דהיינו לאירוע שהתרחש על פי כתב האישום המתוקן בשלב מאוחר ונפרד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אחרון</w:t>
      </w:r>
      <w:r>
        <w:rPr>
          <w:rtl w:val="true"/>
        </w:rPr>
        <w:t xml:space="preserve">, </w:t>
      </w:r>
      <w:r>
        <w:rPr>
          <w:rtl w:val="true"/>
        </w:rPr>
        <w:t>לא מבחינת חשיבותו</w:t>
      </w:r>
      <w:r>
        <w:rPr>
          <w:rtl w:val="true"/>
        </w:rPr>
        <w:t xml:space="preserve">, </w:t>
      </w:r>
      <w:r>
        <w:rPr>
          <w:rtl w:val="true"/>
        </w:rPr>
        <w:t>נבקש לציין כי מתסקיר שירות המבחן שהוכן לקראת הדיון בערעור</w:t>
      </w:r>
      <w:r>
        <w:rPr>
          <w:rtl w:val="true"/>
        </w:rPr>
        <w:t xml:space="preserve">, </w:t>
      </w:r>
      <w:r>
        <w:rPr>
          <w:rtl w:val="true"/>
        </w:rPr>
        <w:t xml:space="preserve">כמו גם מדברי המערער בתום הדיון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עולה חשש כבד כי המערער אינו מפנים כראוי את אכזריות מעשיו והמסוכנות העולה מהם</w:t>
      </w:r>
      <w:r>
        <w:rPr>
          <w:rtl w:val="true"/>
        </w:rPr>
        <w:t xml:space="preserve">. </w:t>
      </w:r>
      <w:r>
        <w:rPr>
          <w:rtl w:val="true"/>
        </w:rPr>
        <w:t>על כך יש להצר</w:t>
      </w:r>
      <w:r>
        <w:rPr>
          <w:rtl w:val="true"/>
        </w:rPr>
        <w:t xml:space="preserve">, </w:t>
      </w:r>
      <w:r>
        <w:rPr>
          <w:rtl w:val="true"/>
        </w:rPr>
        <w:t>במיוחד בשים לב למאמציו הראויים של המערער להתנקות מההתמכרות לסמים ולתפקד בצורה ראויה בכלא</w:t>
      </w:r>
      <w:r>
        <w:rPr>
          <w:rtl w:val="true"/>
        </w:rPr>
        <w:t xml:space="preserve">. </w:t>
      </w:r>
      <w:r>
        <w:rPr>
          <w:rtl w:val="true"/>
        </w:rPr>
        <w:t>יש לקוות כי המערער ידע לנצל את הטיפול הייעודי שהוא עובר במסגרת הכלא על מנת לשנות את התייחסותו להתנהגותו</w:t>
      </w:r>
      <w:r>
        <w:rPr>
          <w:rtl w:val="true"/>
        </w:rPr>
        <w:t xml:space="preserve">, </w:t>
      </w:r>
      <w:r>
        <w:rPr>
          <w:rtl w:val="true"/>
        </w:rPr>
        <w:t>וכי יתקיים בו חלקו השני</w:t>
      </w:r>
      <w:r>
        <w:rPr>
          <w:rtl w:val="true"/>
        </w:rPr>
        <w:t xml:space="preserve">, </w:t>
      </w:r>
      <w:r>
        <w:rPr>
          <w:rtl w:val="true"/>
        </w:rPr>
        <w:t>ולא הראשון</w:t>
      </w:r>
      <w:r>
        <w:rPr>
          <w:rtl w:val="true"/>
        </w:rPr>
        <w:t xml:space="preserve">, </w:t>
      </w:r>
      <w:r>
        <w:rPr>
          <w:rtl w:val="true"/>
        </w:rPr>
        <w:t xml:space="preserve">של הפסוק </w:t>
      </w:r>
      <w:r>
        <w:rPr>
          <w:rtl w:val="true"/>
        </w:rPr>
        <w:t>"</w:t>
      </w:r>
      <w:r>
        <w:rPr>
          <w:rStyle w:val="hebrewquotation1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מְכַסֶּה</w:t>
      </w:r>
      <w:r>
        <w:rPr>
          <w:rStyle w:val="hebrewquotation1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פְשָׁעָיו</w:t>
      </w:r>
      <w:r>
        <w:rPr>
          <w:rStyle w:val="hebrewquotation1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לֹא</w:t>
      </w:r>
      <w:r>
        <w:rPr>
          <w:rStyle w:val="hebrewquotation1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יַצְלִיחַ</w:t>
      </w:r>
      <w:r>
        <w:rPr>
          <w:rStyle w:val="hebrewquotation1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וּמוֹדֶה</w:t>
      </w:r>
      <w:r>
        <w:rPr>
          <w:rStyle w:val="hebrewquotation1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וְעֹזֵב</w:t>
      </w:r>
      <w:r>
        <w:rPr>
          <w:rStyle w:val="hebrewquotation1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יְרֻחָם</w:t>
      </w:r>
      <w:r>
        <w:rPr>
          <w:rStyle w:val="hebrewquotation1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 xml:space="preserve">משלי כח </w:t>
      </w:r>
      <w:r>
        <w:rPr/>
        <w:t>13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המסקנה מהאמור היא כי לא נפל כל פגם המצדיק את התערבותנו בגזר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>לפיכך 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סולברג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2"/>
          <w:szCs w:val="8"/>
        </w:rPr>
      </w:pPr>
      <w:r>
        <w:rPr>
          <w:rFonts w:cs="Times New Roman" w:ascii="Times New Roman" w:hAnsi="Times New Roman"/>
          <w:sz w:val="2"/>
          <w:szCs w:val="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  <w:sz w:val="8"/>
          <w:szCs w:val="14"/>
        </w:rPr>
      </w:pPr>
      <w:r>
        <w:rPr>
          <w:rFonts w:cs="Times New Roman" w:ascii="Times New Roman" w:hAnsi="Times New Roman"/>
          <w:sz w:val="8"/>
          <w:szCs w:val="1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מזוז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הוחלט כאמור בפסק דינו של השופט ע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גרוסקופף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בסיון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22.5.2018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16069680</w:t>
      </w:r>
      <w:r>
        <w:rPr>
          <w:sz w:val="16"/>
          <w:rtl w:val="true"/>
        </w:rPr>
        <w:t>_</w:t>
      </w:r>
      <w:r>
        <w:rPr>
          <w:sz w:val="16"/>
        </w:rPr>
        <w:t>Y05.doc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  <w:r>
        <w:rPr>
          <w:sz w:val="16"/>
          <w:rtl w:val="true"/>
        </w:rPr>
        <w:t>/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54678313-6968/16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6968/16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אודי גרני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65" w:hanging="405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hebrewquotation1">
    <w:name w:val="hebrewquotation1"/>
    <w:qFormat/>
    <w:rPr>
      <w:rFonts w:cs="David"/>
      <w:sz w:val="29"/>
      <w:szCs w:val="29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40343" TargetMode="External"/><Relationship Id="rId3" Type="http://schemas.openxmlformats.org/officeDocument/2006/relationships/hyperlink" Target="http://www.nevo.co.il/safrut/book/18159" TargetMode="External"/><Relationship Id="rId4" Type="http://schemas.openxmlformats.org/officeDocument/2006/relationships/hyperlink" Target="http://www.nevo.co.il/safrut/book/1815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i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29.b" TargetMode="External"/><Relationship Id="rId10" Type="http://schemas.openxmlformats.org/officeDocument/2006/relationships/hyperlink" Target="http://www.nevo.co.il/case/20640343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29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/34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0618836" TargetMode="External"/><Relationship Id="rId18" Type="http://schemas.openxmlformats.org/officeDocument/2006/relationships/hyperlink" Target="http://www.nevo.co.il/case/18654015" TargetMode="External"/><Relationship Id="rId19" Type="http://schemas.openxmlformats.org/officeDocument/2006/relationships/hyperlink" Target="http://www.nevo.co.il/case/13022044" TargetMode="External"/><Relationship Id="rId20" Type="http://schemas.openxmlformats.org/officeDocument/2006/relationships/hyperlink" Target="http://www.nevo.co.il/case/5571437" TargetMode="External"/><Relationship Id="rId21" Type="http://schemas.openxmlformats.org/officeDocument/2006/relationships/hyperlink" Target="http://www.nevo.co.il/safrut/book/1815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603698" TargetMode="External"/><Relationship Id="rId24" Type="http://schemas.openxmlformats.org/officeDocument/2006/relationships/hyperlink" Target="http://www.nevo.co.il/case/6846316" TargetMode="External"/><Relationship Id="rId25" Type="http://schemas.openxmlformats.org/officeDocument/2006/relationships/hyperlink" Target="https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2018-05-24T08:57:00Z</dcterms:created>
  <dc:creator> </dc:creator>
  <dc:description/>
  <cp:keywords/>
  <dc:language>en-IL</dc:language>
  <cp:lastModifiedBy>orly</cp:lastModifiedBy>
  <cp:lastPrinted>2018-05-17T09:53:00Z</cp:lastPrinted>
  <dcterms:modified xsi:type="dcterms:W3CDTF">2018-05-24T08:57:00Z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אודי גרני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18159</vt:lpwstr>
  </property>
  <property fmtid="{D5CDD505-2E9C-101B-9397-08002B2CF9AE}" pid="9" name="CASESLISTTMP1">
    <vt:lpwstr>20640343:2;20618836;18654015;13022044;5571437;5603698;6846316</vt:lpwstr>
  </property>
  <property fmtid="{D5CDD505-2E9C-101B-9397-08002B2CF9AE}" pid="10" name="CITY">
    <vt:lpwstr/>
  </property>
  <property fmtid="{D5CDD505-2E9C-101B-9397-08002B2CF9AE}" pid="11" name="DATE">
    <vt:lpwstr>20180522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סולברג;מ' מזוז;ע' גרוסקופף</vt:lpwstr>
  </property>
  <property fmtid="{D5CDD505-2E9C-101B-9397-08002B2CF9AE}" pid="15" name="LAWLISTTMP1">
    <vt:lpwstr>70301/329.a.1;329.b;192;034i</vt:lpwstr>
  </property>
  <property fmtid="{D5CDD505-2E9C-101B-9397-08002B2CF9AE}" pid="16" name="LAWYER">
    <vt:lpwstr>סתוית רייכמן;לינור בן-אוליאל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1446;504</vt:lpwstr>
  </property>
  <property fmtid="{D5CDD505-2E9C-101B-9397-08002B2CF9AE}" pid="49" name="NOSE31">
    <vt:lpwstr>מדיניות ענישה: אלימות במשפחה</vt:lpwstr>
  </property>
  <property fmtid="{D5CDD505-2E9C-101B-9397-08002B2CF9AE}" pid="50" name="NOSE310">
    <vt:lpwstr/>
  </property>
  <property fmtid="{D5CDD505-2E9C-101B-9397-08002B2CF9AE}" pid="51" name="NOSE32">
    <vt:lpwstr>התערבות במידת העונש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15628;15230</vt:lpwstr>
  </property>
  <property fmtid="{D5CDD505-2E9C-101B-9397-08002B2CF9AE}" pid="60" name="PADIDATE">
    <vt:lpwstr>20180524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6968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410120180522</vt:lpwstr>
  </property>
  <property fmtid="{D5CDD505-2E9C-101B-9397-08002B2CF9AE}" pid="70" name="TYPE_N_DATE">
    <vt:lpwstr>41020180522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