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7020/17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אלכסנדר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מכניצקי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 w:val="24"/>
                <w:szCs w:val="24"/>
                <w:rtl w:val="true"/>
              </w:rPr>
              <w:t>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2012-10-15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</w:t>
            </w:r>
            <w:r>
              <w:rPr>
                <w:sz w:val="24"/>
                <w:sz w:val="24"/>
                <w:szCs w:val="24"/>
                <w:rtl w:val="true"/>
              </w:rPr>
              <w:t>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בחשון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21.10.18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קבלר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הצעת חוק העונשין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חלק מקדמי וחלק כללי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כד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שני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7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Times New Roman"/>
          <w:spacing w:val="0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הרשעת המערער בעבירת רצח בכוונה תחילה של אשתו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דחיית טענת השכרות שהעלה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לכל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המערער לא היה שיכור בזמן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לא התקיימו התנאים המצטברים להחלת הסייג של שכרות חלקית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בהנחה שהמערער שתה משקאות חריפים בסמוך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שכרות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שכרות חלקית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רצח בכוונה תחילה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אי התערבות בממצאים עובדתיים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פסק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הרשיע את המערער בעבירת רצח בכוונה תחילה של אשתו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דן אותו למאסר עולם וחייבו בתשלום פיצוי כספי בסך </w:t>
      </w:r>
      <w:r>
        <w:rPr>
          <w:rFonts w:cs="Times New Roman" w:ascii="Times New Roman" w:hAnsi="Times New Roman"/>
          <w:spacing w:val="0"/>
          <w:szCs w:val="26"/>
        </w:rPr>
        <w:t>129,000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אחד משני הילדים המשותפים לו ולמנוחה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טוען כי מן הדין היה להרשיעו בעבירת הריגה לפי סעיפים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וקרא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את טענת המערער כי היה שיכור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היה שיכור בזמן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אם שתה משקאות משכרים כלשהם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אלו לא טשטשו את דעתו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קבע כי עדות המערער איננה אמינה וכי הלה ביצע מעשה רצח מכוון וקביעתו מעוגנת היטב בחומר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הצדקה לסטות ממנה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אילו היו נבחנים ממצאי המהימנות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לגופם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מקום לשנות 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המערער לא היה שיכור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כבש את טענת השכרות ולא נתן לכך שום הסבר מתקבל על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כאשר לא היה שיכור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קריסת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סיפור התאונה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שהעלה המערער והעדר הסבר סביר לכבישת טענת השכרות מותירים את הראיות הבאות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שתי דקירות שהמערער נעץ בגרונה של המנוחה באמצעות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ממצא רפואי 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משמעי שהמנוחה מצאה את מותה כתוצאה מדקירות סכין אלה או אחת מהן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שהדקירות המדויקות והעמוקות הללו היו מעשה מכוון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חיבורן של ראיות כאמור מביא למסקנה יחידה כי המערער רצח את המנוחה באמצעות דקירות 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הוא עשה כן בכוונה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התשתית הראייתית מוכיחה מעבר לכל ספק סביר כי המערער לא היה נתון בשעת המעשה תחת השפעת אלכוהול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למען הזהירות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נדון הפן המשפטי של הגנת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הנחה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לטובת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הוא אכן צרך אלכוהול בסמוך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מסעיפים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עולה כי מבצע העבירה חוסה תחת סייג של שכרות חלקית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השולל את קיום הכוונה כאשר זו נדרשת להתהוות העבירה בה עסקינן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בהתקיים שלושה תנאים מצטברים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מבצע העבירה צריך להיות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של 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תחת השפעת חומר אלכוהולי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סם מסוכן או גורם מסמם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חוסר מודעותו של מבצע העבירה לפרט מפרטי העבירה בשעת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קיומו של קשר סיבתי בין השפעת החומר האלכוהולי או המסמם לבין חוסר המודעות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די בריכוז אלכוהול גבוה בדם כשלעצמו כדי להקים את סייג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תנאים מצטברים אלה אינם מתקיימים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בהנחה שהמערער שתה משקאות חריפים בסמוך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 לחוק קובע חזקה שבדין כי מעשה 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נעשה בתנאים שאין בהם סייג לאחריות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נדרש להביא ראיות שבכוחן לסתור את החזקה האמורה על ידי יצירת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עשה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האופן שבו דקר המערער את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שתי 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במקום רגיש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בצוואר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מעיד על כוונתו להביא למותה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מעשים כגון זה חלה חזקה כי אדם מתכוון להביא לתוצאות הטבעיות של מעשהו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חזקה זו חלה גם על מעשהו של אדם שיכור זולת אם נסיבותיו מצביעות על היעדר כוונה ברמה של 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שנראה שראיותיו של המערער מראות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שתה משקאות חריפים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 ותו 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שהוא לא הביא ראיות בנוגע לכך שלא הבין את פשר מעשהו או שלא התכוון לתוצאותיו בשל היותו שיכור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צל של ספק בכך שהמערער רצח את המנוחה בכוונה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 w:before="0" w:after="0"/>
        <w:ind w:end="0"/>
        <w:contextualSpacing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spacing w:before="0" w:after="0"/>
        <w:ind w:end="0"/>
        <w:contextualSpacing/>
        <w:jc w:val="both"/>
        <w:rPr>
          <w:rFonts w:cs="Miriam"/>
          <w:sz w:val="28"/>
          <w:szCs w:val="24"/>
          <w:u w:val="single"/>
        </w:rPr>
      </w:pPr>
      <w:r>
        <w:rPr>
          <w:rFonts w:cs="Miriam"/>
          <w:sz w:val="28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תפ״ח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2012-10-15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התשל״ז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129,000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ויריעת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rFonts w:ascii="Century" w:hAnsi="Century" w:cs="Century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1.10.2015</w:t>
      </w:r>
      <w:r>
        <w:rPr>
          <w:rtl w:val="true"/>
        </w:rPr>
        <w:t xml:space="preserve"> </w:t>
      </w:r>
      <w:r>
        <w:rPr>
          <w:rtl w:val="true"/>
        </w:rPr>
        <w:t xml:space="preserve">הוגש כתב אישום נגד המערער אשר ייחס לו עבירת רצח בכוונה תחילה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שבוצעה בלילה בין ה</w:t>
      </w:r>
      <w:r>
        <w:rPr>
          <w:rtl w:val="true"/>
        </w:rPr>
        <w:t>-</w:t>
      </w:r>
      <w:r>
        <w:rPr/>
        <w:t>16.9.2015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17.9.2015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לפי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ואולגה מכניצקי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היו נשואים זה לזו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ולהם שני ילדים משותפים ילידי 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הילדים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המשפחה התגוררה בדירה בבת 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בתקופה שקדמה ליום </w:t>
      </w:r>
      <w:r>
        <w:rPr>
          <w:rFonts w:cs="Century" w:ascii="Century" w:hAnsi="Century"/>
        </w:rPr>
        <w:t>16.9.2015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התגלעו בין המערער לבין אשתו המנוחה ויכוחים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חשדו של המערער כי המנוחה מתרועעת עם גבר 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המנוחה אף הודיעה למערער במספר הזדמנויות כי היא חפצה לסיים את קשר הנישואין ביניהם והדבר הגביר את חשדו כי היא בוגדת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התקשה להשלים עם דרישת המנוחה לסיים עמו את הקשר וגמל בליבו לרוצחה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16.9.2015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נסע המערער בשעות הבוקר לקניון עזריאלי בתל אביב ורכש בחנות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נטלמן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סכין מסוג קומנדו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הקומנדו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18:30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נערכה פגישה בין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ושני חבריהם של בני הזוג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הפגישה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את הפגישה יזם המערער במטרה ליישר את ההדורים בינו לבין המנוחה ולשכנעה שלא תיפרד ממנו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ניסיון זה לא צלח והמנוחה הודיעה למערער כי היא עומדת על רצונה לסיים את הקשר ביניהם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21:00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יצאה המנוחה מהדירה ושבה אליה בשעה </w:t>
      </w:r>
      <w:r>
        <w:rPr>
          <w:rFonts w:cs="Century" w:ascii="Century" w:hAnsi="Century"/>
        </w:rPr>
        <w:t>01:20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לערך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חילופי דברים קצרים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שכבה המנוחה לישון על מזרן ברצפת הסלון בדירה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המזרן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אותה העת הילדים ישנו בחדר הסמוך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סמוך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נטל את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ניגש למנוחה ודקר אותה פעמיים בצווארה בעודה ישנה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המערער הותיר את הסכין נעוצה בצווארה של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מתוך כוונה לגרום למותה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02:56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התקשר המערער למוקד </w:t>
      </w: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 המשטרה ודיווח על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כעבור מספר דקות הגיעו לדירה אנשי מד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 וקבעו את מות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שתי הדקירות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שדקר המערער את המנוחה בצווארה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גרמו לנזקים חמורים בכלי הדם הראשיים של הצוואר ובשלד הגרון עם שאיפת דם לריאות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וכתוצאה מכך מתה המנוחה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המערער כפר במיוחס לו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במענה לכתב האישום מיום </w:t>
      </w:r>
      <w:r>
        <w:rPr/>
        <w:t>25.11.2015</w:t>
      </w:r>
      <w:r>
        <w:rPr>
          <w:rtl w:val="true"/>
        </w:rPr>
        <w:t xml:space="preserve">, </w:t>
      </w:r>
      <w:r>
        <w:rPr>
          <w:rtl w:val="true"/>
        </w:rPr>
        <w:t>נטען כי המערער אומנם התקשה להשלים עם רצונה של המנוחה להיפרד ממנו אך הרעיון להמיתה לא עבר במוחו</w:t>
      </w:r>
      <w:r>
        <w:rPr>
          <w:rtl w:val="true"/>
        </w:rPr>
        <w:t xml:space="preserve">. </w:t>
      </w:r>
      <w:r>
        <w:rPr>
          <w:rtl w:val="true"/>
        </w:rPr>
        <w:t>את הסכין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רכש למטרה אחרת והוא לא התכוון לפגוע במנוחה באמצעותה</w:t>
      </w:r>
      <w:r>
        <w:rPr>
          <w:rtl w:val="true"/>
        </w:rPr>
        <w:t xml:space="preserve">.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ביום האירוע הוא נטל את הסכין על מנת לאיים על המנוחה בהתאבדות</w:t>
      </w:r>
      <w:r>
        <w:rPr>
          <w:rtl w:val="true"/>
        </w:rPr>
        <w:t xml:space="preserve">, </w:t>
      </w:r>
      <w:r>
        <w:rPr>
          <w:rtl w:val="true"/>
        </w:rPr>
        <w:t xml:space="preserve">כסוג של </w:t>
      </w:r>
      <w:r>
        <w:rPr>
          <w:rtl w:val="true"/>
        </w:rPr>
        <w:t>"</w:t>
      </w:r>
      <w:r>
        <w:rPr>
          <w:rtl w:val="true"/>
        </w:rPr>
        <w:t>פרובוקצי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מניפולציה רגשית</w:t>
      </w:r>
      <w:r>
        <w:rPr>
          <w:rtl w:val="true"/>
        </w:rPr>
        <w:t xml:space="preserve">", </w:t>
      </w:r>
      <w:r>
        <w:rPr>
          <w:rtl w:val="true"/>
        </w:rPr>
        <w:t>אך הוא מעד ונפל עליה וכתוצאה מכך הסכין ננעצה פעם אחת בצווארה של המנוחה ולא הוצאה מהפצע שהביא למותה</w:t>
      </w:r>
      <w:r>
        <w:rPr>
          <w:rtl w:val="true"/>
        </w:rPr>
        <w:t xml:space="preserve">. </w:t>
      </w:r>
      <w:r>
        <w:rPr>
          <w:rtl w:val="true"/>
        </w:rPr>
        <w:t>המערער חזר על עיקרי הדברים האלה גם בעדותו</w:t>
      </w:r>
      <w:r>
        <w:rPr>
          <w:rtl w:val="true"/>
        </w:rPr>
        <w:t xml:space="preserve">, </w:t>
      </w:r>
      <w:r>
        <w:rPr>
          <w:rtl w:val="true"/>
        </w:rPr>
        <w:t>כאשר הוא מסביר כי רכש את הסכין במתנה לחבר ואחר כך ביקש להשתמש בה כדי לביים ניסיון התאבדות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>
          <w:rFonts w:cs="Arial TUR" w:ascii="Arial TUR" w:hAnsi="Arial TUR"/>
          <w:sz w:val="22"/>
        </w:rPr>
        <w:t>7</w:t>
      </w:r>
      <w:r>
        <w:rPr>
          <w:rFonts w:cs="Arial TUR" w:ascii="Arial TUR" w:hAnsi="Arial TUR"/>
          <w:sz w:val="22"/>
          <w:rtl w:val="true"/>
        </w:rPr>
        <w:t>.</w:t>
        <w:tab/>
      </w:r>
      <w:r>
        <w:rPr>
          <w:sz w:val="28"/>
          <w:sz w:val="28"/>
          <w:rtl w:val="true"/>
        </w:rPr>
        <w:t xml:space="preserve">קו הגנה זה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סיפור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התאונה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נזנח על ידי המערער בשלב הסיכומים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תחתיו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העמיד המערער טענה אחרת שאינה מתכחשת לכך שהוא דקר את המנוחה שתי פעמים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 פעם אחת בלבד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לפי טענה 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 לא זכר את הדקירה השנייה בשל היותו שיכור בשעת המעשה ובסמוך לפניו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המערער דבק בעמדתו כי לא רצה להמית את המנוחה וכי עשה את אשר עשה בשל היותו שיכור כשדעתו מטושטשת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השכרות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מטעמים אלו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טען המערער כי אין להרשיעו בעבירת רצח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כי אם אך בעבירת הריגה לפי </w:t>
      </w:r>
      <w:hyperlink r:id="rId21">
        <w:r>
          <w:rPr>
            <w:rStyle w:val="Hyperlink"/>
            <w:sz w:val="28"/>
            <w:sz w:val="28"/>
            <w:rtl w:val="true"/>
          </w:rPr>
          <w:t>סעיפים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34</w:t>
        </w:r>
        <w:r>
          <w:rPr>
            <w:rStyle w:val="Hyperlink"/>
            <w:sz w:val="28"/>
            <w:sz w:val="28"/>
            <w:rtl w:val="true"/>
          </w:rPr>
          <w:t>ט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, </w:t>
      </w:r>
      <w:hyperlink r:id="rId22">
        <w:r>
          <w:rPr>
            <w:rStyle w:val="Hyperlink"/>
            <w:color w:val="0000FF"/>
            <w:sz w:val="28"/>
            <w:u w:val="single"/>
          </w:rPr>
          <w:t>34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ט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23">
        <w:r>
          <w:rPr>
            <w:rStyle w:val="Hyperlink"/>
            <w:sz w:val="28"/>
          </w:rPr>
          <w:t>298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על יסוד הראיות אשר הובאו לפניו</w:t>
      </w:r>
      <w:r>
        <w:rPr>
          <w:rtl w:val="true"/>
        </w:rPr>
        <w:t xml:space="preserve">, </w:t>
      </w:r>
      <w:r>
        <w:rPr>
          <w:rtl w:val="true"/>
        </w:rPr>
        <w:t>קבע בית משפט קמא את העובדות שאין עליהן עוררין</w:t>
      </w:r>
      <w:r>
        <w:rPr>
          <w:rtl w:val="true"/>
        </w:rPr>
        <w:t xml:space="preserve">: </w:t>
      </w:r>
      <w:r>
        <w:rPr>
          <w:rtl w:val="true"/>
        </w:rPr>
        <w:t>המערער גרם למותה של המנוחה בליל האירוע</w:t>
      </w:r>
      <w:r>
        <w:rPr>
          <w:rtl w:val="true"/>
        </w:rPr>
        <w:t xml:space="preserve">, </w:t>
      </w:r>
      <w:r>
        <w:rPr>
          <w:rtl w:val="true"/>
        </w:rPr>
        <w:t>בעת שהמנוחה שכבה על המזרן בסלון הדירה</w:t>
      </w:r>
      <w:r>
        <w:rPr>
          <w:rtl w:val="true"/>
        </w:rPr>
        <w:t xml:space="preserve">, </w:t>
      </w:r>
      <w:r>
        <w:rPr>
          <w:rtl w:val="true"/>
        </w:rPr>
        <w:t>וזאת באמצעות סכין הקומנדו שנרכשה בבוקר יום האירוע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לנוכח עמדת ההגנה בסיכומיה</w:t>
      </w:r>
      <w:r>
        <w:rPr>
          <w:rtl w:val="true"/>
        </w:rPr>
        <w:t xml:space="preserve">, </w:t>
      </w:r>
      <w:r>
        <w:rPr>
          <w:rtl w:val="true"/>
        </w:rPr>
        <w:t>אין עוד מחלוקת בין הצדדים כי המערער דקר את המנוחה שתי דקירות ולא אחת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כיוון שגם בסיכומי ההגנה נטען כי המערער לא זוכר את הדקירה השנייה וכי לא התכוון להמית את המנוחה</w:t>
      </w:r>
      <w:r>
        <w:rPr>
          <w:rtl w:val="true"/>
        </w:rPr>
        <w:t xml:space="preserve">, </w:t>
      </w:r>
      <w:r>
        <w:rPr>
          <w:rtl w:val="true"/>
        </w:rPr>
        <w:t>בית משפט קמא ניתח בפסק דינו את מכלול הראיות הרלוונטיות</w:t>
      </w:r>
      <w:r>
        <w:rPr>
          <w:rtl w:val="true"/>
        </w:rPr>
        <w:t xml:space="preserve">, </w:t>
      </w:r>
      <w:r>
        <w:rPr>
          <w:rtl w:val="true"/>
        </w:rPr>
        <w:t>לרבות אלו אשר נוגעות למספר הדקירות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בית משפט קמא כתב הכרעת דין מנומקת ובהירה אשר דחתה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tl w:val="true"/>
        </w:rPr>
        <w:t>-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את טענת השכרות</w:t>
      </w:r>
      <w:r>
        <w:rPr>
          <w:rtl w:val="true"/>
        </w:rPr>
        <w:t xml:space="preserve">. </w:t>
      </w:r>
      <w:r>
        <w:rPr>
          <w:rtl w:val="true"/>
        </w:rPr>
        <w:t>בהתאם לקביעה זו</w:t>
      </w:r>
      <w:r>
        <w:rPr>
          <w:rtl w:val="true"/>
        </w:rPr>
        <w:t xml:space="preserve">, </w:t>
      </w:r>
      <w:r>
        <w:rPr>
          <w:rtl w:val="true"/>
        </w:rPr>
        <w:t xml:space="preserve">מצא בית המשפט את המערער אשם בעבירת רצח בכוונה תחילה לפי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הכרעת דין זו התייחסה ליסודותיה </w:t>
      </w:r>
      <w:r>
        <w:rPr>
          <w:sz w:val="22"/>
          <w:sz w:val="22"/>
          <w:rtl w:val="true"/>
        </w:rPr>
        <w:t>של עבירת רצח ולהגנה של שכרות חלקית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כמפורט להלן</w:t>
      </w:r>
      <w:r>
        <w:rPr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רצח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בכוונה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תחילה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rFonts w:cs="Miriam"/>
          <w:b/>
          <w:sz w:val="22"/>
        </w:rPr>
      </w:pPr>
      <w:r>
        <w:rPr>
          <w:rFonts w:cs="Times New Roman"/>
          <w:b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הכנה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והיעדר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קנטור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 xml:space="preserve">בית משפט קמא קבע כי יש לקבל את עמדת המשיבה לפיה המערער רכש את הסכין במטרה לדקור את המנוחה </w:t>
      </w:r>
      <w:r>
        <w:rPr>
          <w:rtl w:val="true"/>
        </w:rPr>
        <w:t>–</w:t>
      </w:r>
      <w:r>
        <w:rPr>
          <w:rtl w:val="true"/>
        </w:rPr>
        <w:t xml:space="preserve"> ממצא שמוכיח הכנה למעשה הרצח מעבר לכל ספק סביר</w:t>
      </w:r>
      <w:r>
        <w:rPr>
          <w:rtl w:val="true"/>
        </w:rPr>
        <w:t xml:space="preserve">. </w:t>
      </w:r>
      <w:r>
        <w:rPr>
          <w:rtl w:val="true"/>
        </w:rPr>
        <w:t>בית המשפט הוסיף</w:t>
      </w:r>
      <w:r>
        <w:rPr>
          <w:rtl w:val="true"/>
        </w:rPr>
        <w:t xml:space="preserve">, </w:t>
      </w:r>
      <w:r>
        <w:rPr>
          <w:rtl w:val="true"/>
        </w:rPr>
        <w:t>כי אף אם המערער רכש את הסכין למטרה אחרת</w:t>
      </w:r>
      <w:r>
        <w:rPr>
          <w:rtl w:val="true"/>
        </w:rPr>
        <w:t xml:space="preserve">, </w:t>
      </w:r>
      <w:r>
        <w:rPr>
          <w:rtl w:val="true"/>
        </w:rPr>
        <w:t xml:space="preserve">די בהוצאתה מהמגירה ובהנפתה לעבר המנוחה כדי לקיים את הדרישה של יסוד </w:t>
      </w:r>
      <w:r>
        <w:rPr>
          <w:rtl w:val="true"/>
        </w:rPr>
        <w:t>"</w:t>
      </w:r>
      <w:r>
        <w:rPr>
          <w:rtl w:val="true"/>
        </w:rPr>
        <w:t>ההכנה</w:t>
      </w:r>
      <w:r>
        <w:rPr>
          <w:rtl w:val="true"/>
        </w:rPr>
        <w:t xml:space="preserve">". </w:t>
      </w:r>
      <w:r>
        <w:rPr>
          <w:rtl w:val="true"/>
        </w:rPr>
        <w:t>באשר להיעדרו של קנטור</w:t>
      </w:r>
      <w:r>
        <w:rPr>
          <w:rtl w:val="true"/>
        </w:rPr>
        <w:t xml:space="preserve">, </w:t>
      </w:r>
      <w:r>
        <w:rPr>
          <w:rtl w:val="true"/>
        </w:rPr>
        <w:t xml:space="preserve">יסודה האחר של עבירת רצח בכוונה תחילה </w:t>
      </w:r>
      <w:r>
        <w:rPr>
          <w:rtl w:val="true"/>
        </w:rPr>
        <w:t>–</w:t>
      </w:r>
      <w:r>
        <w:rPr>
          <w:rtl w:val="true"/>
        </w:rPr>
        <w:t xml:space="preserve"> ההגנה לא טענה לקנטור מצד המנוחה והראיות ממילא לא הצביעו על קיומו כאפשרות סבירה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ההחלטה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להמית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 xml:space="preserve">בית משפט קמא מצא את עדות המערער לא אמינה וקבע כי גרסתו </w:t>
      </w:r>
      <w:r>
        <w:rPr>
          <w:rtl w:val="true"/>
        </w:rPr>
        <w:t>"</w:t>
      </w:r>
      <w:r>
        <w:rPr>
          <w:rtl w:val="true"/>
        </w:rPr>
        <w:t xml:space="preserve">אינה מתיישבת עם מכלול הראיות ועם השכל הישר והיא מעוררת תמיהות ממשיות שאין להן הסבר משכנע </w:t>
      </w:r>
      <w:r>
        <w:rPr>
          <w:rtl w:val="true"/>
        </w:rPr>
        <w:t xml:space="preserve">[...]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היו סתירות מהותיות אחדות בין תוכן עדותו של הנאשם לבין תוכן אמרותיו </w:t>
      </w:r>
      <w:r>
        <w:rPr>
          <w:rtl w:val="true"/>
        </w:rPr>
        <w:t>[</w:t>
      </w:r>
      <w:r>
        <w:rPr>
          <w:rtl w:val="true"/>
        </w:rPr>
        <w:t>בחקירתו במשטרה</w:t>
      </w:r>
      <w:r>
        <w:rPr>
          <w:rtl w:val="true"/>
        </w:rPr>
        <w:t xml:space="preserve">]".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לנוכח מכלול הנסיבות והראיות בדבר התדרדרות היחסים בין המערער לבין המנוחה בתקופה שקדמה לאירוע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יש להעדיף את הדברים שמסר המערער בחקירתו </w:t>
      </w:r>
      <w:r>
        <w:rPr>
          <w:rtl w:val="true"/>
        </w:rPr>
        <w:t>–</w:t>
      </w:r>
      <w:r>
        <w:rPr>
          <w:rtl w:val="true"/>
        </w:rPr>
        <w:t xml:space="preserve"> מהם עולה כי הוא ידע</w:t>
      </w:r>
      <w:r>
        <w:rPr>
          <w:rtl w:val="true"/>
        </w:rPr>
        <w:t xml:space="preserve">, </w:t>
      </w:r>
      <w:r>
        <w:rPr>
          <w:rtl w:val="true"/>
        </w:rPr>
        <w:t>או למצער היה לו חשד כבד</w:t>
      </w:r>
      <w:r>
        <w:rPr>
          <w:rtl w:val="true"/>
        </w:rPr>
        <w:t xml:space="preserve">, </w:t>
      </w:r>
      <w:r>
        <w:rPr>
          <w:rtl w:val="true"/>
        </w:rPr>
        <w:t xml:space="preserve">כי המנוחה בוגדת בו עם גבר אחר </w:t>
      </w:r>
      <w:r>
        <w:rPr>
          <w:rtl w:val="true"/>
        </w:rPr>
        <w:t>–</w:t>
      </w:r>
      <w:r>
        <w:rPr>
          <w:rtl w:val="true"/>
        </w:rPr>
        <w:t xml:space="preserve"> על פני הדברים שמסר המערער בעניין זה בעדותו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בית המשפט קבע כי אין מחלוקת כי המנוחה רצתה להיפרד מהמערער וכי הביאה זאת לידיעתו</w:t>
      </w:r>
      <w:r>
        <w:rPr>
          <w:rtl w:val="true"/>
        </w:rPr>
        <w:t xml:space="preserve">, </w:t>
      </w:r>
      <w:r>
        <w:rPr>
          <w:rtl w:val="true"/>
        </w:rPr>
        <w:t>וכן כי בפגישה שנערכה עובר לאירוע ניהלו השניים שיחה קשה בנוכחות חבריהם</w:t>
      </w:r>
      <w:r>
        <w:rPr>
          <w:rtl w:val="true"/>
        </w:rPr>
        <w:t xml:space="preserve">, </w:t>
      </w:r>
      <w:r>
        <w:rPr>
          <w:rtl w:val="true"/>
        </w:rPr>
        <w:t>במהלכה הפציר המערער במנוחה שלא תיפרד ממנו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עוד קבע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 כי גרסת המערער בעדותו ביחס למטרה שלשמה רכש את סכין הקומנדו בבוקר יום האירוע ולאופן אחסנתה בבית</w:t>
      </w:r>
      <w:r>
        <w:rPr>
          <w:rtl w:val="true"/>
        </w:rPr>
        <w:t xml:space="preserve">, </w:t>
      </w:r>
      <w:r>
        <w:rPr>
          <w:rtl w:val="true"/>
        </w:rPr>
        <w:t>מעוררת תמיהות ממשיות שאינן מאפשרות ליתן אמון בעדותו כי רכש את הסכין כמתנה לחברו</w:t>
      </w:r>
      <w:r>
        <w:rPr>
          <w:rtl w:val="true"/>
        </w:rPr>
        <w:t xml:space="preserve">. </w:t>
      </w:r>
      <w:r>
        <w:rPr>
          <w:rtl w:val="true"/>
        </w:rPr>
        <w:t>זאת במיוחד באשר מדובר בגרסה כבושה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שלא ניתן הסבר משכנע לכבישתה</w:t>
      </w:r>
      <w:r>
        <w:rPr>
          <w:rtl w:val="true"/>
        </w:rPr>
        <w:t xml:space="preserve">, </w:t>
      </w:r>
      <w:r>
        <w:rPr>
          <w:rtl w:val="true"/>
        </w:rPr>
        <w:t>ובשים לב לכך שבחקירתו במשטרה המערער מסר גרסה שונה וטען כי רכש את הסכין במטרה לאיים בהתאבדות לאחר שהמנוחה ביקשה להיפרד ממנו</w:t>
      </w:r>
      <w:r>
        <w:rPr>
          <w:rtl w:val="true"/>
        </w:rPr>
        <w:t xml:space="preserve">. </w:t>
      </w:r>
      <w:r>
        <w:rPr>
          <w:rtl w:val="true"/>
        </w:rPr>
        <w:t>בית המשפט קבע כי הגרסה שמסר המערער בחקירתו במשטרה איננה סבירה אף היא</w:t>
      </w:r>
      <w:r>
        <w:rPr>
          <w:rtl w:val="true"/>
        </w:rPr>
        <w:t xml:space="preserve">: </w:t>
      </w:r>
      <w:r>
        <w:rPr>
          <w:rtl w:val="true"/>
        </w:rPr>
        <w:t>אם כל מבוקשו היה לביים ניסיון התאבדות</w:t>
      </w:r>
      <w:r>
        <w:rPr>
          <w:rtl w:val="true"/>
        </w:rPr>
        <w:t xml:space="preserve">, </w:t>
      </w:r>
      <w:r>
        <w:rPr>
          <w:rtl w:val="true"/>
        </w:rPr>
        <w:t>מדוע רכש סכין קומנדו במאות שקלים במקום להסתפק בסכין רגילה</w:t>
      </w:r>
      <w:r>
        <w:rPr>
          <w:rtl w:val="true"/>
        </w:rPr>
        <w:t xml:space="preserve">? </w:t>
      </w:r>
      <w:r>
        <w:rPr>
          <w:rtl w:val="true"/>
        </w:rPr>
        <w:t>בהתבסס על שיקולים אלה</w:t>
      </w:r>
      <w:r>
        <w:rPr>
          <w:rtl w:val="true"/>
        </w:rPr>
        <w:t xml:space="preserve">, </w:t>
      </w:r>
      <w:r>
        <w:rPr>
          <w:rtl w:val="true"/>
        </w:rPr>
        <w:t>קיבל בית משפט קמא את עמדת המשיבה לפיה המערער רכש את סכין הקומנדו על מנת לדקור את המנוחה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 משפט קמא קבע כי מסקנה כאמור מתחייבת מהראיות</w:t>
      </w:r>
      <w:r>
        <w:rPr>
          <w:rtl w:val="true"/>
        </w:rPr>
        <w:t xml:space="preserve">, </w:t>
      </w:r>
      <w:r>
        <w:rPr>
          <w:rtl w:val="true"/>
        </w:rPr>
        <w:t>ובראשן עדותו המשכנעת של ד</w:t>
      </w:r>
      <w:r>
        <w:rPr>
          <w:rtl w:val="true"/>
        </w:rPr>
        <w:t>"</w:t>
      </w:r>
      <w:r>
        <w:rPr>
          <w:rtl w:val="true"/>
        </w:rPr>
        <w:t>ר ריקרדו נחמן</w:t>
      </w:r>
      <w:r>
        <w:rPr>
          <w:rtl w:val="true"/>
        </w:rPr>
        <w:t xml:space="preserve">, </w:t>
      </w:r>
      <w:r>
        <w:rPr>
          <w:rtl w:val="true"/>
        </w:rPr>
        <w:t>מומחה לרפואה משפטית שהעיד מטעם התביעה</w:t>
      </w:r>
      <w:r>
        <w:rPr>
          <w:rtl w:val="true"/>
        </w:rPr>
        <w:t xml:space="preserve">. </w:t>
      </w:r>
      <w:r>
        <w:rPr>
          <w:rtl w:val="true"/>
        </w:rPr>
        <w:t>עדות זו הראתה כי הדקירות שנמצאו בצווארה של המנוחה היו תוצאה של מעשה מכוון</w:t>
      </w:r>
      <w:r>
        <w:rPr>
          <w:rtl w:val="true"/>
        </w:rPr>
        <w:t xml:space="preserve">. </w:t>
      </w:r>
      <w:r>
        <w:rPr>
          <w:rtl w:val="true"/>
        </w:rPr>
        <w:t>מסקנה זהה עלתה גם מסיכומי ההגנה</w:t>
      </w:r>
      <w:r>
        <w:rPr>
          <w:rtl w:val="true"/>
        </w:rPr>
        <w:t xml:space="preserve">, </w:t>
      </w:r>
      <w:r>
        <w:rPr>
          <w:rtl w:val="true"/>
        </w:rPr>
        <w:t>אשר לא חלקה על כך שהמערער דקר את המנוחה פעמיים באמצעות הסכין</w:t>
      </w:r>
      <w:r>
        <w:rPr>
          <w:rtl w:val="true"/>
        </w:rPr>
        <w:t xml:space="preserve">, </w:t>
      </w:r>
      <w:r>
        <w:rPr>
          <w:rtl w:val="true"/>
        </w:rPr>
        <w:t>ושלאחר הדקירה הראשונה הוציא את הסכין מצווארה ודקר אותה בשנית</w:t>
      </w:r>
      <w:r>
        <w:rPr>
          <w:rtl w:val="true"/>
        </w:rPr>
        <w:t xml:space="preserve">. </w:t>
      </w:r>
      <w:r>
        <w:rPr>
          <w:rtl w:val="true"/>
        </w:rPr>
        <w:t>בית המשפט הוסיף וקבע בהקשר הזה כי מיקום הדקירות ומספרן מקימים חזקה שהמערער התכוון לגרום לתוצאה הקטלנית של מעשיו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כך קבע בית המשפט </w:t>
      </w:r>
      <w:r>
        <w:rPr>
          <w:rtl w:val="true"/>
        </w:rPr>
        <w:t>–</w:t>
      </w:r>
      <w:r>
        <w:rPr>
          <w:rtl w:val="true"/>
        </w:rPr>
        <w:t xml:space="preserve"> לא הצליח לעורר ספק סביר ביחס לחזקה זו ולמסקנה שעולה ממנה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sz w:val="22"/>
        </w:rPr>
      </w:pPr>
      <w:r>
        <w:rPr>
          <w:sz w:val="22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sz w:val="22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 xml:space="preserve">עוד קבע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</w:t>
      </w:r>
      <w:r>
        <w:rPr>
          <w:rtl w:val="true"/>
        </w:rPr>
        <w:t xml:space="preserve">, </w:t>
      </w:r>
      <w:r>
        <w:rPr>
          <w:rtl w:val="true"/>
        </w:rPr>
        <w:t>כי התנהגות המערער והתבטאויותיו לאחר האירוע אינן מתיישבות עם גרסתו שמדובר היה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במעשה חסר שליטה של אדם שיכור</w:t>
      </w:r>
      <w:r>
        <w:rPr>
          <w:rtl w:val="true"/>
        </w:rPr>
        <w:t xml:space="preserve">. </w:t>
      </w:r>
      <w:r>
        <w:rPr>
          <w:rtl w:val="true"/>
        </w:rPr>
        <w:t>קביעה זו ביסס בית המשפט בעיקר על הדברים שמסר המערער למוקד המשטרתי</w:t>
      </w:r>
      <w:r>
        <w:rPr>
          <w:rtl w:val="true"/>
        </w:rPr>
        <w:t xml:space="preserve">; </w:t>
      </w:r>
      <w:r>
        <w:rPr>
          <w:rtl w:val="true"/>
        </w:rPr>
        <w:t>לשוטרים שעצרו אותו</w:t>
      </w:r>
      <w:r>
        <w:rPr>
          <w:rtl w:val="true"/>
        </w:rPr>
        <w:t xml:space="preserve">; </w:t>
      </w:r>
      <w:r>
        <w:rPr>
          <w:rtl w:val="true"/>
        </w:rPr>
        <w:t>וכן בחקירתו במשטרה</w:t>
      </w:r>
      <w:r>
        <w:rPr>
          <w:rtl w:val="true"/>
        </w:rPr>
        <w:t xml:space="preserve">. </w:t>
      </w:r>
      <w:r>
        <w:rPr>
          <w:rtl w:val="true"/>
        </w:rPr>
        <w:t>בית המשפט אף ראה באחת מהתבטאויותיו ראשית הודאה לכך שהריגת המנוחה הייתה מבחינת המערער תגובה מכוונת להתנהלותה בתקופה שקדמה לאירוע</w:t>
      </w:r>
      <w:r>
        <w:rPr>
          <w:rtl w:val="true"/>
        </w:rPr>
        <w:t xml:space="preserve">. </w:t>
      </w:r>
      <w:r>
        <w:rPr>
          <w:rtl w:val="true"/>
        </w:rPr>
        <w:t>לשורת ראיות אלו</w:t>
      </w:r>
      <w:r>
        <w:rPr>
          <w:rtl w:val="true"/>
        </w:rPr>
        <w:t xml:space="preserve">, </w:t>
      </w:r>
      <w:r>
        <w:rPr>
          <w:rtl w:val="true"/>
        </w:rPr>
        <w:t xml:space="preserve">הצטרפה העובדה כי המערער השתהה פרק זמן ממושך לפני שהתקשר למוקד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של המשטרה וכי נמצא לאחר האירוע כשהוא יושב ואוכל בנחת ובשלוות נפש</w:t>
      </w:r>
      <w:r>
        <w:rPr>
          <w:rtl w:val="true"/>
        </w:rPr>
        <w:t xml:space="preserve">. </w:t>
      </w:r>
      <w:r>
        <w:rPr>
          <w:sz w:val="22"/>
          <w:sz w:val="22"/>
          <w:rtl w:val="true"/>
        </w:rPr>
        <w:t>בית המשפט הוסיף וקבע כי למערער היה מניע ברור ומוכח לרצוח את המנוחה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 שזו עמדה על רצונה להיפרד ממנו ולאחר שהמערער חשד בה שהיא מנהלת יחסים אינטימיים עם גבר אחר</w:t>
      </w:r>
      <w:r>
        <w:rPr>
          <w:sz w:val="22"/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 xml:space="preserve">ממצאים אלה הוליכו את </w:t>
      </w:r>
      <w:r>
        <w:rPr>
          <w:sz w:val="28"/>
          <w:sz w:val="28"/>
          <w:rtl w:val="true"/>
        </w:rPr>
        <w:t>בית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sz w:val="28"/>
          <w:sz w:val="28"/>
          <w:rtl w:val="true"/>
        </w:rPr>
        <w:t xml:space="preserve"> </w:t>
      </w:r>
      <w:r>
        <w:rPr>
          <w:rtl w:val="true"/>
        </w:rPr>
        <w:t>קמא אל פסיקתו כי יסודותיה של עבירת הרצח בה הואשם המערער הוכחו למעלה מכל ספק סביר</w:t>
      </w:r>
      <w:r>
        <w:rPr>
          <w:rtl w:val="true"/>
        </w:rPr>
        <w:t xml:space="preserve">. </w:t>
      </w:r>
      <w:r>
        <w:rPr>
          <w:rtl w:val="true"/>
        </w:rPr>
        <w:t>בית המשפט קבע אפוא ש</w:t>
      </w:r>
      <w:r>
        <w:rPr>
          <w:sz w:val="22"/>
          <w:sz w:val="22"/>
          <w:rtl w:val="true"/>
        </w:rPr>
        <w:t>המערער רצח את המנוחה לאחר שדקרהּ פעמיים בכוונה תחילה</w:t>
      </w:r>
      <w:r>
        <w:rPr>
          <w:rtl w:val="true"/>
        </w:rPr>
        <w:t xml:space="preserve"> כדי לגרום למותה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sz w:val="22"/>
        </w:rPr>
      </w:pPr>
      <w:r>
        <w:rPr>
          <w:rFonts w:eastAsia="Garamond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טענת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השכרות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textAlignment w:val="auto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 דחה את בקשת המערער להפחית את אחריותו למות המנוחה מרצח להריגה על בסיס הסייג של שכרות חלקית הקבוע </w:t>
      </w:r>
      <w:hyperlink r:id="rId27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בית המשפט קבע בעניין זה כי </w:t>
      </w:r>
      <w:r>
        <w:rPr>
          <w:rtl w:val="true"/>
        </w:rPr>
        <w:t>"</w:t>
      </w:r>
      <w:r>
        <w:rPr>
          <w:rtl w:val="true"/>
        </w:rPr>
        <w:t>מדובר בטענה המתבססת על גרסה עובדתית של הנאשם שאינה מהימנה</w:t>
      </w:r>
      <w:r>
        <w:rPr>
          <w:rtl w:val="true"/>
        </w:rPr>
        <w:t xml:space="preserve">, </w:t>
      </w:r>
      <w:r>
        <w:rPr>
          <w:rtl w:val="true"/>
        </w:rPr>
        <w:t>אשר אף עומדת בסתירה לראיות בעלות משקל נכבד שהובאו בפנינו</w:t>
      </w:r>
      <w:r>
        <w:rPr>
          <w:rtl w:val="true"/>
        </w:rPr>
        <w:t>".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rFonts w:cs="David"/>
          <w:szCs w:val="24"/>
        </w:rPr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בית המשפט מצא כי המערער שתה משקאות אלכוהוליים רק או בעיקר לאחר דקירת המנוחה</w:t>
      </w:r>
      <w:r>
        <w:rPr>
          <w:rtl w:val="true"/>
        </w:rPr>
        <w:t xml:space="preserve">. </w:t>
      </w:r>
      <w:r>
        <w:rPr>
          <w:rtl w:val="true"/>
        </w:rPr>
        <w:t>קביעה זו הושתתה בעיקרה על עדויותיהם של חבריהם המשותפים של המערער ואשתו המנוחה</w:t>
      </w:r>
      <w:r>
        <w:rPr>
          <w:rtl w:val="true"/>
        </w:rPr>
        <w:t xml:space="preserve">, </w:t>
      </w:r>
      <w:r>
        <w:rPr>
          <w:rtl w:val="true"/>
        </w:rPr>
        <w:t>עימם נועדו בפגישה</w:t>
      </w:r>
      <w:r>
        <w:rPr>
          <w:rtl w:val="true"/>
        </w:rPr>
        <w:t xml:space="preserve">, </w:t>
      </w:r>
      <w:r>
        <w:rPr>
          <w:rtl w:val="true"/>
        </w:rPr>
        <w:t>וכן על הדברים שסיפר המערער לרס</w:t>
      </w:r>
      <w:r>
        <w:rPr>
          <w:rtl w:val="true"/>
        </w:rPr>
        <w:t>"</w:t>
      </w:r>
      <w:r>
        <w:rPr>
          <w:rtl w:val="true"/>
        </w:rPr>
        <w:t>ר כליף שקורי ולחוקרי הרצח האחרים</w:t>
      </w:r>
      <w:r>
        <w:rPr>
          <w:rtl w:val="true"/>
        </w:rPr>
        <w:t xml:space="preserve">. </w:t>
      </w:r>
      <w:r>
        <w:rPr>
          <w:rtl w:val="true"/>
        </w:rPr>
        <w:t>בית המשפט אף הוסיף</w:t>
      </w:r>
      <w:r>
        <w:rPr>
          <w:rtl w:val="true"/>
        </w:rPr>
        <w:t xml:space="preserve">, </w:t>
      </w:r>
      <w:r>
        <w:rPr>
          <w:rtl w:val="true"/>
        </w:rPr>
        <w:t>כי התנהלות המערער לאחר האירוע מלמדת כי בזמן האירוע וסמוך לאחריו הוא היה צלול ומודע היטב למעשיו</w:t>
      </w:r>
      <w:r>
        <w:rPr>
          <w:rtl w:val="true"/>
        </w:rPr>
        <w:t xml:space="preserve">. </w:t>
      </w:r>
      <w:r>
        <w:rPr>
          <w:rtl w:val="true"/>
        </w:rPr>
        <w:t>בקבעו כך</w:t>
      </w:r>
      <w:r>
        <w:rPr>
          <w:rtl w:val="true"/>
        </w:rPr>
        <w:t xml:space="preserve">, </w:t>
      </w:r>
      <w:r>
        <w:rPr>
          <w:rtl w:val="true"/>
        </w:rPr>
        <w:t>הסתמך בית המשפט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העובדה שהשיחה של המערער עם המוקד המשטרתי לא העלתה כל סימן לכך שהלה היה שיכור וכן על התנהלותו המחושבת של המערער אל מול ילדיו</w:t>
      </w:r>
      <w:r>
        <w:rPr>
          <w:rtl w:val="true"/>
        </w:rPr>
        <w:t>.</w:t>
      </w:r>
      <w:r>
        <w:rPr>
          <w:rFonts w:cs="David"/>
          <w:szCs w:val="24"/>
          <w:rtl w:val="true"/>
        </w:rPr>
        <w:t xml:space="preserve"> </w:t>
      </w:r>
    </w:p>
    <w:p>
      <w:pPr>
        <w:pStyle w:val="Ruller42"/>
        <w:spacing w:before="0" w:after="0"/>
        <w:ind w:end="0"/>
        <w:contextualSpacing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העיר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 כי אין משמעות לתוצאת הבדיקה הטוקסיקולוגית שנערכה בדמו של המערער 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שעות לאחר האירוע ובשל כך הבדיקה איננה מהווה ממצא שיכול היה לאמת או להפריך את טענת השכרות</w:t>
      </w:r>
      <w:r>
        <w:rPr>
          <w:rtl w:val="true"/>
        </w:rPr>
        <w:t xml:space="preserve">. </w:t>
      </w:r>
      <w:r>
        <w:rPr>
          <w:rtl w:val="true"/>
        </w:rPr>
        <w:t>באשר לחוות דעתו של מומחה ההגנה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דריו ורטניק</w:t>
      </w:r>
      <w:r>
        <w:rPr>
          <w:rtl w:val="true"/>
        </w:rPr>
        <w:t xml:space="preserve">, </w:t>
      </w:r>
      <w:r>
        <w:rPr>
          <w:rtl w:val="true"/>
        </w:rPr>
        <w:t>בית המשפט קבע כי זו איננה מוכיחה דבר בהיותה תיאורטית גרידא ונסמכת על גרסתו הבלתי אמינה של המערער בנוגע לכמויות האלכוהול שלטענתו שתה לפני האירוע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קבע בית המשפט כי אף אם נאמין למערער ונניח כי הוא שתה משקאות אלכוהוליים עובר לדקירת המנוחה והיה בעת האירוע תחת השפעתם</w:t>
      </w:r>
      <w:r>
        <w:rPr>
          <w:rtl w:val="true"/>
        </w:rPr>
        <w:t xml:space="preserve">, </w:t>
      </w:r>
      <w:r>
        <w:rPr>
          <w:rtl w:val="true"/>
        </w:rPr>
        <w:t>הרי שהמערער לא הצליח לעורר ספק סביר לגבי כוונתו לרצוח את המנוחה בדקירות הסכין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דחה בית המשפט את טענת השכרות שהעלה המערער</w:t>
      </w:r>
      <w:r>
        <w:rPr>
          <w:rtl w:val="true"/>
        </w:rPr>
        <w:t xml:space="preserve">. </w:t>
      </w:r>
      <w:r>
        <w:rPr>
          <w:rtl w:val="true"/>
        </w:rPr>
        <w:t xml:space="preserve">דחייתה של טענה זו הוליכה את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 אל המסקנה המתבקשת כי המערער אשם ברצח בכוונה תחילה</w:t>
      </w:r>
      <w:r>
        <w:rPr>
          <w:rtl w:val="true"/>
        </w:rPr>
        <w:t xml:space="preserve">, </w:t>
      </w:r>
      <w:r>
        <w:rPr>
          <w:rtl w:val="true"/>
        </w:rPr>
        <w:t>ולא בהריגה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גזר בית המשפט את דינו של המערער כאמור לעיל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>
          <w:rFonts w:ascii="Calibri" w:hAnsi="Calibri" w:cs="Miriam"/>
          <w:szCs w:val="24"/>
        </w:rPr>
      </w:pPr>
      <w:r>
        <w:rPr>
          <w:rFonts w:cs="Miriam" w:ascii="Calibri" w:hAnsi="Calibri"/>
          <w:szCs w:val="24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בעמדו לפנינו</w:t>
      </w:r>
      <w:r>
        <w:rPr>
          <w:rtl w:val="true"/>
        </w:rPr>
        <w:t xml:space="preserve">, </w:t>
      </w:r>
      <w:r>
        <w:rPr>
          <w:rtl w:val="true"/>
        </w:rPr>
        <w:t xml:space="preserve">מיקד המערער את טענותיו בדבר שכרות חלקית כסייג לאחריותו בגין רצח </w:t>
      </w:r>
      <w:r>
        <w:rPr>
          <w:rtl w:val="true"/>
        </w:rPr>
        <w:t>–</w:t>
      </w:r>
      <w:r>
        <w:rPr>
          <w:rtl w:val="true"/>
        </w:rPr>
        <w:t xml:space="preserve"> עבירה שלהתהוותה נדרשת כוונה תחילה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היה שיכור במהלך האירוע בו גרם למות אשתו</w:t>
      </w:r>
      <w:r>
        <w:rPr>
          <w:rtl w:val="true"/>
        </w:rPr>
        <w:t xml:space="preserve">, </w:t>
      </w:r>
      <w:r>
        <w:rPr>
          <w:rtl w:val="true"/>
        </w:rPr>
        <w:t>ועל כן מן הדין היה להרשיעו בהריגה ולא ברצח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זנח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סיפור</w:t>
      </w:r>
      <w:r>
        <w:rPr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שבמהלכה הוא כביכול מעד</w:t>
      </w:r>
      <w:r>
        <w:rPr>
          <w:rtl w:val="true"/>
        </w:rPr>
        <w:t xml:space="preserve">, </w:t>
      </w:r>
      <w:r>
        <w:rPr>
          <w:rtl w:val="true"/>
        </w:rPr>
        <w:t>נפל על אשתו והסכין שהחזיק בידו ננעצה בגרונה מבלי שהתכוון לכך</w:t>
      </w:r>
      <w:r>
        <w:rPr>
          <w:rtl w:val="true"/>
        </w:rPr>
        <w:t xml:space="preserve">. </w:t>
      </w:r>
      <w:r>
        <w:rPr>
          <w:rtl w:val="true"/>
        </w:rPr>
        <w:t>מהלך זה היה מתבקש ומובן</w:t>
      </w:r>
      <w:r>
        <w:rPr>
          <w:rtl w:val="true"/>
        </w:rPr>
        <w:t xml:space="preserve">: </w:t>
      </w:r>
      <w:r>
        <w:rPr>
          <w:rtl w:val="true"/>
        </w:rPr>
        <w:t>העובדה שאשת המערער מצאה את מותה משתי דקירות סכין ששיסעו את גרונה הפכה את סיפור התאונה לבלתי אמין בעליל</w:t>
      </w:r>
      <w:r>
        <w:rPr>
          <w:rtl w:val="true"/>
        </w:rPr>
        <w:t xml:space="preserve">. </w:t>
      </w:r>
      <w:r>
        <w:rPr>
          <w:rtl w:val="true"/>
        </w:rPr>
        <w:t>פשיטא הוא</w:t>
      </w:r>
      <w:r>
        <w:rPr>
          <w:rtl w:val="true"/>
        </w:rPr>
        <w:t xml:space="preserve">, </w:t>
      </w:r>
      <w:r>
        <w:rPr>
          <w:rtl w:val="true"/>
        </w:rPr>
        <w:t>כי המערער בדה סיפור זה מלבו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sz w:val="22"/>
        </w:rPr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טענת השכרות החלקית שהעלה המערער נחלקה לשני ראשים</w:t>
      </w:r>
      <w:r>
        <w:rPr>
          <w:rtl w:val="true"/>
        </w:rPr>
        <w:t xml:space="preserve">. </w:t>
      </w:r>
      <w:r>
        <w:rPr>
          <w:rtl w:val="true"/>
        </w:rPr>
        <w:t>הראש הראשון היה עובדת ההשתכרות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טען המערער </w:t>
      </w:r>
      <w:r>
        <w:rPr>
          <w:sz w:val="22"/>
          <w:sz w:val="22"/>
          <w:rtl w:val="true"/>
        </w:rPr>
        <w:t xml:space="preserve">כי </w:t>
      </w:r>
      <w:r>
        <w:rPr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sz w:val="22"/>
          <w:sz w:val="22"/>
          <w:rtl w:val="true"/>
        </w:rPr>
        <w:t xml:space="preserve"> קמא טעה בקביעתו כי הוא לא היה תחת השפעת משקאות משכרים בזמן ביצוע העבירה</w:t>
      </w:r>
      <w:r>
        <w:rPr>
          <w:sz w:val="22"/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הציג ראיות רבות אשר הראו כי היה שיכור בעת ביצוע המעשים</w:t>
      </w:r>
      <w:r>
        <w:rPr>
          <w:rtl w:val="true"/>
        </w:rPr>
        <w:t xml:space="preserve">, </w:t>
      </w:r>
      <w:r>
        <w:rPr>
          <w:rtl w:val="true"/>
        </w:rPr>
        <w:t>והיה בראיות אלה כדי לעורר לפחות ספק סביר שמא פעל מתוך שכרות ודעתו הייתה מטושטשת ולא צלולה</w:t>
      </w:r>
      <w:r>
        <w:rPr>
          <w:rtl w:val="true"/>
        </w:rPr>
        <w:t xml:space="preserve">. </w:t>
      </w:r>
      <w:r>
        <w:rPr>
          <w:rtl w:val="true"/>
        </w:rPr>
        <w:t>המערער הוסיף וטען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sz w:val="22"/>
          <w:sz w:val="22"/>
          <w:rtl w:val="true"/>
        </w:rPr>
        <w:t>ראוי היה לתת משקל משמעותי לדברים שאמר בחקירותיו במשטרה ולפיהם הוא צרך משקאות אלכוהוליים רבים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מסוגים 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והיה תחת השפעתם בזמן ביצוע העבירה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 המערער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גרסה זו נתמכת בראיות אובייקטיביות אשר כוללות את עדותו של רס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 שקורי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שהגיע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לדירה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הדיווח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למוקד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ודיווח כי מפיו של המערער נדף ריח של אלכוהול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בקבוק עם משקה אלכוהולי שנמצא בדירה ביום האירוע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וכן תיעוד במצלמת האבטחה בסופרמרקט בו נראה המערער רוכש בקבוק שלדבריו הכיל יין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כן טען המערער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כי </w:t>
      </w:r>
      <w:r>
        <w:rPr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sz w:val="22"/>
          <w:sz w:val="22"/>
          <w:rtl w:val="true"/>
        </w:rPr>
        <w:t xml:space="preserve"> קמא שגה בכך שלא נתן משקל ראוי לחוות דעתו של ד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 xml:space="preserve">ר ורטניק </w:t>
      </w:r>
      <w:r>
        <w:rPr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עד ההגנה אשר העריך כי סביר להניח שהמערער היה במצב של שכרות בזמן ביצוע העבירה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 xml:space="preserve">המערער גם ביקש כי נזקוף לזכותו </w:t>
      </w:r>
      <w:r>
        <w:rPr>
          <w:sz w:val="28"/>
          <w:sz w:val="28"/>
          <w:rtl w:val="true"/>
        </w:rPr>
        <w:t>שלושה מחדלי חקירה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איחור של כ</w:t>
      </w:r>
      <w:r>
        <w:rPr>
          <w:sz w:val="28"/>
          <w:rtl w:val="true"/>
        </w:rPr>
        <w:t>-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שעות ב</w:t>
      </w:r>
      <w:r>
        <w:rPr>
          <w:rtl w:val="true"/>
        </w:rPr>
        <w:t>בדיקת דם לגילוי רמת האלכוהול חרף הדיווח שמסר רס</w:t>
      </w:r>
      <w:r>
        <w:rPr>
          <w:rtl w:val="true"/>
        </w:rPr>
        <w:t>"</w:t>
      </w:r>
      <w:r>
        <w:rPr>
          <w:rtl w:val="true"/>
        </w:rPr>
        <w:t>ר שקורי בזמן אמת</w:t>
      </w:r>
      <w:r>
        <w:rPr>
          <w:rtl w:val="true"/>
        </w:rPr>
        <w:t xml:space="preserve">; </w:t>
      </w:r>
      <w:r>
        <w:rPr>
          <w:rtl w:val="true"/>
        </w:rPr>
        <w:t xml:space="preserve">העובדה שהמשטרה לא בדקה את טענת המערער לפיה הוא צרך בקבוקי אלכוהול נוספים </w:t>
      </w:r>
      <w:r>
        <w:rPr>
          <w:rtl w:val="true"/>
        </w:rPr>
        <w:t>(</w:t>
      </w:r>
      <w:r>
        <w:rPr>
          <w:rtl w:val="true"/>
        </w:rPr>
        <w:t>מעבר למה שנמצא בדירתו</w:t>
      </w:r>
      <w:r>
        <w:rPr>
          <w:rtl w:val="true"/>
        </w:rPr>
        <w:t xml:space="preserve">) </w:t>
      </w:r>
      <w:r>
        <w:rPr>
          <w:rtl w:val="true"/>
        </w:rPr>
        <w:t>ובסיומם זרק אותם לפח מחוץ לדירתו</w:t>
      </w:r>
      <w:r>
        <w:rPr>
          <w:rtl w:val="true"/>
        </w:rPr>
        <w:t xml:space="preserve">; </w:t>
      </w:r>
      <w:r>
        <w:rPr>
          <w:rtl w:val="true"/>
        </w:rPr>
        <w:t>וכן העובדה שהמשטרה לא בדקה האם הבקבוק שרכש המערער בסופרמרקט נלקח מאזור המשקאות האלכוהוליים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הראש השני היה הקשר הסיבתי בין השתכרות המערער לבין אי</w:t>
      </w:r>
      <w:r>
        <w:rPr>
          <w:rtl w:val="true"/>
        </w:rPr>
        <w:t>-</w:t>
      </w:r>
      <w:r>
        <w:rPr>
          <w:rtl w:val="true"/>
        </w:rPr>
        <w:t>מודעותו למעשיו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טען המערער כי שגה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 בקביעתו כי לא עלה בידי ההגנה לעורר ספק סביר ביחס למודעות המערער למעשיו בזמן האירוע</w:t>
      </w:r>
      <w:r>
        <w:rPr>
          <w:rtl w:val="true"/>
        </w:rPr>
        <w:t xml:space="preserve">. </w:t>
      </w:r>
      <w:r>
        <w:rPr>
          <w:rtl w:val="true"/>
        </w:rPr>
        <w:t>לביסוס טענתו</w:t>
      </w:r>
      <w:r>
        <w:rPr>
          <w:rtl w:val="true"/>
        </w:rPr>
        <w:t xml:space="preserve">, </w:t>
      </w:r>
      <w:r>
        <w:rPr>
          <w:rtl w:val="true"/>
        </w:rPr>
        <w:t>הפנה המערער לדברים שאמר בחקירותיו במשטרה מהם ניתן ללמוד כי היה נתון תחת השפעת משקאות משכרים במידה כזו אשר היה בה כדי לשלול את כוונתו להמית את המנוחה</w:t>
      </w:r>
      <w:r>
        <w:rPr>
          <w:rtl w:val="true"/>
        </w:rPr>
        <w:t xml:space="preserve">. </w:t>
      </w:r>
      <w:r>
        <w:rPr>
          <w:rtl w:val="true"/>
        </w:rPr>
        <w:t>המערער הוסיף וטען</w:t>
      </w:r>
      <w:r>
        <w:rPr>
          <w:rtl w:val="true"/>
        </w:rPr>
        <w:t xml:space="preserve">, </w:t>
      </w:r>
      <w:r>
        <w:rPr>
          <w:rtl w:val="true"/>
        </w:rPr>
        <w:t>כי התנהגותו לאחר האירוע אף היא מחזקת את המסקנה כי לא הייתה לו כוונה להמית את המנוחה</w:t>
      </w:r>
      <w:r>
        <w:rPr>
          <w:rtl w:val="true"/>
        </w:rPr>
        <w:t xml:space="preserve">. </w:t>
      </w:r>
      <w:r>
        <w:rPr>
          <w:rtl w:val="true"/>
        </w:rPr>
        <w:t>טענה זו נסמכה על הראיות הבאות</w:t>
      </w:r>
      <w:r>
        <w:rPr>
          <w:rtl w:val="true"/>
        </w:rPr>
        <w:t xml:space="preserve">: </w:t>
      </w:r>
      <w:r>
        <w:rPr>
          <w:rtl w:val="true"/>
        </w:rPr>
        <w:t>העובדה כי המערער לא זכר באיזו שעה התקשר למוקד המשטרתי</w:t>
      </w:r>
      <w:r>
        <w:rPr>
          <w:rtl w:val="true"/>
        </w:rPr>
        <w:t xml:space="preserve">; </w:t>
      </w:r>
      <w:r>
        <w:rPr>
          <w:rtl w:val="true"/>
        </w:rPr>
        <w:t>העובדה כי הוא לא זכר כי דקר את המנוחה דקירה שנייה</w:t>
      </w:r>
      <w:r>
        <w:rPr>
          <w:rtl w:val="true"/>
        </w:rPr>
        <w:t xml:space="preserve">; </w:t>
      </w:r>
      <w:r>
        <w:rPr>
          <w:rtl w:val="true"/>
        </w:rPr>
        <w:t>עדות המערער בבית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לפיה הוא לא הזעיק את המשטרה מיד לאחר האירוע כי היה שרוי במצב רוח </w:t>
      </w:r>
      <w:r>
        <w:rPr>
          <w:rtl w:val="true"/>
        </w:rPr>
        <w:t>"</w:t>
      </w:r>
      <w:r>
        <w:rPr>
          <w:rtl w:val="true"/>
        </w:rPr>
        <w:t>של הראש והפחד</w:t>
      </w:r>
      <w:r>
        <w:rPr>
          <w:rtl w:val="true"/>
        </w:rPr>
        <w:t xml:space="preserve">"; </w:t>
      </w:r>
      <w:r>
        <w:rPr>
          <w:rtl w:val="true"/>
        </w:rPr>
        <w:t>עדותו של רס</w:t>
      </w:r>
      <w:r>
        <w:rPr>
          <w:rtl w:val="true"/>
        </w:rPr>
        <w:t>"</w:t>
      </w:r>
      <w:r>
        <w:rPr>
          <w:rtl w:val="true"/>
        </w:rPr>
        <w:t>ר אריק</w:t>
      </w:r>
      <w:r>
        <w:rPr>
          <w:rFonts w:eastAsia="Garamond"/>
          <w:szCs w:val="24"/>
          <w:rtl w:val="true"/>
        </w:rPr>
        <w:t xml:space="preserve"> </w:t>
      </w:r>
      <w:r>
        <w:rPr>
          <w:rtl w:val="true"/>
        </w:rPr>
        <w:t>שבו כי מצא את המערער בדירה כשהוא יושב בנחת ואוכל בשלוות נפש</w:t>
      </w:r>
      <w:r>
        <w:rPr>
          <w:rtl w:val="true"/>
        </w:rPr>
        <w:t xml:space="preserve">; </w:t>
      </w:r>
      <w:r>
        <w:rPr>
          <w:rtl w:val="true"/>
        </w:rPr>
        <w:t>וכן העובדה שרק בחקירתו השנייה</w:t>
      </w:r>
      <w:r>
        <w:rPr>
          <w:rtl w:val="true"/>
        </w:rPr>
        <w:t xml:space="preserve">, </w:t>
      </w:r>
      <w:r>
        <w:rPr>
          <w:rtl w:val="true"/>
        </w:rPr>
        <w:t>לאחר שהתפכח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הביע המערער צער על מות המנוחה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כמו כן טען המערער</w:t>
      </w:r>
      <w:r>
        <w:rPr>
          <w:rtl w:val="true"/>
        </w:rPr>
        <w:t xml:space="preserve">, </w:t>
      </w:r>
      <w:r>
        <w:rPr>
          <w:rtl w:val="true"/>
        </w:rPr>
        <w:t>כטענה כללית המתייחסת לשני ראשיה של טענת השכרות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sz w:val="22"/>
          <w:sz w:val="22"/>
          <w:rtl w:val="true"/>
        </w:rPr>
        <w:t xml:space="preserve"> </w:t>
      </w:r>
      <w:r>
        <w:rPr>
          <w:rtl w:val="true"/>
        </w:rPr>
        <w:t>קמא שגה בקבעו כי גרסתו</w:t>
      </w:r>
      <w:r>
        <w:rPr>
          <w:rtl w:val="true"/>
        </w:rPr>
        <w:t xml:space="preserve">, </w:t>
      </w:r>
      <w:r>
        <w:rPr>
          <w:rtl w:val="true"/>
        </w:rPr>
        <w:t>כפי שעלתה בעדותו בבית המשפט</w:t>
      </w:r>
      <w:r>
        <w:rPr>
          <w:rtl w:val="true"/>
        </w:rPr>
        <w:t xml:space="preserve">, </w:t>
      </w:r>
      <w:r>
        <w:rPr>
          <w:rtl w:val="true"/>
        </w:rPr>
        <w:t>איננה אמינה ומעוררת תמיהות ממשיות שאין להן הסבר משכנע</w:t>
      </w:r>
      <w:r>
        <w:rPr>
          <w:rtl w:val="true"/>
        </w:rPr>
        <w:t xml:space="preserve">. </w:t>
      </w:r>
      <w:r>
        <w:rPr>
          <w:rtl w:val="true"/>
        </w:rPr>
        <w:t>יתרה מזו</w:t>
      </w:r>
      <w:r>
        <w:rPr>
          <w:rtl w:val="true"/>
        </w:rPr>
        <w:t xml:space="preserve">: </w:t>
      </w:r>
      <w:r>
        <w:rPr>
          <w:rtl w:val="true"/>
        </w:rPr>
        <w:t>המערער טען כי אף אם ישנן סתירות מהותיות בין גרסתו בחקירות המשטרה לבין עדותו בבית המשפט</w:t>
      </w:r>
      <w:r>
        <w:rPr>
          <w:rtl w:val="true"/>
        </w:rPr>
        <w:t xml:space="preserve">, </w:t>
      </w:r>
      <w:r>
        <w:rPr>
          <w:rtl w:val="true"/>
        </w:rPr>
        <w:t>הרי שאין בהן כדי לשלול את טענתו כי היה נתון תחת השפעת משקאות משכרים עד כדי שלילת כוונתו להמית את המנוחה</w:t>
      </w:r>
      <w:r>
        <w:rPr>
          <w:rtl w:val="true"/>
        </w:rPr>
        <w:t xml:space="preserve">, </w:t>
      </w:r>
      <w:r>
        <w:rPr>
          <w:rtl w:val="true"/>
        </w:rPr>
        <w:t>שכן מדובר בטענה משפטית שאותה יש לבחון ביחס לזמן 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שב והדגיש כי די לו בספק סביר כדי שטענותיו תתקבלנה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31"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ביקשה כי נדחה את הערעור</w:t>
      </w:r>
      <w:r>
        <w:rPr>
          <w:rtl w:val="true"/>
        </w:rPr>
        <w:t xml:space="preserve">. </w:t>
      </w:r>
      <w:r>
        <w:rPr>
          <w:rtl w:val="true"/>
        </w:rPr>
        <w:t>המשיבה טענה כי אשמתו של המערער במעשה הרצח הוכחה מעבר לכל ספק סביר וכי טענת השכרות שלו הופרכה אף היא מעל לכל ספק סביר</w:t>
      </w:r>
      <w:r>
        <w:rPr>
          <w:rtl w:val="true"/>
        </w:rPr>
        <w:t xml:space="preserve">. </w:t>
      </w:r>
      <w:r>
        <w:rPr>
          <w:rtl w:val="true"/>
        </w:rPr>
        <w:t>ביחס למכלול הדברים</w:t>
      </w:r>
      <w:r>
        <w:rPr>
          <w:rtl w:val="true"/>
        </w:rPr>
        <w:t xml:space="preserve">, </w:t>
      </w:r>
      <w:r>
        <w:rPr>
          <w:rtl w:val="true"/>
        </w:rPr>
        <w:t xml:space="preserve">טוענת המשיבה כי אין מקום להתערב בפסק דינו של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 אשר ביסס את הכרעת דינו על ממצאי עובדה ומהימנות מובהקים</w:t>
      </w:r>
      <w:r>
        <w:rPr>
          <w:rtl w:val="true"/>
        </w:rPr>
        <w:t xml:space="preserve">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Miriam"/>
          <w:b/>
          <w:sz w:val="22"/>
        </w:rPr>
      </w:pPr>
      <w:r>
        <w:rPr>
          <w:rFonts w:cs="Miriam" w:ascii="Calibri" w:hAnsi="Calibri"/>
          <w:b/>
          <w:sz w:val="22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סבורני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ואלה הם טעמיי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חוסר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אמינות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גרסת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טענת השכרות שהמערער הניח על שולחננו היא טענה רב</w:t>
      </w:r>
      <w:r>
        <w:rPr>
          <w:rtl w:val="true"/>
        </w:rPr>
        <w:t>-</w:t>
      </w:r>
      <w:r>
        <w:rPr>
          <w:rtl w:val="true"/>
        </w:rPr>
        <w:t>שימושית</w:t>
      </w:r>
      <w:r>
        <w:rPr>
          <w:rtl w:val="true"/>
        </w:rPr>
        <w:t xml:space="preserve">. </w:t>
      </w:r>
      <w:r>
        <w:rPr>
          <w:rtl w:val="true"/>
        </w:rPr>
        <w:t>טענה זו משמשת בידי המערער מוט קפיצה שבעזרתו הוא מבקש לדלג על כל מכשול ראייתי שעומד בדרכו</w:t>
      </w:r>
      <w:r>
        <w:rPr>
          <w:rtl w:val="true"/>
        </w:rPr>
        <w:t xml:space="preserve">. </w:t>
      </w:r>
      <w:r>
        <w:rPr>
          <w:rtl w:val="true"/>
        </w:rPr>
        <w:t>באמצעותה</w:t>
      </w:r>
      <w:r>
        <w:rPr>
          <w:rtl w:val="true"/>
        </w:rPr>
        <w:t xml:space="preserve">, </w:t>
      </w:r>
      <w:r>
        <w:rPr>
          <w:rtl w:val="true"/>
        </w:rPr>
        <w:t>מבקש המערער לתרץ את סיפור התאונה השקרי שבדה מלבו</w:t>
      </w:r>
      <w:r>
        <w:rPr>
          <w:rtl w:val="true"/>
        </w:rPr>
        <w:t xml:space="preserve">; </w:t>
      </w:r>
      <w:r>
        <w:rPr>
          <w:rtl w:val="true"/>
        </w:rPr>
        <w:t>ליישב סתירות בין גרסאותיו השונות</w:t>
      </w:r>
      <w:r>
        <w:rPr>
          <w:rtl w:val="true"/>
        </w:rPr>
        <w:t xml:space="preserve">; </w:t>
      </w:r>
      <w:r>
        <w:rPr>
          <w:rtl w:val="true"/>
        </w:rPr>
        <w:t>לסתום חורים בחומר הראיות עליו הוא מסתמך כדי לעורר ספק סביר לגבי אשמתו ברצח</w:t>
      </w:r>
      <w:r>
        <w:rPr>
          <w:rtl w:val="true"/>
        </w:rPr>
        <w:t xml:space="preserve">; </w:t>
      </w:r>
      <w:r>
        <w:rPr>
          <w:rtl w:val="true"/>
        </w:rPr>
        <w:t>לפטור את עצמו ממתן הסבר כיצד סכין הקומנדו</w:t>
      </w:r>
      <w:r>
        <w:rPr>
          <w:rtl w:val="true"/>
        </w:rPr>
        <w:t xml:space="preserve">, </w:t>
      </w:r>
      <w:r>
        <w:rPr>
          <w:rtl w:val="true"/>
        </w:rPr>
        <w:t>שלדבריו קנה כמתנה לחבר</w:t>
      </w:r>
      <w:r>
        <w:rPr>
          <w:rtl w:val="true"/>
        </w:rPr>
        <w:t xml:space="preserve">, </w:t>
      </w:r>
      <w:r>
        <w:rPr>
          <w:rtl w:val="true"/>
        </w:rPr>
        <w:t>הוצאה מהנדן והגיעה לידו אשר שיסעה את גרונה של המנוחה מפאת דחף שגם לו לא ניתן שום הסבר</w:t>
      </w:r>
      <w:r>
        <w:rPr>
          <w:rtl w:val="true"/>
        </w:rPr>
        <w:t xml:space="preserve">; </w:t>
      </w:r>
      <w:r>
        <w:rPr>
          <w:rtl w:val="true"/>
        </w:rPr>
        <w:t>וכן לשכנענו כי לא הייתה לו כוונה לרצוח את אשתו המנוחה ועל</w:t>
      </w:r>
      <w:r>
        <w:rPr>
          <w:rtl w:val="true"/>
        </w:rPr>
        <w:t>-</w:t>
      </w:r>
      <w:r>
        <w:rPr>
          <w:rtl w:val="true"/>
        </w:rPr>
        <w:t>כן הינו אשם בהריגה בלבד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טענה זו נדונה לכישלון והסיבה לכך הינה פשוטה בתכלית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שיכור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כלשהם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טשטשו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טענת השכרות של המערער</w:t>
      </w:r>
      <w:r>
        <w:rPr>
          <w:rtl w:val="true"/>
        </w:rPr>
        <w:t xml:space="preserve">, </w:t>
      </w:r>
      <w:r>
        <w:rPr>
          <w:rtl w:val="true"/>
        </w:rPr>
        <w:t>כמו גם סיפור התאונה</w:t>
      </w:r>
      <w:r>
        <w:rPr>
          <w:rtl w:val="true"/>
        </w:rPr>
        <w:t xml:space="preserve">, </w:t>
      </w:r>
      <w:r>
        <w:rPr>
          <w:rtl w:val="true"/>
        </w:rPr>
        <w:t>הייתה ונשארה בלתי אמינה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 לא האמין למערער</w:t>
      </w:r>
      <w:r>
        <w:rPr>
          <w:rtl w:val="true"/>
        </w:rPr>
        <w:t xml:space="preserve">, </w:t>
      </w:r>
      <w:r>
        <w:rPr>
          <w:rtl w:val="true"/>
        </w:rPr>
        <w:t>שכאמור שינה את גרסתו מסיפור התאונה הבדוי לטענת השכרות רוויית הסתירות והתמיהות</w:t>
      </w:r>
      <w:r>
        <w:rPr>
          <w:rtl w:val="true"/>
        </w:rPr>
        <w:t xml:space="preserve">. </w:t>
      </w:r>
      <w:r>
        <w:rPr>
          <w:rtl w:val="true"/>
        </w:rPr>
        <w:t>בית המשפט קבע</w:t>
      </w:r>
      <w:r>
        <w:rPr>
          <w:rtl w:val="true"/>
        </w:rPr>
        <w:t xml:space="preserve">, </w:t>
      </w:r>
      <w:r>
        <w:rPr>
          <w:rtl w:val="true"/>
        </w:rPr>
        <w:t xml:space="preserve">כי עדות המערער איננה אמינה וכי הלה ביצע מעשה רצח מכוון </w:t>
      </w:r>
      <w:r>
        <w:rPr>
          <w:rtl w:val="true"/>
        </w:rPr>
        <w:t>–</w:t>
      </w:r>
      <w:r>
        <w:rPr>
          <w:rtl w:val="true"/>
        </w:rPr>
        <w:t xml:space="preserve"> אחרי שניתח בקפידה</w:t>
      </w:r>
      <w:r>
        <w:rPr>
          <w:rtl w:val="true"/>
        </w:rPr>
        <w:t xml:space="preserve">, </w:t>
      </w:r>
      <w:r>
        <w:rPr>
          <w:rtl w:val="true"/>
        </w:rPr>
        <w:t>ואולי אף בקפידה יתרה</w:t>
      </w:r>
      <w:r>
        <w:rPr>
          <w:rtl w:val="true"/>
        </w:rPr>
        <w:t xml:space="preserve">, </w:t>
      </w:r>
      <w:r>
        <w:rPr>
          <w:rtl w:val="true"/>
        </w:rPr>
        <w:t>את מארג הראיות שנפרס לפניו</w:t>
      </w:r>
      <w:r>
        <w:rPr>
          <w:rtl w:val="true"/>
        </w:rPr>
        <w:t xml:space="preserve">. </w:t>
      </w:r>
      <w:r>
        <w:rPr>
          <w:rtl w:val="true"/>
        </w:rPr>
        <w:t>קביעה זו</w:t>
      </w:r>
      <w:r>
        <w:rPr>
          <w:rtl w:val="true"/>
        </w:rPr>
        <w:t xml:space="preserve">, </w:t>
      </w:r>
      <w:r>
        <w:rPr>
          <w:rtl w:val="true"/>
        </w:rPr>
        <w:t xml:space="preserve">כמו שאר קביעותיו של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</w:t>
      </w:r>
      <w:r>
        <w:rPr>
          <w:rtl w:val="true"/>
        </w:rPr>
        <w:t xml:space="preserve">, </w:t>
      </w:r>
      <w:r>
        <w:rPr>
          <w:rtl w:val="true"/>
        </w:rPr>
        <w:t>מעוגנת היטב בחומר הראיות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rFonts w:ascii="Times New Roman" w:hAnsi="Times New Roman" w:cs="Times New Roman"/>
        </w:rPr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בידוע הוא</w:t>
      </w:r>
      <w:r>
        <w:rPr>
          <w:rtl w:val="true"/>
        </w:rPr>
        <w:t xml:space="preserve">, </w:t>
      </w:r>
      <w:r>
        <w:rPr>
          <w:rtl w:val="true"/>
        </w:rPr>
        <w:t>שערכאת הערעור אינה נוהגת להתערב בקביעות עובדתיות ובממצאי מהימנות אותם קבעה הערכאה הדיונית</w:t>
      </w:r>
      <w:r>
        <w:rPr>
          <w:rtl w:val="true"/>
        </w:rPr>
        <w:t xml:space="preserve">. </w:t>
      </w:r>
      <w:r>
        <w:rPr>
          <w:rtl w:val="true"/>
        </w:rPr>
        <w:t>הלכה זו נסמכת על ההכרה בכך שיש ליתן עדיפות בכל הנוגע לקביעת התשתית העובדתית והערכת רמת המהימנות של העדים</w:t>
      </w:r>
      <w:r>
        <w:rPr>
          <w:rtl w:val="true"/>
        </w:rPr>
        <w:t xml:space="preserve">, </w:t>
      </w:r>
      <w:r>
        <w:rPr>
          <w:rtl w:val="true"/>
        </w:rPr>
        <w:t xml:space="preserve">לבית המשפט אשר שומע ורואה את העדים המופיעים לפניו ואשר בוחן את התשתית הראייתית כולה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(</w:t>
      </w:r>
      <w:r>
        <w:rPr/>
        <w:t>29.9.2014</w:t>
      </w:r>
      <w:r>
        <w:rPr>
          <w:rtl w:val="true"/>
        </w:rPr>
        <w:t xml:space="preserve">); </w:t>
      </w:r>
      <w:hyperlink r:id="rId3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993/00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נור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נו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205</w:t>
      </w:r>
      <w:r>
        <w:rPr>
          <w:rtl w:val="true"/>
        </w:rPr>
        <w:t xml:space="preserve">, </w:t>
      </w:r>
      <w:r>
        <w:rPr/>
        <w:t>220-219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9352/99</w:t>
      </w:r>
      <w:r>
        <w:rPr>
          <w:rtl w:val="true"/>
        </w:rPr>
        <w:t xml:space="preserve"> 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9352/99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יומטוביאן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נ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ישראל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נד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632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645-643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2000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</w:rPr>
          <w:t>316/85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גרינוולד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564</w:t>
      </w:r>
      <w:r>
        <w:rPr>
          <w:rtl w:val="true"/>
        </w:rPr>
        <w:t xml:space="preserve">, </w:t>
      </w:r>
      <w:r>
        <w:rPr/>
        <w:t>573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 xml:space="preserve">)). </w:t>
      </w:r>
      <w:r>
        <w:rPr>
          <w:rtl w:val="true"/>
        </w:rPr>
        <w:t xml:space="preserve">בנסיבות המקרה דנן </w:t>
      </w:r>
      <w:r>
        <w:rPr>
          <w:rFonts w:ascii="Times New Roman" w:hAnsi="Times New Roman" w:cs="Times New Roman"/>
          <w:rtl w:val="true"/>
        </w:rPr>
        <w:t xml:space="preserve">לא חל שום חריג שעשוי להצדיק </w:t>
      </w:r>
      <w:r>
        <w:rPr>
          <w:rtl w:val="true"/>
        </w:rPr>
        <w:t>סטייה מכלל יסודי זה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נחה דעתי כי אין מקום לשנות ממה שקבע בית משפט קמא לעניין ממצאי העובדה והמהימנות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tl w:val="true"/>
        </w:rPr>
        <w:t xml:space="preserve">ראו גם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7401/07</w:t>
        </w:r>
      </w:hyperlink>
      <w:r>
        <w:rPr>
          <w:rFonts w:cs="Times New Roman" w:ascii="Times New Roman" w:hAnsi="Times New Roman"/>
          <w:color w:val="0000FF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31.7.2008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Ruller42"/>
        <w:spacing w:before="0" w:after="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 xml:space="preserve">גם אילו בחנתי את ממצאי המהימנות של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 לגופם</w:t>
      </w:r>
      <w:r>
        <w:rPr>
          <w:rtl w:val="true"/>
        </w:rPr>
        <w:t xml:space="preserve">, </w:t>
      </w:r>
      <w:r>
        <w:rPr>
          <w:rtl w:val="true"/>
        </w:rPr>
        <w:t>לא הייתי משנה בהם דבר</w:t>
      </w:r>
      <w:r>
        <w:rPr>
          <w:rtl w:val="true"/>
        </w:rPr>
        <w:t xml:space="preserve">. </w:t>
      </w:r>
      <w:r>
        <w:rPr>
          <w:rtl w:val="true"/>
        </w:rPr>
        <w:t xml:space="preserve">לית מאן דפליג כי המערער לא היה שיכור כאשר מסר את עדותו לפני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 וחלק עמו את סיפור התאונה השקרי</w:t>
      </w:r>
      <w:r>
        <w:rPr>
          <w:rtl w:val="true"/>
        </w:rPr>
        <w:t xml:space="preserve">, </w:t>
      </w:r>
      <w:r>
        <w:rPr>
          <w:rtl w:val="true"/>
        </w:rPr>
        <w:t xml:space="preserve">ממנו חזר רק בשלב הסיכומים </w:t>
      </w:r>
      <w:r>
        <w:rPr>
          <w:rtl w:val="true"/>
        </w:rPr>
        <w:t>(</w:t>
      </w:r>
      <w:r>
        <w:rPr>
          <w:rtl w:val="true"/>
        </w:rPr>
        <w:t xml:space="preserve">ראו פרוטוקול מיום </w:t>
      </w:r>
      <w:r>
        <w:rPr/>
        <w:t>11.7.2016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248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11-4</w:t>
      </w:r>
      <w:r>
        <w:rPr>
          <w:rtl w:val="true"/>
        </w:rPr>
        <w:t xml:space="preserve">;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256-255</w:t>
      </w:r>
      <w:r>
        <w:rPr>
          <w:rtl w:val="true"/>
        </w:rPr>
        <w:t xml:space="preserve">). </w:t>
      </w:r>
      <w:r>
        <w:rPr>
          <w:rtl w:val="true"/>
        </w:rPr>
        <w:t>המערער כבש את טענת השכרות שלו ולא נתן לכך שום הסבר שיכול היה להתקבל על הדעת</w:t>
      </w:r>
      <w:r>
        <w:rPr>
          <w:rtl w:val="true"/>
        </w:rPr>
        <w:t xml:space="preserve">, </w:t>
      </w:r>
      <w:r>
        <w:rPr>
          <w:rtl w:val="true"/>
        </w:rPr>
        <w:t>גם כאשר לא היה שיכור</w:t>
      </w:r>
      <w:r>
        <w:rPr>
          <w:rtl w:val="true"/>
        </w:rPr>
        <w:t xml:space="preserve">. </w:t>
      </w:r>
      <w:r>
        <w:rPr>
          <w:rtl w:val="true"/>
        </w:rPr>
        <w:t>קריסתו של סיפור התאונה והעדר הסבר סביר לכבישתה התמוהה של טענת השכרות משאירים אותנו עם הראיות הבאות</w:t>
      </w:r>
      <w:r>
        <w:rPr>
          <w:rtl w:val="true"/>
        </w:rPr>
        <w:t xml:space="preserve">: </w:t>
      </w:r>
      <w:r>
        <w:rPr>
          <w:rtl w:val="true"/>
        </w:rPr>
        <w:t>שתי דקירות קטלניות שהמערער נעץ בגרונה של אשתו המנוחה באמצעות סכין הקומנדו</w:t>
      </w:r>
      <w:r>
        <w:rPr>
          <w:rtl w:val="true"/>
        </w:rPr>
        <w:t xml:space="preserve">; </w:t>
      </w:r>
      <w:r>
        <w:rPr>
          <w:rtl w:val="true"/>
        </w:rPr>
        <w:t>ממצא רפואי חד</w:t>
      </w:r>
      <w:r>
        <w:rPr>
          <w:rtl w:val="true"/>
        </w:rPr>
        <w:t>-</w:t>
      </w:r>
      <w:r>
        <w:rPr>
          <w:rtl w:val="true"/>
        </w:rPr>
        <w:t xml:space="preserve">משמעי שהמנוחה מצאה את מותה כתוצאה מדקירות סכין אלה או אחת מהן </w:t>
      </w:r>
      <w:r>
        <w:rPr>
          <w:rtl w:val="true"/>
        </w:rPr>
        <w:t>(</w:t>
      </w:r>
      <w:r>
        <w:rPr>
          <w:rtl w:val="true"/>
        </w:rPr>
        <w:t>ראו ת</w:t>
      </w:r>
      <w:r>
        <w:rPr>
          <w:rtl w:val="true"/>
        </w:rPr>
        <w:t>/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); </w:t>
      </w:r>
      <w:r>
        <w:rPr>
          <w:rtl w:val="true"/>
        </w:rPr>
        <w:t>והעובדה הבלתי ניתנת להכחשה שהדקירות המדויקות והעמוקות הללו היו מעשה מכוון</w:t>
      </w:r>
      <w:r>
        <w:rPr>
          <w:rtl w:val="true"/>
        </w:rPr>
        <w:t xml:space="preserve">. </w:t>
      </w:r>
      <w:r>
        <w:rPr>
          <w:rtl w:val="true"/>
        </w:rPr>
        <w:t>חיבורן של ראיות כאמור מביאני למסקנה חד</w:t>
      </w:r>
      <w:r>
        <w:rPr>
          <w:rtl w:val="true"/>
        </w:rPr>
        <w:t>-</w:t>
      </w:r>
      <w:r>
        <w:rPr>
          <w:rtl w:val="true"/>
        </w:rPr>
        <w:t>משמעית ויחידה כי המערער רצח את אשתו באמצעות דקירות סכין וכי הוא עשה כן בכוונה תחילה ולא מתוך דעה מטושטשת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למעלה מן הנדרש</w:t>
      </w:r>
      <w:r>
        <w:rPr>
          <w:rtl w:val="true"/>
        </w:rPr>
        <w:t xml:space="preserve">, </w:t>
      </w:r>
      <w:r>
        <w:rPr>
          <w:rtl w:val="true"/>
        </w:rPr>
        <w:t>אפנה לראיות נוספות אשר שופכות אור על מצב המערער כשעה לפני האירוע ובסמוך לאחריו</w:t>
      </w:r>
      <w:r>
        <w:rPr>
          <w:rtl w:val="true"/>
        </w:rPr>
        <w:t xml:space="preserve">. </w:t>
      </w:r>
      <w:r>
        <w:rPr>
          <w:rtl w:val="true"/>
        </w:rPr>
        <w:t>הראיה הראשונה מבחינה כרונולוגית היא תכתובת המסרונים שבין המערער לאשתו</w:t>
      </w:r>
      <w:r>
        <w:rPr>
          <w:rtl w:val="true"/>
        </w:rPr>
        <w:t xml:space="preserve">, </w:t>
      </w:r>
      <w:r>
        <w:rPr>
          <w:rtl w:val="true"/>
        </w:rPr>
        <w:t>אשר קוימה באמצעות מכשירי טלפון סלולריים</w:t>
      </w:r>
      <w:r>
        <w:rPr>
          <w:rtl w:val="true"/>
        </w:rPr>
        <w:t xml:space="preserve">. </w:t>
      </w:r>
      <w:r>
        <w:rPr>
          <w:rtl w:val="true"/>
        </w:rPr>
        <w:t>תכתובת זו כללה מסרונים שנכתבו על ידי המערער</w:t>
      </w:r>
      <w:r>
        <w:rPr>
          <w:rtl w:val="true"/>
        </w:rPr>
        <w:t xml:space="preserve">, </w:t>
      </w:r>
      <w:r>
        <w:rPr>
          <w:rtl w:val="true"/>
        </w:rPr>
        <w:t>ואלו היו ברורים</w:t>
      </w:r>
      <w:r>
        <w:rPr>
          <w:rtl w:val="true"/>
        </w:rPr>
        <w:t xml:space="preserve">, </w:t>
      </w:r>
      <w:r>
        <w:rPr>
          <w:rtl w:val="true"/>
        </w:rPr>
        <w:t>סדורים ומכווני מטרה</w:t>
      </w:r>
      <w:r>
        <w:rPr>
          <w:rtl w:val="true"/>
        </w:rPr>
        <w:t xml:space="preserve">: </w:t>
      </w:r>
      <w:r>
        <w:rPr>
          <w:rtl w:val="true"/>
        </w:rPr>
        <w:t>לשכנע את אשתו לשוב הביתה בשעה סבירה</w:t>
      </w:r>
      <w:r>
        <w:rPr>
          <w:rtl w:val="true"/>
        </w:rPr>
        <w:t xml:space="preserve">, </w:t>
      </w:r>
      <w:r>
        <w:rPr>
          <w:rtl w:val="true"/>
        </w:rPr>
        <w:t>בשעה שזו בילתה עם גבר אחר</w:t>
      </w:r>
      <w:r>
        <w:rPr>
          <w:rtl w:val="true"/>
        </w:rPr>
        <w:t xml:space="preserve">, </w:t>
      </w:r>
      <w:r>
        <w:rPr>
          <w:rtl w:val="true"/>
        </w:rPr>
        <w:t xml:space="preserve">לפי החשד של המערער </w:t>
      </w:r>
      <w:r>
        <w:rPr>
          <w:rtl w:val="true"/>
        </w:rPr>
        <w:t>(</w:t>
      </w:r>
      <w:r>
        <w:rPr>
          <w:rtl w:val="true"/>
        </w:rPr>
        <w:t>ראו 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; </w:t>
      </w:r>
      <w:r>
        <w:rPr>
          <w:rtl w:val="true"/>
        </w:rPr>
        <w:t xml:space="preserve">פרוטוקול מיום </w:t>
      </w:r>
      <w:r>
        <w:rPr/>
        <w:t>16.1.2017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327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30-27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הראיה השנייה היא עדותו של רס״ר שבו</w:t>
      </w:r>
      <w:r>
        <w:rPr>
          <w:rtl w:val="true"/>
        </w:rPr>
        <w:t xml:space="preserve">, </w:t>
      </w:r>
      <w:r>
        <w:rPr>
          <w:sz w:val="22"/>
          <w:sz w:val="22"/>
          <w:rtl w:val="true"/>
        </w:rPr>
        <w:t>השוטר הראשון שהגיע לזירת האירוע</w:t>
      </w:r>
      <w:r>
        <w:rPr>
          <w:rtl w:val="true"/>
        </w:rPr>
        <w:t xml:space="preserve">. </w:t>
      </w:r>
      <w:r>
        <w:rPr>
          <w:rtl w:val="true"/>
        </w:rPr>
        <w:t xml:space="preserve">רס״ר שבו העיד כי ראה את המערער יושב ואוכל גבינה צהובה כשהוא נראה שלו ולא מגלה סימנים של שכרות </w:t>
      </w:r>
      <w:r>
        <w:rPr>
          <w:rtl w:val="true"/>
        </w:rPr>
        <w:t>(</w:t>
      </w:r>
      <w:r>
        <w:rPr>
          <w:rtl w:val="true"/>
        </w:rPr>
        <w:t xml:space="preserve">ראו פרוטוקול מיום </w:t>
      </w:r>
      <w:r>
        <w:rPr/>
        <w:t>7.3.2016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33-31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הראיה השלישית היא עדותו של רס״ר שקורי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הדיווח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 שקורי העיד כי</w:t>
      </w:r>
      <w:r>
        <w:rPr>
          <w:rtl w:val="true"/>
        </w:rPr>
        <w:t xml:space="preserve"> </w:t>
      </w:r>
      <w:r>
        <w:rPr>
          <w:rtl w:val="true"/>
        </w:rPr>
        <w:t xml:space="preserve">המערער אף סיפר לו כי שתה </w:t>
      </w:r>
      <w:r>
        <w:rPr>
          <w:rFonts w:cs="Miriam"/>
          <w:szCs w:val="24"/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המעשה שעשה</w:t>
      </w:r>
      <w:r>
        <w:rPr>
          <w:rtl w:val="true"/>
        </w:rPr>
        <w:t>" (</w:t>
      </w:r>
      <w:r>
        <w:rPr>
          <w:rtl w:val="true"/>
        </w:rPr>
        <w:t>ראו ת</w:t>
      </w:r>
      <w:r>
        <w:rPr>
          <w:rtl w:val="true"/>
        </w:rPr>
        <w:t>/</w:t>
      </w:r>
      <w:r>
        <w:rPr/>
        <w:t>41</w:t>
      </w:r>
      <w:r>
        <w:rPr>
          <w:rtl w:val="true"/>
        </w:rPr>
        <w:t xml:space="preserve">; </w:t>
      </w:r>
      <w:r>
        <w:rPr>
          <w:rtl w:val="true"/>
        </w:rPr>
        <w:t xml:space="preserve">פרוטוקול מיום </w:t>
      </w:r>
      <w:r>
        <w:rPr/>
        <w:t>7.3.2016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5-1</w:t>
      </w:r>
      <w:r>
        <w:rPr>
          <w:rtl w:val="true"/>
        </w:rPr>
        <w:t xml:space="preserve">). </w:t>
      </w:r>
      <w:r>
        <w:rPr>
          <w:rtl w:val="true"/>
        </w:rPr>
        <w:t>עדות זו של רס״ר שקורי נתמכה בדברי המערער עצמו בחקירתו במשטרה</w:t>
      </w:r>
      <w:r>
        <w:rPr>
          <w:rtl w:val="true"/>
        </w:rPr>
        <w:t xml:space="preserve">: </w:t>
      </w:r>
      <w:r>
        <w:rPr>
          <w:rtl w:val="true"/>
        </w:rPr>
        <w:t>בתגובה לשאלת חוקרו מדוע לא התקשר למשטרה מיד אחרי האירוע</w:t>
      </w:r>
      <w:r>
        <w:rPr>
          <w:rtl w:val="true"/>
        </w:rPr>
        <w:t xml:space="preserve">, </w:t>
      </w:r>
      <w:r>
        <w:rPr>
          <w:rtl w:val="true"/>
        </w:rPr>
        <w:t xml:space="preserve">הלה השיב כי נמנע מלעשות כן כדי </w:t>
      </w:r>
      <w:r>
        <w:rPr>
          <w:rtl w:val="true"/>
        </w:rPr>
        <w:t>"</w:t>
      </w:r>
      <w:r>
        <w:rPr>
          <w:rtl w:val="true"/>
        </w:rPr>
        <w:t xml:space="preserve">לשבת עם עצמי בשקט ולשתות </w:t>
      </w:r>
      <w:r>
        <w:rPr>
          <w:rtl w:val="true"/>
        </w:rPr>
        <w:t xml:space="preserve">[...] </w:t>
      </w:r>
      <w:r>
        <w:rPr>
          <w:rtl w:val="true"/>
        </w:rPr>
        <w:t>את הויסק</w:t>
      </w:r>
      <w:r>
        <w:rPr>
          <w:rtl w:val="true"/>
        </w:rPr>
        <w:t>י</w:t>
      </w:r>
      <w:r>
        <w:rPr>
          <w:rtl w:val="true"/>
        </w:rPr>
        <w:t xml:space="preserve"> שלי עד הסוף כמה שאני צריך </w:t>
      </w:r>
      <w:r>
        <w:rPr>
          <w:rtl w:val="true"/>
        </w:rPr>
        <w:t xml:space="preserve">[...] </w:t>
      </w:r>
      <w:r>
        <w:rPr>
          <w:rtl w:val="true"/>
        </w:rPr>
        <w:t>כי אני לא שתיתי הרבה זמן</w:t>
      </w:r>
      <w:r>
        <w:rPr>
          <w:rtl w:val="true"/>
        </w:rPr>
        <w:t>" (</w:t>
      </w:r>
      <w:r>
        <w:rPr>
          <w:rtl w:val="true"/>
        </w:rPr>
        <w:t>ראו 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17-11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כל זה מסביר מדוע חוקריו של המערער לא ניסו לבצע בו בדיקת אלכוהול בסמוך למעצרו</w:t>
      </w:r>
      <w:r>
        <w:rPr>
          <w:rtl w:val="true"/>
        </w:rPr>
        <w:t xml:space="preserve">. </w:t>
      </w:r>
      <w:r>
        <w:rPr>
          <w:rtl w:val="true"/>
        </w:rPr>
        <w:t>סנגורו של המערער התלונן על כך באוזנינו</w:t>
      </w:r>
      <w:r>
        <w:rPr>
          <w:rtl w:val="true"/>
        </w:rPr>
        <w:t xml:space="preserve">, </w:t>
      </w:r>
      <w:r>
        <w:rPr>
          <w:rtl w:val="true"/>
        </w:rPr>
        <w:t>אך אני לא מוצא פגם חמור בהחלטת החוקרים</w:t>
      </w:r>
      <w:r>
        <w:rPr>
          <w:rtl w:val="true"/>
        </w:rPr>
        <w:t xml:space="preserve">. </w:t>
      </w:r>
      <w:r>
        <w:rPr>
          <w:rtl w:val="true"/>
        </w:rPr>
        <w:t>במבט לאחור</w:t>
      </w:r>
      <w:r>
        <w:rPr>
          <w:rtl w:val="true"/>
        </w:rPr>
        <w:t xml:space="preserve">, </w:t>
      </w:r>
      <w:r>
        <w:rPr>
          <w:rtl w:val="true"/>
        </w:rPr>
        <w:t>ייתכן שטוב היה אילו המערער עבר בדיקת אלכוהול בסמוך למעצרו</w:t>
      </w:r>
      <w:r>
        <w:rPr>
          <w:rtl w:val="true"/>
        </w:rPr>
        <w:t xml:space="preserve">, </w:t>
      </w:r>
      <w:r>
        <w:rPr>
          <w:rtl w:val="true"/>
        </w:rPr>
        <w:t>אך חקירה משטרתית המתקיימת בתנאי לחץ איננה כליל השלמות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יתרה מכך</w:t>
      </w:r>
      <w:r>
        <w:rPr>
          <w:rtl w:val="true"/>
        </w:rPr>
        <w:t xml:space="preserve">: </w:t>
      </w:r>
      <w:r>
        <w:rPr>
          <w:rtl w:val="true"/>
        </w:rPr>
        <w:t xml:space="preserve">המערער הדגיש מספר פעמים במהלך חקירותיו במשטרה כי שתה משקאות חריפים לכל אורכו של יום האירוע </w:t>
      </w:r>
      <w:r>
        <w:rPr>
          <w:rtl w:val="true"/>
        </w:rPr>
        <w:t>(</w:t>
      </w:r>
      <w:r>
        <w:rPr>
          <w:rtl w:val="true"/>
        </w:rPr>
        <w:t>ראו 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38-31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69-65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31-25</w:t>
      </w:r>
      <w:r>
        <w:rPr>
          <w:rtl w:val="true"/>
        </w:rPr>
        <w:t xml:space="preserve">) </w:t>
      </w:r>
      <w:r>
        <w:rPr>
          <w:rtl w:val="true"/>
        </w:rPr>
        <w:t xml:space="preserve">ולכן היה </w:t>
      </w:r>
      <w:r>
        <w:rPr>
          <w:rtl w:val="true"/>
        </w:rPr>
        <w:t>"</w:t>
      </w:r>
      <w:r>
        <w:rPr>
          <w:rtl w:val="true"/>
        </w:rPr>
        <w:t>מסטול</w:t>
      </w:r>
      <w:r>
        <w:rPr>
          <w:rtl w:val="true"/>
        </w:rPr>
        <w:t xml:space="preserve">" </w:t>
      </w:r>
      <w:r>
        <w:rPr>
          <w:rtl w:val="true"/>
        </w:rPr>
        <w:t xml:space="preserve">בעת ביצוע העבירה </w:t>
      </w:r>
      <w:r>
        <w:rPr>
          <w:rtl w:val="true"/>
        </w:rPr>
        <w:t>(</w:t>
      </w:r>
      <w:r>
        <w:rPr>
          <w:rtl w:val="true"/>
        </w:rPr>
        <w:t>ראו 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27-26</w:t>
      </w:r>
      <w:r>
        <w:rPr>
          <w:rtl w:val="true"/>
        </w:rPr>
        <w:t xml:space="preserve">;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18-12</w:t>
      </w:r>
      <w:r>
        <w:rPr>
          <w:rtl w:val="true"/>
        </w:rPr>
        <w:t xml:space="preserve">;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8-7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9-8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המוכר בחנות ״ג</w:t>
      </w:r>
      <w:r>
        <w:rPr>
          <w:rtl w:val="true"/>
        </w:rPr>
        <w:t>'</w:t>
      </w:r>
      <w:r>
        <w:rPr>
          <w:rtl w:val="true"/>
        </w:rPr>
        <w:t>נטלמן״ בה רכש המערער את סכין הקומנדו</w:t>
      </w:r>
      <w:r>
        <w:rPr>
          <w:rtl w:val="true"/>
        </w:rPr>
        <w:t xml:space="preserve">, </w:t>
      </w:r>
      <w:r>
        <w:rPr>
          <w:rtl w:val="true"/>
        </w:rPr>
        <w:t>כמו גם חבריהם של המערער ואשתו המנוחה</w:t>
      </w:r>
      <w:r>
        <w:rPr>
          <w:rtl w:val="true"/>
        </w:rPr>
        <w:t xml:space="preserve">, </w:t>
      </w:r>
      <w:r>
        <w:rPr>
          <w:rtl w:val="true"/>
        </w:rPr>
        <w:t>אשר פגשו את המערער ביום האירוע</w:t>
      </w:r>
      <w:r>
        <w:rPr>
          <w:rtl w:val="true"/>
        </w:rPr>
        <w:t xml:space="preserve">, </w:t>
      </w:r>
      <w:r>
        <w:rPr>
          <w:rtl w:val="true"/>
        </w:rPr>
        <w:t xml:space="preserve">העידו כי לא הבחינו בכך שהמערער היה שתוי </w:t>
      </w:r>
      <w:r>
        <w:rPr>
          <w:rtl w:val="true"/>
        </w:rPr>
        <w:t>(</w:t>
      </w:r>
      <w:r>
        <w:rPr>
          <w:rtl w:val="true"/>
        </w:rPr>
        <w:t xml:space="preserve">ראו פרוטוקול מיום </w:t>
      </w:r>
      <w:r>
        <w:rPr/>
        <w:t>7.3.2016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78</w:t>
      </w:r>
      <w:r>
        <w:rPr>
          <w:rtl w:val="true"/>
        </w:rPr>
        <w:t xml:space="preserve">; </w:t>
      </w:r>
      <w:r>
        <w:rPr>
          <w:rtl w:val="true"/>
        </w:rPr>
        <w:t xml:space="preserve">פרוטוקול מיום </w:t>
      </w:r>
      <w:r>
        <w:rPr/>
        <w:t>9.5.2016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87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10-2</w:t>
      </w:r>
      <w:r>
        <w:rPr>
          <w:rtl w:val="true"/>
        </w:rPr>
        <w:t xml:space="preserve">;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90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לעדויות אלה מצטרפות עדויותיהם של רס</w:t>
      </w:r>
      <w:r>
        <w:rPr>
          <w:rtl w:val="true"/>
        </w:rPr>
        <w:t>"</w:t>
      </w:r>
      <w:r>
        <w:rPr>
          <w:rtl w:val="true"/>
        </w:rPr>
        <w:t>ר שבו ורס</w:t>
      </w:r>
      <w:r>
        <w:rPr>
          <w:rtl w:val="true"/>
        </w:rPr>
        <w:t>"</w:t>
      </w:r>
      <w:r>
        <w:rPr>
          <w:rtl w:val="true"/>
        </w:rPr>
        <w:t>ר שקורי</w:t>
      </w:r>
      <w:r>
        <w:rPr>
          <w:rtl w:val="true"/>
        </w:rPr>
        <w:t xml:space="preserve">, </w:t>
      </w:r>
      <w:r>
        <w:rPr>
          <w:rtl w:val="true"/>
        </w:rPr>
        <w:t>שכבר הזכרתיהן לעיל</w:t>
      </w:r>
      <w:r>
        <w:rPr>
          <w:rtl w:val="true"/>
        </w:rPr>
        <w:t xml:space="preserve">, </w:t>
      </w:r>
      <w:r>
        <w:rPr>
          <w:rtl w:val="true"/>
        </w:rPr>
        <w:t>וראיות נוספות כדלקמן</w:t>
      </w:r>
      <w:r>
        <w:rPr>
          <w:rtl w:val="true"/>
        </w:rPr>
        <w:t xml:space="preserve">: </w:t>
      </w:r>
      <w:r>
        <w:rPr>
          <w:rtl w:val="true"/>
        </w:rPr>
        <w:t>זמן קצר אחרי האירוע</w:t>
      </w:r>
      <w:r>
        <w:rPr>
          <w:rtl w:val="true"/>
        </w:rPr>
        <w:t xml:space="preserve">, </w:t>
      </w:r>
      <w:r>
        <w:rPr>
          <w:rtl w:val="true"/>
        </w:rPr>
        <w:t xml:space="preserve">המערער כיסה את גופת המנוחה פן ילדיהם יראו את המראה הקשה </w:t>
      </w:r>
      <w:r>
        <w:rPr>
          <w:rtl w:val="true"/>
        </w:rPr>
        <w:t>(</w:t>
      </w:r>
      <w:r>
        <w:rPr>
          <w:rtl w:val="true"/>
        </w:rPr>
        <w:t xml:space="preserve">ראו פרוטוקול מיום </w:t>
      </w:r>
      <w:r>
        <w:rPr/>
        <w:t>11.7.2016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248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11-9</w:t>
      </w:r>
      <w:r>
        <w:rPr>
          <w:rtl w:val="true"/>
        </w:rPr>
        <w:t xml:space="preserve">;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256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6-5</w:t>
      </w:r>
      <w:r>
        <w:rPr>
          <w:rtl w:val="true"/>
        </w:rPr>
        <w:t xml:space="preserve">); </w:t>
      </w:r>
      <w:r>
        <w:rPr>
          <w:rtl w:val="true"/>
        </w:rPr>
        <w:t xml:space="preserve">המערער הדליק את המזגן ופתח חלונות בדירה כי </w:t>
      </w:r>
      <w:r>
        <w:rPr>
          <w:rtl w:val="true"/>
        </w:rPr>
        <w:t>"</w:t>
      </w:r>
      <w:r>
        <w:rPr>
          <w:rtl w:val="true"/>
        </w:rPr>
        <w:t>התחלתי להריח ריח של דם בבית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13-10</w:t>
      </w:r>
      <w:r>
        <w:rPr>
          <w:rtl w:val="true"/>
        </w:rPr>
        <w:t xml:space="preserve">); </w:t>
      </w:r>
      <w:r>
        <w:rPr>
          <w:rtl w:val="true"/>
        </w:rPr>
        <w:t>הוא נתן אייפד לבן הבכור שהתעורר</w:t>
      </w:r>
      <w:r>
        <w:rPr>
          <w:rtl w:val="true"/>
        </w:rPr>
        <w:t xml:space="preserve">, </w:t>
      </w:r>
      <w:r>
        <w:rPr>
          <w:rtl w:val="true"/>
        </w:rPr>
        <w:t xml:space="preserve">כדי להעסיקו ולמנוע ממנו לצאת מן החדר </w:t>
      </w:r>
      <w:r>
        <w:rPr>
          <w:rtl w:val="true"/>
        </w:rPr>
        <w:t>(</w:t>
      </w:r>
      <w:r>
        <w:rPr>
          <w:rtl w:val="true"/>
        </w:rPr>
        <w:t xml:space="preserve">ראו פרוטוקול מיום </w:t>
      </w:r>
      <w:r>
        <w:rPr/>
        <w:t>11.7.2016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257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28-22</w:t>
      </w:r>
      <w:r>
        <w:rPr>
          <w:rtl w:val="true"/>
        </w:rPr>
        <w:t xml:space="preserve">;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275</w:t>
      </w:r>
      <w:r>
        <w:rPr>
          <w:rtl w:val="true"/>
        </w:rPr>
        <w:t xml:space="preserve">); </w:t>
      </w:r>
      <w:r>
        <w:rPr>
          <w:rtl w:val="true"/>
        </w:rPr>
        <w:t>וכאשר התקשר המערער למוקד המשטרתי ודיווח באופן ענייני וממוקד אודות האירוע</w:t>
      </w:r>
      <w:r>
        <w:rPr>
          <w:rtl w:val="true"/>
        </w:rPr>
        <w:t xml:space="preserve">, </w:t>
      </w:r>
      <w:r>
        <w:rPr>
          <w:rtl w:val="true"/>
        </w:rPr>
        <w:t xml:space="preserve">הוא הוסיף כי יש ילדים בבית שצריך להוציא ואף הבהיר למוקדנית עת ששאלה אותו </w:t>
      </w:r>
      <w:r>
        <w:rPr>
          <w:rtl w:val="true"/>
        </w:rPr>
        <w:t>"</w:t>
      </w:r>
      <w:r>
        <w:rPr>
          <w:rtl w:val="true"/>
        </w:rPr>
        <w:t>איזה קומה אמרת</w:t>
      </w:r>
      <w:r>
        <w:rPr>
          <w:rtl w:val="true"/>
        </w:rPr>
        <w:t xml:space="preserve">?"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אני לא אמרתי קומה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מן המקובץ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התשתית הראייתית שהונחה לפני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קמא מוכיחה מעבר לכל ספק סביר כי המערער לא היה נתון בשעת המעשה תחת השפעת אלכוהול</w:t>
      </w:r>
      <w:r>
        <w:rPr>
          <w:rtl w:val="true"/>
        </w:rPr>
        <w:t xml:space="preserve">. </w:t>
      </w:r>
      <w:r>
        <w:rPr>
          <w:rtl w:val="true"/>
        </w:rPr>
        <w:t>למען הזהירות</w:t>
      </w:r>
      <w:r>
        <w:rPr>
          <w:rtl w:val="true"/>
        </w:rPr>
        <w:t xml:space="preserve">, </w:t>
      </w:r>
      <w:r>
        <w:rPr>
          <w:rtl w:val="true"/>
        </w:rPr>
        <w:t>אתייחס כעת לפן המשפטי של הגנת השכרות כשאני מניח לטובת המערער כי הוא אכן צרך אלכוהול בסמוך לאירוע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שכרות</w:t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>
          <w:rFonts w:cs="Times New Roman" w:ascii="Times New Roman" w:hAnsi="Times New Roman"/>
        </w:rPr>
        <w:t>33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הוראות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 xml:space="preserve"> 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שעניינן שכרותו של מבצע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מרחיבות במובן מסוים את אחריותו הפלילית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אלמלא עבר את העבירה במצב של שכרות</w:t>
      </w:r>
      <w:r>
        <w:rPr>
          <w:rtl w:val="true"/>
        </w:rPr>
        <w:t xml:space="preserve">, </w:t>
      </w:r>
      <w:r>
        <w:rPr>
          <w:rtl w:val="true"/>
        </w:rPr>
        <w:t>שלתוכו הוא נכנס מרצון חופשי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שפעל בחוסר ידיעה הייתה מקנה לו פטור מלתת את הדין על מעשיו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color w:val="000000"/>
          <w:rtl w:val="true"/>
        </w:rPr>
        <w:t>פלר</w:t>
      </w:r>
      <w:r>
        <w:rPr>
          <w:color w:val="000000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יסודות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עונשין</w:t>
        </w:r>
      </w:hyperlink>
      <w:r>
        <w:rPr>
          <w:rtl w:val="true"/>
        </w:rPr>
        <w:t xml:space="preserve"> כרך</w:t>
      </w:r>
      <w:r>
        <w:rPr>
          <w:sz w:val="28"/>
          <w:sz w:val="28"/>
          <w:rtl w:val="true"/>
        </w:rPr>
        <w:t xml:space="preserve"> ב </w:t>
      </w:r>
      <w:r>
        <w:rPr>
          <w:sz w:val="28"/>
        </w:rPr>
        <w:t>587</w:t>
      </w:r>
      <w:r>
        <w:rPr>
          <w:rtl w:val="true"/>
        </w:rPr>
        <w:t xml:space="preserve"> (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); </w:t>
      </w:r>
      <w:r>
        <w:rPr>
          <w:rtl w:val="true"/>
        </w:rPr>
        <w:t>מ</w:t>
      </w:r>
      <w:r>
        <w:rPr>
          <w:rtl w:val="true"/>
        </w:rPr>
        <w:t>רים</w:t>
      </w:r>
      <w:r>
        <w:rPr>
          <w:rtl w:val="true"/>
        </w:rPr>
        <w:t xml:space="preserve"> גור</w:t>
      </w:r>
      <w:r>
        <w:rPr>
          <w:rtl w:val="true"/>
        </w:rPr>
        <w:t>-</w:t>
      </w:r>
      <w:hyperlink r:id="rId41"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הצעת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חלק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rtl w:val="true"/>
        </w:rPr>
        <w:t xml:space="preserve">  מקדמי וחלק כללי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1992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eastAsia="Garamond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 xml:space="preserve">כד </w:t>
      </w:r>
      <w:r>
        <w:rPr>
          <w:sz w:val="28"/>
        </w:rPr>
        <w:t>9</w:t>
      </w:r>
      <w:r>
        <w:rPr>
          <w:sz w:val="28"/>
          <w:rtl w:val="true"/>
        </w:rPr>
        <w:t xml:space="preserve">, </w:t>
      </w:r>
      <w:r>
        <w:rPr>
          <w:sz w:val="28"/>
        </w:rPr>
        <w:t>56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תשנ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7164/10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1.12.2011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אן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6679/04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סטקלר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54</w:t>
      </w:r>
      <w:r>
        <w:rPr>
          <w:rtl w:val="true"/>
        </w:rPr>
        <w:t xml:space="preserve"> (</w:t>
      </w:r>
      <w:r>
        <w:rPr/>
        <w:t>11.5.2006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סטקלר</w:t>
      </w:r>
      <w:r>
        <w:rPr>
          <w:rtl w:val="true"/>
        </w:rPr>
        <w:t xml:space="preserve">)). </w:t>
      </w: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 xml:space="preserve">במקרים מסוימים עשוי המצב של שכרות לעורר ספק סביר באשר לשאלה האם נתגבשה אצל מבצע העבירה כוונה לגרום לתוצאה האסורה </w:t>
      </w:r>
      <w:r>
        <w:rPr>
          <w:rtl w:val="true"/>
        </w:rPr>
        <w:t>–</w:t>
      </w:r>
      <w:r>
        <w:rPr>
          <w:rtl w:val="true"/>
        </w:rPr>
        <w:t xml:space="preserve"> וככל שכך הדבר</w:t>
      </w:r>
      <w:r>
        <w:rPr>
          <w:rtl w:val="true"/>
        </w:rPr>
        <w:t xml:space="preserve">, </w:t>
      </w:r>
      <w:r>
        <w:rPr>
          <w:rtl w:val="true"/>
        </w:rPr>
        <w:t xml:space="preserve">לא יורשע המבצע בעבירה שהיסוד הנפשי הנדרש להתהוותה הוא כוונה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סטקלר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55</w:t>
      </w:r>
      <w:r>
        <w:rPr>
          <w:rtl w:val="true"/>
        </w:rPr>
        <w:t xml:space="preserve">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5266/05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זלנצקי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(</w:t>
      </w:r>
      <w:r>
        <w:rPr/>
        <w:t>22.2.2007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זלנצקי</w:t>
      </w:r>
      <w:r>
        <w:rPr>
          <w:rtl w:val="true"/>
        </w:rPr>
        <w:t>)).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34</w:t>
      </w:r>
      <w:r>
        <w:rPr>
          <w:rFonts w:cs="Times New Roman" w:ascii="Times New Roman" w:hAnsi="Times New Roman"/>
          <w:rtl w:val="true"/>
        </w:rPr>
        <w:t>.</w:t>
        <w:tab/>
      </w:r>
      <w:hyperlink r:id="rId4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34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ט</w:t>
        </w:r>
      </w:hyperlink>
      <w:r>
        <w:rPr>
          <w:rFonts w:ascii="Times New Roman" w:hAnsi="Times New Roman" w:cs="Times New Roman"/>
          <w:rtl w:val="true"/>
        </w:rPr>
        <w:t xml:space="preserve"> ל</w:t>
      </w:r>
      <w:hyperlink r:id="rId4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Times New Roman" w:hAnsi="Times New Roman" w:cs="Times New Roman"/>
          <w:rtl w:val="true"/>
        </w:rPr>
        <w:t xml:space="preserve"> קובע 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spacing w:lineRule="auto" w:line="360" w:before="0" w:after="0"/>
        <w:ind w:end="1282"/>
        <w:contextualSpacing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לא יישא אדם באחריות פלילית למעשה שעשה במצב של שכרות שנגרמה שלא בהתנהגותו הנשלטת או שלא מדעתו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spacing w:lineRule="auto" w:line="360" w:before="0" w:after="0"/>
        <w:ind w:end="1282"/>
        <w:contextualSpacing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>)</w:t>
        <w:tab/>
      </w:r>
      <w:r>
        <w:rPr>
          <w:rStyle w:val="default"/>
          <w:rFonts w:ascii="Century" w:hAnsi="Century" w:cs="Century"/>
          <w:rtl w:val="true"/>
        </w:rPr>
        <w:t>עשה אדם מעשה במצב של שכרות והוא גרם למצב זה בהתנהגותו הנשלטת ומדעת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רואים אותו כמי שעשה את המעשה במחשבה פלילית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אם העבירה היא של התנהגות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באדישות אם העבירה מותנית גם בתוצאה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spacing w:lineRule="auto" w:line="360" w:before="0" w:after="0"/>
        <w:ind w:end="1282"/>
        <w:contextualSpacing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ג</w:t>
      </w:r>
      <w:r>
        <w:rPr>
          <w:rStyle w:val="default"/>
          <w:rFonts w:cs="Century" w:ascii="Century" w:hAnsi="Century"/>
          <w:rtl w:val="true"/>
        </w:rPr>
        <w:t>)</w:t>
        <w:tab/>
      </w:r>
      <w:r>
        <w:rPr>
          <w:rStyle w:val="default"/>
          <w:rFonts w:ascii="Century" w:hAnsi="Century" w:cs="Century"/>
          <w:rtl w:val="true"/>
        </w:rPr>
        <w:t>גרם אדם למצב השכרות כדי לעבור בו את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רואים אותו כמי שעבר אותה במחשבה פלילית אם היא עבירה של התנהגות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בכוונה אם היא מותנית גם בתוצאה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spacing w:lineRule="auto" w:line="360" w:before="0" w:after="0"/>
        <w:ind w:end="1282"/>
        <w:contextualSpacing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ד</w:t>
      </w:r>
      <w:r>
        <w:rPr>
          <w:rStyle w:val="default"/>
          <w:rFonts w:cs="Century" w:ascii="Century" w:hAnsi="Century"/>
          <w:rtl w:val="true"/>
        </w:rPr>
        <w:t>)</w:t>
        <w:tab/>
      </w:r>
      <w:r>
        <w:rPr>
          <w:rStyle w:val="default"/>
          <w:rFonts w:ascii="Century" w:hAnsi="Century" w:cs="Century"/>
          <w:rtl w:val="true"/>
        </w:rPr>
        <w:t>בסעיף זה</w:t>
      </w:r>
      <w:r>
        <w:rPr>
          <w:rStyle w:val="default"/>
          <w:rFonts w:cs="Century" w:ascii="Century" w:hAnsi="Century"/>
          <w:rtl w:val="true"/>
        </w:rPr>
        <w:t>, "</w:t>
      </w:r>
      <w:r>
        <w:rPr>
          <w:rStyle w:val="default"/>
          <w:rFonts w:ascii="Century" w:hAnsi="Century" w:cs="Century"/>
          <w:rtl w:val="true"/>
        </w:rPr>
        <w:t>מצב של שכרות</w:t>
      </w:r>
      <w:r>
        <w:rPr>
          <w:rStyle w:val="default"/>
          <w:rFonts w:cs="Century" w:ascii="Century" w:hAnsi="Century"/>
          <w:rtl w:val="true"/>
        </w:rPr>
        <w:t xml:space="preserve">" - </w:t>
      </w:r>
      <w:r>
        <w:rPr>
          <w:rStyle w:val="default"/>
          <w:rFonts w:ascii="Century" w:hAnsi="Century" w:cs="Century"/>
          <w:rtl w:val="true"/>
        </w:rPr>
        <w:t>מצב שבו נמצא אדם בהשפעת חומר אלכוהולי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סם מסוכן או גורם מסמם אחר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ועקב כך הוא היה חסר יכולת של ממש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בשעת המעשה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להבין את אשר עשה או את הפסול שבמעשהו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להימנע מעשיית המעשה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spacing w:lineRule="auto" w:line="360" w:before="0" w:after="0"/>
        <w:ind w:end="1282"/>
        <w:contextualSpacing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ה</w:t>
      </w:r>
      <w:r>
        <w:rPr>
          <w:rStyle w:val="default"/>
          <w:rFonts w:cs="Century" w:ascii="Century" w:hAnsi="Century"/>
          <w:rtl w:val="true"/>
        </w:rPr>
        <w:t>)</w:t>
        <w:tab/>
      </w:r>
      <w:r>
        <w:rPr>
          <w:rStyle w:val="default"/>
          <w:rFonts w:ascii="Century" w:hAnsi="Century" w:cs="Century"/>
          <w:rtl w:val="true"/>
        </w:rPr>
        <w:t xml:space="preserve">סעיפים קטנים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), 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ו</w:t>
      </w:r>
      <w:r>
        <w:rPr>
          <w:rStyle w:val="default"/>
          <w:rFonts w:cs="Century" w:ascii="Century" w:hAnsi="Century"/>
          <w:rtl w:val="true"/>
        </w:rPr>
        <w:t>-(</w:t>
      </w:r>
      <w:r>
        <w:rPr>
          <w:rStyle w:val="default"/>
          <w:rFonts w:ascii="Century" w:hAnsi="Century" w:cs="Century"/>
          <w:rtl w:val="true"/>
        </w:rPr>
        <w:t>ג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 xml:space="preserve">חלים גם על מי שלא היה חסר יכולת כאמור בסעיף קטן </w:t>
      </w: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ד</w:t>
      </w:r>
      <w:r>
        <w:rPr>
          <w:rStyle w:val="default"/>
          <w:rFonts w:cs="Century" w:ascii="Century" w:hAnsi="Century"/>
          <w:rtl w:val="true"/>
        </w:rPr>
        <w:t xml:space="preserve">), </w:t>
      </w:r>
      <w:r>
        <w:rPr>
          <w:rStyle w:val="default"/>
          <w:rFonts w:ascii="Century" w:hAnsi="Century" w:cs="Century"/>
          <w:rtl w:val="true"/>
        </w:rPr>
        <w:t>אך עקב שכרות חלקית לא היה מודע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בשעת מעשה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לפרט מפרטי העבירה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 xml:space="preserve">מהאמור </w:t>
      </w:r>
      <w:hyperlink r:id="rId47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8"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עולה כי מבצע העבירה חוסה תחת סייג של שכרות חלקית</w:t>
      </w:r>
      <w:r>
        <w:rPr>
          <w:rtl w:val="true"/>
        </w:rPr>
        <w:t xml:space="preserve">, </w:t>
      </w:r>
      <w:r>
        <w:rPr>
          <w:rtl w:val="true"/>
        </w:rPr>
        <w:t>השולל את קיום הכוונה כאשר זו נדרשת להתהוות העבירה בה עסקינן</w:t>
      </w:r>
      <w:r>
        <w:rPr>
          <w:rtl w:val="true"/>
        </w:rPr>
        <w:t xml:space="preserve">, </w:t>
      </w:r>
      <w:r>
        <w:rPr>
          <w:rtl w:val="true"/>
        </w:rPr>
        <w:t>בהתקיים שלושה תנאים מצטברים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הוא זה</w:t>
      </w:r>
      <w:r>
        <w:rPr>
          <w:rtl w:val="true"/>
        </w:rPr>
        <w:t xml:space="preserve">: </w:t>
      </w:r>
      <w:r>
        <w:rPr>
          <w:rtl w:val="true"/>
        </w:rPr>
        <w:t xml:space="preserve">מבצע העבירה צריך להיות </w:t>
      </w:r>
      <w:r>
        <w:rPr>
          <w:rtl w:val="true"/>
        </w:rPr>
        <w:t>"</w:t>
      </w:r>
      <w:r>
        <w:rPr>
          <w:rtl w:val="true"/>
        </w:rPr>
        <w:t>במצב של שכרות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תחת השפעת חומר אלכוהולי</w:t>
      </w:r>
      <w:r>
        <w:rPr>
          <w:rtl w:val="true"/>
        </w:rPr>
        <w:t xml:space="preserve">, </w:t>
      </w:r>
      <w:r>
        <w:rPr>
          <w:rtl w:val="true"/>
        </w:rPr>
        <w:t>סם מסוכן או גורם מסמם אחר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 הוא חוסר מודעותו של מבצע העבירה לפרט מפרטי העבירה בשעת המעשה</w:t>
      </w:r>
      <w:r>
        <w:rPr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השלישי</w:t>
      </w:r>
      <w:r>
        <w:rPr>
          <w:rtl w:val="true"/>
        </w:rPr>
        <w:t xml:space="preserve"> הוא קיומו של קשר סיבתי בין השפעת החומר האלכוהולי או המסמם לבין חוסר המודעות כאמור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סטקלר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52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1493/98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1493/98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סטפ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sz w:val="28"/>
          <w:rtl w:val="true"/>
        </w:rPr>
        <w:t>(</w:t>
      </w:r>
      <w:r>
        <w:rPr>
          <w:sz w:val="28"/>
        </w:rPr>
        <w:t>4</w:t>
      </w:r>
      <w:r>
        <w:rPr>
          <w:sz w:val="28"/>
          <w:rtl w:val="true"/>
        </w:rPr>
        <w:t xml:space="preserve">) </w:t>
      </w:r>
      <w:r>
        <w:rPr>
          <w:sz w:val="28"/>
        </w:rPr>
        <w:t>679</w:t>
      </w:r>
      <w:r>
        <w:rPr>
          <w:sz w:val="28"/>
          <w:rtl w:val="true"/>
        </w:rPr>
        <w:t xml:space="preserve">, </w:t>
      </w:r>
      <w:r>
        <w:rPr>
          <w:sz w:val="28"/>
        </w:rPr>
        <w:t>685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 נזכור</w:t>
      </w:r>
      <w:r>
        <w:rPr>
          <w:rtl w:val="true"/>
        </w:rPr>
        <w:t xml:space="preserve">, </w:t>
      </w:r>
      <w:r>
        <w:rPr>
          <w:rtl w:val="true"/>
        </w:rPr>
        <w:t xml:space="preserve">כי אין די בריכוז אלכוהול גבוה בדם כשלעצמו כדי להקים את סייג השכרות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זלנצקי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46</w:t>
      </w:r>
      <w:r>
        <w:rPr>
          <w:rtl w:val="true"/>
        </w:rPr>
        <w:t>).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תנאים מצטברים אלה אינם מתקיימים במקרה דנן גם אם נאמין למערער כי שתה משקאות חריפים בסמוך לאירוע</w:t>
      </w:r>
      <w:r>
        <w:rPr>
          <w:rtl w:val="true"/>
        </w:rPr>
        <w:t xml:space="preserve">, </w:t>
      </w:r>
      <w:r>
        <w:rPr>
          <w:rtl w:val="true"/>
        </w:rPr>
        <w:t>ואסביר</w:t>
      </w:r>
      <w:r>
        <w:rPr>
          <w:rtl w:val="true"/>
        </w:rPr>
        <w:t xml:space="preserve">.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 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 חזקה שבדין כי מעשה עבירה </w:t>
      </w:r>
      <w:r>
        <w:rPr>
          <w:rtl w:val="true"/>
        </w:rPr>
        <w:t>"</w:t>
      </w:r>
      <w:r>
        <w:rPr>
          <w:rtl w:val="true"/>
        </w:rPr>
        <w:t>נעשה בתנאים שאין בהם סייג לאחריות פלילית</w:t>
      </w:r>
      <w:r>
        <w:rPr>
          <w:rtl w:val="true"/>
        </w:rPr>
        <w:t xml:space="preserve">". </w:t>
      </w:r>
      <w:r>
        <w:rPr>
          <w:rtl w:val="true"/>
        </w:rPr>
        <w:t xml:space="preserve">המערער נדרש אפוא להביא ראיות שבכוחן לסתור את החזקה האמורה על ידי יצירת ספק סביר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יעקב </w:t>
      </w:r>
      <w:hyperlink r:id="rId53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hyperlink r:id="rId5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 כרך א </w:t>
      </w:r>
      <w:r>
        <w:rPr/>
        <w:t>566-563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>
          <w:rtl w:val="true"/>
        </w:rPr>
        <w:t>מהדורה חדשה</w:t>
      </w:r>
      <w:r>
        <w:rPr>
          <w:rtl w:val="true"/>
        </w:rPr>
        <w:t xml:space="preserve">, </w:t>
      </w:r>
      <w:r>
        <w:rPr/>
        <w:t>2012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2325/02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448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)). </w:t>
      </w:r>
      <w:r>
        <w:rPr>
          <w:rFonts w:eastAsia="Calibri"/>
          <w:sz w:val="28"/>
          <w:sz w:val="28"/>
          <w:rtl w:val="true"/>
        </w:rPr>
        <w:t>כפי שנקבע בפסיקה</w:t>
      </w:r>
      <w:r>
        <w:rPr>
          <w:rFonts w:eastAsia="Calibri"/>
          <w:sz w:val="28"/>
          <w:rtl w:val="true"/>
        </w:rPr>
        <w:t xml:space="preserve">, </w:t>
      </w:r>
      <w:r>
        <w:rPr>
          <w:rFonts w:eastAsia="Calibri"/>
          <w:sz w:val="28"/>
          <w:sz w:val="28"/>
          <w:rtl w:val="true"/>
        </w:rPr>
        <w:t xml:space="preserve">לא כל ראיה תעורר ספק סביר לגבי התקיימות התנאים המצטברים אשר מקימים את הסייג של שכרות </w:t>
      </w:r>
      <w:r>
        <w:rPr>
          <w:rFonts w:eastAsia="Calibri"/>
          <w:sz w:val="28"/>
          <w:rtl w:val="true"/>
        </w:rPr>
        <w:t>(</w:t>
      </w:r>
      <w:r>
        <w:rPr>
          <w:rFonts w:eastAsia="Calibri"/>
          <w:sz w:val="28"/>
          <w:sz w:val="28"/>
          <w:rtl w:val="true"/>
        </w:rPr>
        <w:t xml:space="preserve">ראו עניין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אן</w:t>
      </w:r>
      <w:r>
        <w:rPr>
          <w:rFonts w:eastAsia="Calibri"/>
          <w:sz w:val="28"/>
          <w:rtl w:val="true"/>
        </w:rPr>
        <w:t xml:space="preserve">, </w:t>
      </w:r>
      <w:r>
        <w:rPr>
          <w:rFonts w:eastAsia="Calibri"/>
          <w:sz w:val="28"/>
          <w:sz w:val="28"/>
          <w:rtl w:val="true"/>
        </w:rPr>
        <w:t xml:space="preserve">פסקה </w:t>
      </w:r>
      <w:r>
        <w:rPr>
          <w:rFonts w:eastAsia="Calibri"/>
          <w:sz w:val="28"/>
        </w:rPr>
        <w:t>17</w:t>
      </w:r>
      <w:r>
        <w:rPr>
          <w:rFonts w:eastAsia="Calibri"/>
          <w:sz w:val="28"/>
          <w:rtl w:val="true"/>
        </w:rPr>
        <w:t xml:space="preserve"> </w:t>
      </w:r>
      <w:r>
        <w:rPr>
          <w:rFonts w:eastAsia="Calibri"/>
          <w:sz w:val="28"/>
          <w:sz w:val="28"/>
          <w:rtl w:val="true"/>
        </w:rPr>
        <w:t xml:space="preserve">לפסק דינו של השופט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Fonts w:eastAsia="Calibri"/>
          <w:sz w:val="28"/>
          <w:rtl w:val="true"/>
        </w:rPr>
        <w:t xml:space="preserve">; </w:t>
      </w:r>
      <w:hyperlink r:id="rId56">
        <w:r>
          <w:rPr>
            <w:rStyle w:val="Hyperlink"/>
            <w:rFonts w:eastAsia="Calibri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eastAsia="Calibri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eastAsia="Calibri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Calibri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eastAsia="Calibri"/>
            <w:color w:val="0000FF"/>
            <w:sz w:val="28"/>
            <w:u w:val="single"/>
          </w:rPr>
          <w:t>10800/04</w:t>
        </w:r>
      </w:hyperlink>
      <w:r>
        <w:rPr>
          <w:rFonts w:eastAsia="Calibri"/>
          <w:sz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רומנצקו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/>
          <w:sz w:val="28"/>
          <w:rtl w:val="true"/>
        </w:rPr>
        <w:t xml:space="preserve">,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Calibri"/>
          <w:sz w:val="28"/>
          <w:sz w:val="28"/>
          <w:rtl w:val="true"/>
        </w:rPr>
        <w:t xml:space="preserve">פסקה </w:t>
      </w:r>
      <w:r>
        <w:rPr>
          <w:rFonts w:eastAsia="Calibri"/>
          <w:sz w:val="28"/>
        </w:rPr>
        <w:t>22</w:t>
      </w:r>
      <w:r>
        <w:rPr>
          <w:rFonts w:eastAsia="Calibri"/>
          <w:sz w:val="28"/>
          <w:rtl w:val="true"/>
        </w:rPr>
        <w:t xml:space="preserve"> (</w:t>
      </w:r>
      <w:r>
        <w:rPr>
          <w:rFonts w:eastAsia="Calibri"/>
          <w:sz w:val="28"/>
        </w:rPr>
        <w:t>18.9.2006</w:t>
      </w:r>
      <w:r>
        <w:rPr>
          <w:rFonts w:eastAsia="Calibri"/>
          <w:sz w:val="28"/>
          <w:rtl w:val="true"/>
        </w:rPr>
        <w:t xml:space="preserve">); </w:t>
      </w:r>
      <w:hyperlink r:id="rId5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7761/95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אבו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חמאד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נא</w:t>
        </w:r>
      </w:hyperlink>
      <w:r>
        <w:rPr>
          <w:sz w:val="28"/>
          <w:rtl w:val="true"/>
        </w:rPr>
        <w:t>(</w:t>
      </w:r>
      <w:r>
        <w:rPr>
          <w:sz w:val="28"/>
        </w:rPr>
        <w:t>3</w:t>
      </w:r>
      <w:r>
        <w:rPr>
          <w:sz w:val="28"/>
          <w:rtl w:val="true"/>
        </w:rPr>
        <w:t xml:space="preserve">) </w:t>
      </w:r>
      <w:r>
        <w:rPr>
          <w:sz w:val="28"/>
        </w:rPr>
        <w:t>245</w:t>
      </w:r>
      <w:r>
        <w:rPr>
          <w:sz w:val="28"/>
          <w:rtl w:val="true"/>
        </w:rPr>
        <w:t xml:space="preserve">, </w:t>
      </w:r>
      <w:r>
        <w:rPr>
          <w:sz w:val="28"/>
        </w:rPr>
        <w:t>249</w:t>
      </w:r>
      <w:r>
        <w:rPr>
          <w:rFonts w:eastAsia="Calibri"/>
          <w:sz w:val="28"/>
          <w:rtl w:val="true"/>
        </w:rPr>
        <w:t xml:space="preserve"> (</w:t>
      </w:r>
      <w:r>
        <w:rPr>
          <w:rFonts w:eastAsia="Calibri"/>
          <w:sz w:val="28"/>
        </w:rPr>
        <w:t>1997</w:t>
      </w:r>
      <w:r>
        <w:rPr>
          <w:rFonts w:eastAsia="Calibri"/>
          <w:sz w:val="28"/>
          <w:rtl w:val="true"/>
        </w:rPr>
        <w:t xml:space="preserve">)); </w:t>
      </w:r>
      <w:r>
        <w:rPr>
          <w:rFonts w:eastAsia="Calibri"/>
          <w:sz w:val="28"/>
          <w:sz w:val="28"/>
          <w:rtl w:val="true"/>
        </w:rPr>
        <w:t>וכפי שהזדמן לי להעיר</w:t>
      </w:r>
      <w:r>
        <w:rPr>
          <w:rFonts w:eastAsia="Calibri"/>
          <w:sz w:val="28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>ספק סביר</w:t>
      </w:r>
      <w:r>
        <w:rPr>
          <w:rFonts w:eastAsia="Calibri"/>
          <w:sz w:val="28"/>
          <w:sz w:val="28"/>
          <w:rtl w:val="true"/>
        </w:rPr>
        <w:t xml:space="preserve"> – להבדיל מספק תאורטי גרידא – הוא ״ספק עם קבלות״ המבוסס על חומר הראיות </w:t>
      </w:r>
      <w:r>
        <w:rPr>
          <w:rFonts w:eastAsia="Calibri"/>
          <w:sz w:val="28"/>
          <w:rtl w:val="true"/>
        </w:rPr>
        <w:t>(</w:t>
      </w:r>
      <w:r>
        <w:rPr>
          <w:rFonts w:eastAsia="Calibri"/>
          <w:sz w:val="28"/>
          <w:sz w:val="28"/>
          <w:rtl w:val="true"/>
        </w:rPr>
        <w:t xml:space="preserve">ראו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2418/17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והאסמכתאות שם</w:t>
      </w:r>
      <w:r>
        <w:rPr>
          <w:rStyle w:val="default"/>
          <w:rtl w:val="true"/>
        </w:rPr>
        <w:t xml:space="preserve"> </w:t>
      </w:r>
      <w:r>
        <w:rPr>
          <w:rtl w:val="true"/>
        </w:rPr>
        <w:t>(</w:t>
      </w:r>
      <w:r>
        <w:rPr/>
        <w:t>25.10.2018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b/>
          <w:b/>
          <w:spacing w:val="0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tl w:val="true"/>
        </w:rPr>
        <w:t>)).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האופן שבו דקר המערער את המנוחה </w:t>
      </w:r>
      <w:r>
        <w:rPr>
          <w:rtl w:val="true"/>
        </w:rPr>
        <w:t>–</w:t>
      </w:r>
      <w:r>
        <w:rPr>
          <w:rtl w:val="true"/>
        </w:rPr>
        <w:t xml:space="preserve"> לא פעם אחת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שתי פעמים </w:t>
      </w:r>
      <w:r>
        <w:rPr>
          <w:rtl w:val="true"/>
        </w:rPr>
        <w:t>–</w:t>
      </w:r>
      <w:r>
        <w:rPr>
          <w:rtl w:val="true"/>
        </w:rPr>
        <w:t xml:space="preserve"> במקום רגיש</w:t>
      </w:r>
      <w:r>
        <w:rPr>
          <w:rtl w:val="true"/>
        </w:rPr>
        <w:t xml:space="preserve">, </w:t>
      </w:r>
      <w:r>
        <w:rPr>
          <w:rtl w:val="true"/>
        </w:rPr>
        <w:t>בצוואר</w:t>
      </w:r>
      <w:r>
        <w:rPr>
          <w:rtl w:val="true"/>
        </w:rPr>
        <w:t xml:space="preserve">, </w:t>
      </w:r>
      <w:r>
        <w:rPr>
          <w:rtl w:val="true"/>
        </w:rPr>
        <w:t>מעיד כמאה עדים על כוונתו להביא למותה</w:t>
      </w:r>
      <w:r>
        <w:rPr>
          <w:rtl w:val="true"/>
        </w:rPr>
        <w:t xml:space="preserve">. </w:t>
      </w:r>
      <w:r>
        <w:rPr>
          <w:rtl w:val="true"/>
        </w:rPr>
        <w:t xml:space="preserve">על מעשים כגון זה חלה חזקה כי אדם מתכוון להביא לתוצאות הטבעיות של מעשהו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חזקה זו חלה גם על מעשהו של אדם שיכור זולת אם נסיבותיו מצביעות על היעדר כוונה ברמה של ספק סביר</w:t>
      </w:r>
      <w:r>
        <w:rPr>
          <w:rtl w:val="true"/>
        </w:rPr>
        <w:t xml:space="preserve">, </w:t>
      </w:r>
      <w:r>
        <w:rPr>
          <w:rtl w:val="true"/>
        </w:rPr>
        <w:t xml:space="preserve">לפחות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סטקלר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55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ולאחר שראינו כי ראיותיו של המערער מראות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>כי הלה שתה משקאות חריפים</w:t>
      </w:r>
      <w:r>
        <w:rPr>
          <w:rtl w:val="true"/>
        </w:rPr>
        <w:t xml:space="preserve">, </w:t>
      </w:r>
      <w:r>
        <w:rPr>
          <w:rtl w:val="true"/>
        </w:rPr>
        <w:t>הא ותו לא</w:t>
      </w:r>
      <w:r>
        <w:rPr>
          <w:rtl w:val="true"/>
        </w:rPr>
        <w:t xml:space="preserve">, </w:t>
      </w:r>
      <w:r>
        <w:rPr>
          <w:rtl w:val="true"/>
        </w:rPr>
        <w:t>לא נותר לנו אלא לקבוע כי הלה נכשל בהבאת ראיות בנוגע לכך שלא הבין את פשר מעשהו או שלא התכוון לתוצאותיו בשל היותו שיכור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>אסיים את הדיון בציטוט הדברים שהמערער אמר בחקירתו הראשונה במשטרה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17.9.2015</w:t>
      </w:r>
      <w:r>
        <w:rPr>
          <w:rtl w:val="true"/>
        </w:rPr>
        <w:t xml:space="preserve">, </w:t>
      </w:r>
      <w:r>
        <w:rPr>
          <w:rtl w:val="true"/>
        </w:rPr>
        <w:t>שעות אחדות לאחר האירוע</w:t>
      </w:r>
      <w:r>
        <w:rPr>
          <w:rtl w:val="true"/>
        </w:rPr>
        <w:t xml:space="preserve">, </w:t>
      </w:r>
      <w:r>
        <w:rPr>
          <w:rtl w:val="true"/>
        </w:rPr>
        <w:t>כאשר נשאל מדוע גרם למות אשתו</w:t>
      </w:r>
      <w:r>
        <w:rPr>
          <w:rtl w:val="true"/>
        </w:rPr>
        <w:t>: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 יודע זה הכל זה</w:t>
      </w:r>
      <w:r>
        <w:rPr>
          <w:rtl w:val="true"/>
        </w:rPr>
        <w:t xml:space="preserve">... </w:t>
      </w:r>
      <w:r>
        <w:rPr>
          <w:rtl w:val="true"/>
        </w:rPr>
        <w:t>אתה יודע מה זה</w:t>
      </w:r>
      <w:r>
        <w:rPr>
          <w:rtl w:val="true"/>
        </w:rPr>
        <w:t xml:space="preserve">... </w:t>
      </w:r>
      <w:r>
        <w:rPr>
          <w:rtl w:val="true"/>
        </w:rPr>
        <w:t>זה פיצוץ פשוט של כל ההצטברות של הדברים</w:t>
      </w:r>
      <w:r>
        <w:rPr>
          <w:rtl w:val="true"/>
        </w:rPr>
        <w:t xml:space="preserve">, </w:t>
      </w:r>
      <w:r>
        <w:rPr>
          <w:rtl w:val="true"/>
        </w:rPr>
        <w:t>אתה יודע זה כל הביוב מה שיצא החוצה</w:t>
      </w:r>
      <w:r>
        <w:rPr>
          <w:rtl w:val="true"/>
        </w:rPr>
        <w:t xml:space="preserve">, </w:t>
      </w:r>
      <w:r>
        <w:rPr>
          <w:rtl w:val="true"/>
        </w:rPr>
        <w:t xml:space="preserve">זה כבר אתה יודע זה האספנות של שנים כבר </w:t>
      </w:r>
      <w:r>
        <w:rPr>
          <w:rtl w:val="true"/>
        </w:rPr>
        <w:t xml:space="preserve">[...] </w:t>
      </w:r>
      <w:r>
        <w:rPr>
          <w:rtl w:val="true"/>
        </w:rPr>
        <w:t>של שנים מה שבפנים כבר אתה יודע שכבר נמאס</w:t>
      </w:r>
      <w:r>
        <w:rPr>
          <w:rtl w:val="true"/>
        </w:rPr>
        <w:t>"</w:t>
      </w:r>
      <w:r>
        <w:rPr>
          <w:rFonts w:cs="Miriam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27-21</w:t>
      </w:r>
      <w:r>
        <w:rPr>
          <w:rtl w:val="true"/>
        </w:rPr>
        <w:t xml:space="preserve">). </w:t>
      </w:r>
      <w:r>
        <w:rPr>
          <w:rtl w:val="true"/>
        </w:rPr>
        <w:t>דברים אלו</w:t>
      </w:r>
      <w:r>
        <w:rPr>
          <w:rtl w:val="true"/>
        </w:rPr>
        <w:t xml:space="preserve">, </w:t>
      </w:r>
      <w:r>
        <w:rPr>
          <w:rtl w:val="true"/>
        </w:rPr>
        <w:t>כמוהם כהודאה על כוונת המערער לרצוח את אשתו המנוחה</w:t>
      </w:r>
      <w:r>
        <w:rPr>
          <w:rtl w:val="true"/>
        </w:rPr>
        <w:t xml:space="preserve">. </w:t>
      </w:r>
      <w:r>
        <w:rPr>
          <w:rtl w:val="true"/>
        </w:rPr>
        <w:t>כוונה זו ליוותה את מעשי הדקירה גם אם נניח שהמערער היה שיכור בזמן שדקר את אשתו</w:t>
      </w:r>
      <w:r>
        <w:rPr>
          <w:rtl w:val="true"/>
        </w:rPr>
        <w:t>.</w:t>
      </w:r>
    </w:p>
    <w:p>
      <w:pPr>
        <w:pStyle w:val="Ruller42"/>
        <w:spacing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0" w:after="0"/>
        <w:ind w:hanging="0" w:start="0" w:end="0"/>
        <w:contextualSpacing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אין צל של ספק בכך שהמערער רצח את המנוחה בכוונה תחילה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 הנני מציע לחבריי לדחות את הערעור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rFonts w:ascii="Times New Roman" w:hAnsi="Times New Roman" w:cs="Miriam"/>
                <w:spacing w:val="0"/>
                <w:sz w:val="28"/>
                <w:sz w:val="28"/>
                <w:szCs w:val="24"/>
                <w:u w:val="single"/>
                <w:rtl w:val="true"/>
              </w:rPr>
              <w:t>השופט</w:t>
            </w:r>
            <w:r>
              <w:rPr>
                <w:rFonts w:ascii="Times New Roman" w:hAnsi="Times New Roman" w:cs="Times New Roman"/>
                <w:spacing w:val="0"/>
                <w:sz w:val="28"/>
                <w:sz w:val="28"/>
                <w:szCs w:val="24"/>
                <w:u w:val="single"/>
                <w:rtl w:val="true"/>
              </w:rPr>
              <w:t xml:space="preserve"> </w:t>
            </w:r>
            <w:r>
              <w:rPr>
                <w:rFonts w:ascii="Times New Roman" w:hAnsi="Times New Roman" w:cs="Miriam"/>
                <w:spacing w:val="0"/>
                <w:sz w:val="28"/>
                <w:sz w:val="28"/>
                <w:szCs w:val="24"/>
                <w:u w:val="single"/>
                <w:rtl w:val="true"/>
              </w:rPr>
              <w:t>י</w:t>
            </w:r>
            <w:r>
              <w:rPr>
                <w:rFonts w:cs="Miriam" w:ascii="Times New Roman" w:hAnsi="Times New Roman"/>
                <w:spacing w:val="0"/>
                <w:sz w:val="28"/>
                <w:szCs w:val="24"/>
                <w:u w:val="single"/>
                <w:rtl w:val="true"/>
              </w:rPr>
              <w:t xml:space="preserve">' </w:t>
            </w:r>
            <w:r>
              <w:rPr>
                <w:rFonts w:ascii="Times New Roman" w:hAnsi="Times New Roman" w:cs="Miriam"/>
                <w:spacing w:val="0"/>
                <w:sz w:val="28"/>
                <w:sz w:val="28"/>
                <w:szCs w:val="24"/>
                <w:u w:val="single"/>
                <w:rtl w:val="true"/>
              </w:rPr>
              <w:t>עמית</w:t>
            </w:r>
            <w:r>
              <w:rPr>
                <w:rtl w:val="true"/>
              </w:rPr>
              <w:t>: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קרא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Ruller42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26.11.2018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17070200</w:t>
      </w:r>
      <w:r>
        <w:rPr>
          <w:sz w:val="16"/>
          <w:rtl w:val="true"/>
        </w:rPr>
        <w:t>_</w:t>
      </w:r>
      <w:r>
        <w:rPr>
          <w:sz w:val="16"/>
        </w:rPr>
        <w:t>F02.doc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9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54678313-7020/17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7020/17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אלכסנדר מכניצקי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rFonts w:cs="FrankRuehl"/>
        <w:lang w:val="en-US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  <w:b w:val="false"/>
      <w:bCs w:val="false"/>
      <w:sz w:val="24"/>
      <w:szCs w:val="24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FrankRuehl"/>
      <w:lang w:val="en-US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sz w:val="28"/>
    </w:rPr>
  </w:style>
  <w:style w:type="character" w:styleId="WW8Num15z0">
    <w:name w:val="WW8Num15z0"/>
    <w:qFormat/>
    <w:rPr>
      <w:rFonts w:cs="Times New Roman"/>
      <w:b w:val="false"/>
      <w:bCs w:val="false"/>
      <w:sz w:val="24"/>
      <w:szCs w:val="24"/>
    </w:rPr>
  </w:style>
  <w:style w:type="character" w:styleId="WW8Num15z1">
    <w:name w:val="WW8Num1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5">
    <w:name w:val=" Char Char5"/>
    <w:qFormat/>
    <w:rPr>
      <w:rFonts w:cs="David"/>
      <w:szCs w:val="24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Century" w:hAnsi="Century" w:cs="FrankRuehl"/>
      <w:spacing w:val="10"/>
    </w:rPr>
  </w:style>
  <w:style w:type="character" w:styleId="CharChar1">
    <w:name w:val=" Char Char1"/>
    <w:qFormat/>
    <w:rPr>
      <w:rFonts w:ascii="Century" w:hAnsi="Century" w:cs="FrankRuehl"/>
      <w:b/>
      <w:bCs/>
      <w:spacing w:val="10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FootnoteText">
    <w:name w:val="footnote text"/>
    <w:basedOn w:val="Normal"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1">
    <w:name w:val="פיסקת רשימה1"/>
    <w:basedOn w:val="Normal"/>
    <w:qFormat/>
    <w:pPr>
      <w:overflowPunct w:val="true"/>
      <w:autoSpaceDE w:val="true"/>
      <w:spacing w:lineRule="auto" w:line="360" w:before="0" w:after="240"/>
      <w:ind w:hanging="425" w:start="720" w:end="0"/>
      <w:jc w:val="both"/>
      <w:textAlignment w:val="auto"/>
    </w:pPr>
    <w:rPr>
      <w:rFonts w:ascii="Calibri" w:hAnsi="Calibri" w:cs="Arial"/>
      <w:sz w:val="22"/>
      <w:szCs w:val="22"/>
    </w:rPr>
  </w:style>
  <w:style w:type="paragraph" w:styleId="ruller411">
    <w:name w:val="ruller41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Style14">
    <w:name w:val="כללי"/>
    <w:basedOn w:val="Normal"/>
    <w:qFormat/>
    <w:pPr>
      <w:spacing w:lineRule="exact" w:line="280" w:before="0" w:after="240"/>
      <w:ind w:firstLine="284" w:start="0" w:end="0"/>
      <w:jc w:val="both"/>
    </w:pPr>
    <w:rPr>
      <w:rFonts w:cs="FrankRuehl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ruller51">
    <w:name w:val="ruller51"/>
    <w:basedOn w:val="Normal"/>
    <w:qFormat/>
    <w:pPr>
      <w:ind w:hanging="0" w:start="1642" w:end="1282"/>
      <w:jc w:val="both"/>
      <w:textAlignment w:val="auto"/>
    </w:pPr>
    <w:rPr>
      <w:rFonts w:ascii="Arial TUR" w:hAnsi="Arial TUR" w:cs="Arial TUR"/>
      <w:spacing w:val="10"/>
      <w:sz w:val="22"/>
      <w:szCs w:val="22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01268" TargetMode="External"/><Relationship Id="rId3" Type="http://schemas.openxmlformats.org/officeDocument/2006/relationships/hyperlink" Target="http://www.nevo.co.il/safrut/book/5505" TargetMode="External"/><Relationship Id="rId4" Type="http://schemas.openxmlformats.org/officeDocument/2006/relationships/hyperlink" Target="http://www.nevo.co.il/safrut/book/5505" TargetMode="External"/><Relationship Id="rId5" Type="http://schemas.openxmlformats.org/officeDocument/2006/relationships/hyperlink" Target="http://www.nevo.co.il/safrut/bookgroup/412" TargetMode="External"/><Relationship Id="rId6" Type="http://schemas.openxmlformats.org/officeDocument/2006/relationships/hyperlink" Target="http://www.nevo.co.il/safrut/bookgroup/4004" TargetMode="External"/><Relationship Id="rId7" Type="http://schemas.openxmlformats.org/officeDocument/2006/relationships/hyperlink" Target="http://www.nevo.co.il/safrut/bookgroup/400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e" TargetMode="External"/><Relationship Id="rId10" Type="http://schemas.openxmlformats.org/officeDocument/2006/relationships/hyperlink" Target="http://www.nevo.co.il/law/70301/34i" TargetMode="External"/><Relationship Id="rId11" Type="http://schemas.openxmlformats.org/officeDocument/2006/relationships/hyperlink" Target="http://www.nevo.co.il/law/70301/34i.b" TargetMode="External"/><Relationship Id="rId12" Type="http://schemas.openxmlformats.org/officeDocument/2006/relationships/hyperlink" Target="http://www.nevo.co.il/law/70301/34i.e" TargetMode="External"/><Relationship Id="rId13" Type="http://schemas.openxmlformats.org/officeDocument/2006/relationships/hyperlink" Target="http://www.nevo.co.il/law/70301/298" TargetMode="External"/><Relationship Id="rId14" Type="http://schemas.openxmlformats.org/officeDocument/2006/relationships/hyperlink" Target="http://www.nevo.co.il/law/70301/300.a.2" TargetMode="External"/><Relationship Id="rId15" Type="http://schemas.openxmlformats.org/officeDocument/2006/relationships/hyperlink" Target="http://www.nevo.co.il/law/70301/34kb.b" TargetMode="External"/><Relationship Id="rId16" Type="http://schemas.openxmlformats.org/officeDocument/2006/relationships/hyperlink" Target="http://www.nevo.co.il/case/20601268" TargetMode="External"/><Relationship Id="rId17" Type="http://schemas.openxmlformats.org/officeDocument/2006/relationships/hyperlink" Target="http://www.nevo.co.il/law/70301/300.a.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00.a.2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://www.nevo.co.il/law/70301/34i.b" TargetMode="External"/><Relationship Id="rId22" Type="http://schemas.openxmlformats.org/officeDocument/2006/relationships/hyperlink" Target="http://www.nevo.co.il/law/70301/34i.e" TargetMode="External"/><Relationship Id="rId23" Type="http://schemas.openxmlformats.org/officeDocument/2006/relationships/hyperlink" Target="http://www.nevo.co.il/law/70301/29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00.a.2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://www.nevo.co.il/law/70301/34i.b" TargetMode="External"/><Relationship Id="rId28" Type="http://schemas.openxmlformats.org/officeDocument/2006/relationships/hyperlink" Target="http://www.nevo.co.il/law/70301/34i.e" TargetMode="External"/><Relationship Id="rId29" Type="http://schemas.openxmlformats.org/officeDocument/2006/relationships/hyperlink" Target="" TargetMode="External"/><Relationship Id="rId30" Type="http://schemas.openxmlformats.org/officeDocument/2006/relationships/hyperlink" Target="http://www.nevo.co.il/law/70301/34e" TargetMode="External"/><Relationship Id="rId31" Type="http://schemas.openxmlformats.org/officeDocument/2006/relationships/hyperlink" Target="http://www.nevo.co.il/law/70301/34kb.b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573130" TargetMode="External"/><Relationship Id="rId34" Type="http://schemas.openxmlformats.org/officeDocument/2006/relationships/hyperlink" Target="http://www.nevo.co.il/case/5739234" TargetMode="External"/><Relationship Id="rId35" Type="http://schemas.openxmlformats.org/officeDocument/2006/relationships/hyperlink" Target="http://www.nevo.co.il/case/6151033" TargetMode="External"/><Relationship Id="rId36" Type="http://schemas.openxmlformats.org/officeDocument/2006/relationships/hyperlink" Target="http://www.nevo.co.il/case/17942669" TargetMode="External"/><Relationship Id="rId37" Type="http://schemas.openxmlformats.org/officeDocument/2006/relationships/hyperlink" Target="http://www.nevo.co.il/case/6237133" TargetMode="External"/><Relationship Id="rId38" Type="http://schemas.openxmlformats.org/officeDocument/2006/relationships/hyperlink" Target="http://www.nevo.co.il/law/70301/34i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safrut/bookgroup/412" TargetMode="External"/><Relationship Id="rId41" Type="http://schemas.openxmlformats.org/officeDocument/2006/relationships/hyperlink" Target="http://www.nevo.co.il/safrut/book/5505" TargetMode="External"/><Relationship Id="rId42" Type="http://schemas.openxmlformats.org/officeDocument/2006/relationships/hyperlink" Target="http://www.nevo.co.il/case/6097128" TargetMode="External"/><Relationship Id="rId43" Type="http://schemas.openxmlformats.org/officeDocument/2006/relationships/hyperlink" Target="http://www.nevo.co.il/case/5770260" TargetMode="External"/><Relationship Id="rId44" Type="http://schemas.openxmlformats.org/officeDocument/2006/relationships/hyperlink" Target="http://www.nevo.co.il/case/5714534" TargetMode="External"/><Relationship Id="rId45" Type="http://schemas.openxmlformats.org/officeDocument/2006/relationships/hyperlink" Target="http://www.nevo.co.il/law/70301/34i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4i.b" TargetMode="External"/><Relationship Id="rId48" Type="http://schemas.openxmlformats.org/officeDocument/2006/relationships/hyperlink" Target="http://www.nevo.co.il/law/70301/34i.e" TargetMode="External"/><Relationship Id="rId49" Type="http://schemas.openxmlformats.org/officeDocument/2006/relationships/hyperlink" Target="http://www.nevo.co.il/case/5772632" TargetMode="External"/><Relationship Id="rId50" Type="http://schemas.openxmlformats.org/officeDocument/2006/relationships/hyperlink" Target="http://www.nevo.co.il/law/70301/34e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34kb.b" TargetMode="External"/><Relationship Id="rId53" Type="http://schemas.openxmlformats.org/officeDocument/2006/relationships/hyperlink" Target="http://www.nevo.co.il/safrut/bookgroup/4004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5743108" TargetMode="External"/><Relationship Id="rId56" Type="http://schemas.openxmlformats.org/officeDocument/2006/relationships/hyperlink" Target="http://www.nevo.co.il/case/5811666" TargetMode="External"/><Relationship Id="rId57" Type="http://schemas.openxmlformats.org/officeDocument/2006/relationships/hyperlink" Target="http://www.nevo.co.il/case/6112247" TargetMode="External"/><Relationship Id="rId58" Type="http://schemas.openxmlformats.org/officeDocument/2006/relationships/hyperlink" Target="http://www.nevo.co.il/case/22495714" TargetMode="External"/><Relationship Id="rId59" Type="http://schemas.openxmlformats.org/officeDocument/2006/relationships/hyperlink" Target="https://supreme.court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2022-08-31T13:14:00Z</dcterms:created>
  <dc:creator> </dc:creator>
  <dc:description/>
  <cp:keywords/>
  <dc:language>en-IL</dc:language>
  <cp:lastModifiedBy>h11</cp:lastModifiedBy>
  <cp:lastPrinted>2018-11-22T18:15:00Z</cp:lastPrinted>
  <dcterms:modified xsi:type="dcterms:W3CDTF">2022-08-31T13:14:00Z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אלכסנדר מכניצקי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412:2;4004:2</vt:lpwstr>
  </property>
  <property fmtid="{D5CDD505-2E9C-101B-9397-08002B2CF9AE}" pid="5" name="BOOKLISTTMP1">
    <vt:lpwstr>5505</vt:lpwstr>
  </property>
  <property fmtid="{D5CDD505-2E9C-101B-9397-08002B2CF9AE}" pid="6" name="CASESLISTTMP1">
    <vt:lpwstr>20601268:2;5573130;5739234;6151033;17942669;6237133;6097128;5770260;5714534;5772632;5743108;5811666;6112247;22495714</vt:lpwstr>
  </property>
  <property fmtid="{D5CDD505-2E9C-101B-9397-08002B2CF9AE}" pid="7" name="DATE">
    <vt:lpwstr>20181126</vt:lpwstr>
  </property>
  <property fmtid="{D5CDD505-2E9C-101B-9397-08002B2CF9AE}" pid="8" name="ISABSTRACT">
    <vt:lpwstr>Y</vt:lpwstr>
  </property>
  <property fmtid="{D5CDD505-2E9C-101B-9397-08002B2CF9AE}" pid="9" name="JUDGE">
    <vt:lpwstr>י' עמית;ג' קרא;א' שטיין</vt:lpwstr>
  </property>
  <property fmtid="{D5CDD505-2E9C-101B-9397-08002B2CF9AE}" pid="10" name="LAWLISTTMP1">
    <vt:lpwstr>70301/300.a.2:3;034i.b:3;034i.e:3;298;034e:2;34kb.b:2;034i:2</vt:lpwstr>
  </property>
  <property fmtid="{D5CDD505-2E9C-101B-9397-08002B2CF9AE}" pid="11" name="LAWYER">
    <vt:lpwstr>הילה גורני;קבלר בן ציון</vt:lpwstr>
  </property>
  <property fmtid="{D5CDD505-2E9C-101B-9397-08002B2CF9AE}" pid="12" name="METAKZER">
    <vt:lpwstr>פאני</vt:lpwstr>
  </property>
  <property fmtid="{D5CDD505-2E9C-101B-9397-08002B2CF9AE}" pid="13" name="NOSE11">
    <vt:lpwstr>עונשין</vt:lpwstr>
  </property>
  <property fmtid="{D5CDD505-2E9C-101B-9397-08002B2CF9AE}" pid="14" name="NOSE12">
    <vt:lpwstr>עונשין</vt:lpwstr>
  </property>
  <property fmtid="{D5CDD505-2E9C-101B-9397-08002B2CF9AE}" pid="15" name="NOSE13">
    <vt:lpwstr>עונשין</vt:lpwstr>
  </property>
  <property fmtid="{D5CDD505-2E9C-101B-9397-08002B2CF9AE}" pid="16" name="NOSE14">
    <vt:lpwstr>בתי-משפט</vt:lpwstr>
  </property>
  <property fmtid="{D5CDD505-2E9C-101B-9397-08002B2CF9AE}" pid="17" name="NOSE1ID">
    <vt:lpwstr>77;77;77;14</vt:lpwstr>
  </property>
  <property fmtid="{D5CDD505-2E9C-101B-9397-08002B2CF9AE}" pid="18" name="NOSE21">
    <vt:lpwstr>הגנות</vt:lpwstr>
  </property>
  <property fmtid="{D5CDD505-2E9C-101B-9397-08002B2CF9AE}" pid="19" name="NOSE22">
    <vt:lpwstr>הגנות</vt:lpwstr>
  </property>
  <property fmtid="{D5CDD505-2E9C-101B-9397-08002B2CF9AE}" pid="20" name="NOSE23">
    <vt:lpwstr>עבירות</vt:lpwstr>
  </property>
  <property fmtid="{D5CDD505-2E9C-101B-9397-08002B2CF9AE}" pid="21" name="NOSE24">
    <vt:lpwstr>ערעור</vt:lpwstr>
  </property>
  <property fmtid="{D5CDD505-2E9C-101B-9397-08002B2CF9AE}" pid="22" name="NOSE2ID">
    <vt:lpwstr>1431;1431;1443;333</vt:lpwstr>
  </property>
  <property fmtid="{D5CDD505-2E9C-101B-9397-08002B2CF9AE}" pid="23" name="NOSE31">
    <vt:lpwstr>שכרות</vt:lpwstr>
  </property>
  <property fmtid="{D5CDD505-2E9C-101B-9397-08002B2CF9AE}" pid="24" name="NOSE32">
    <vt:lpwstr>שכרות חלקית</vt:lpwstr>
  </property>
  <property fmtid="{D5CDD505-2E9C-101B-9397-08002B2CF9AE}" pid="25" name="NOSE33">
    <vt:lpwstr>רצח בכוונה תחילה</vt:lpwstr>
  </property>
  <property fmtid="{D5CDD505-2E9C-101B-9397-08002B2CF9AE}" pid="26" name="NOSE34">
    <vt:lpwstr>אי התערבות בממצאים עובדתיים</vt:lpwstr>
  </property>
  <property fmtid="{D5CDD505-2E9C-101B-9397-08002B2CF9AE}" pid="27" name="NOSE3ID">
    <vt:lpwstr>8691;8692;17798;16253</vt:lpwstr>
  </property>
  <property fmtid="{D5CDD505-2E9C-101B-9397-08002B2CF9AE}" pid="28" name="PADIDATE">
    <vt:lpwstr>20181127</vt:lpwstr>
  </property>
  <property fmtid="{D5CDD505-2E9C-101B-9397-08002B2CF9AE}" pid="29" name="PADIMAIL">
    <vt:lpwstr>YES</vt:lpwstr>
  </property>
  <property fmtid="{D5CDD505-2E9C-101B-9397-08002B2CF9AE}" pid="30" name="PROCESS">
    <vt:lpwstr>עפ</vt:lpwstr>
  </property>
  <property fmtid="{D5CDD505-2E9C-101B-9397-08002B2CF9AE}" pid="31" name="PROCNUM">
    <vt:lpwstr>7020</vt:lpwstr>
  </property>
  <property fmtid="{D5CDD505-2E9C-101B-9397-08002B2CF9AE}" pid="32" name="PROCYEAR">
    <vt:lpwstr>17</vt:lpwstr>
  </property>
  <property fmtid="{D5CDD505-2E9C-101B-9397-08002B2CF9AE}" pid="33" name="PSAKDIN">
    <vt:lpwstr>פסק-דין</vt:lpwstr>
  </property>
  <property fmtid="{D5CDD505-2E9C-101B-9397-08002B2CF9AE}" pid="34" name="TYPE">
    <vt:lpwstr>1</vt:lpwstr>
  </property>
  <property fmtid="{D5CDD505-2E9C-101B-9397-08002B2CF9AE}" pid="35" name="TYPE_ABS_DATE">
    <vt:lpwstr>410120181126</vt:lpwstr>
  </property>
  <property fmtid="{D5CDD505-2E9C-101B-9397-08002B2CF9AE}" pid="36" name="TYPE_N_DATE">
    <vt:lpwstr>41020181126</vt:lpwstr>
  </property>
  <property fmtid="{D5CDD505-2E9C-101B-9397-08002B2CF9AE}" pid="37" name="WORDNUMPAGES">
    <vt:lpwstr>16</vt:lpwstr>
  </property>
</Properties>
</file>