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7039/21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טספה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מריאם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4710-11-18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>‏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בניסן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  <w:rtl w:val="true"/>
              </w:rPr>
              <w:t>‏</w:t>
            </w:r>
            <w:r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.2023</w:t>
            </w:r>
            <w:r>
              <w:rPr>
                <w:sz w:val="26"/>
                <w:szCs w:val="26"/>
                <w:rtl w:val="true"/>
              </w:rPr>
              <w:t>)</w:t>
            </w:r>
            <w:r>
              <w:rPr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דחיית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מאסר בפועל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טעות בקביעת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כי מתקיים קשר סיבתי בין מעשי המערער לבין מצבה הרפואי של הנפגעת </w:t>
      </w:r>
      <w:r>
        <w:rPr>
          <w:rFonts w:ascii="Times New Roman" w:hAnsi="Times New Roman" w:cs="Times New Roman"/>
          <w:spacing w:val="0"/>
          <w:szCs w:val="26"/>
          <w:rtl w:val="true"/>
        </w:rPr>
        <w:t>במועד 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פרק זמן של כשנתיים במהלכם היה שיפור מסוים אולם לאחר דום 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הנפגעת נותרה במצב של צמח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העונש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שנקבע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 באופן משמעותי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קשר סיבתי – גורם בלעדיו אין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קשר סיבתי – קשר סיבתי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קשר סיבתי – צפיות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ניסיון לרצח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בגדרו הושת על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נתין 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מאסר בפועל לתקופה של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2018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קיום יחסי מין עם הנפגעת באתר בניה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ומבלי שהוברר מניע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חבט בראשה ובפניה של הנפגעת בלבנת בטון כבדה מספר פעמים והלך </w:t>
      </w:r>
      <w:r>
        <w:rPr>
          <w:rFonts w:ascii="Times New Roman" w:hAnsi="Times New Roman" w:cs="Times New Roman"/>
          <w:spacing w:val="0"/>
          <w:szCs w:val="26"/>
          <w:rtl w:val="true"/>
        </w:rPr>
        <w:t>מהמקום לבלות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הנפגעת נמצאה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עובר אורח באקראי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היא </w:t>
      </w:r>
      <w:r>
        <w:rPr>
          <w:rFonts w:ascii="Times New Roman" w:hAnsi="Times New Roman" w:cs="Times New Roman"/>
          <w:spacing w:val="0"/>
          <w:szCs w:val="26"/>
          <w:rtl w:val="true"/>
        </w:rPr>
        <w:t>פונתה לבית חולים כשהיא מחוסרת הכרה וסובלת מחבלת ראש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ובמהלך אשפוזה נותרה מחוסרת הכרה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בחלוף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 שיפור הדרגתי קל במצבה ובראשית </w:t>
      </w:r>
      <w:r>
        <w:rPr>
          <w:rFonts w:cs="Times New Roman" w:ascii="Times New Roman" w:hAnsi="Times New Roman"/>
          <w:spacing w:val="0"/>
          <w:szCs w:val="26"/>
        </w:rPr>
        <w:t>2020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הועברה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מרכז סיעודי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כחצי שנה היא </w:t>
      </w:r>
      <w:r>
        <w:rPr>
          <w:rFonts w:ascii="Times New Roman" w:hAnsi="Times New Roman" w:cs="Times New Roman"/>
          <w:spacing w:val="0"/>
          <w:szCs w:val="26"/>
          <w:rtl w:val="true"/>
        </w:rPr>
        <w:t>לקתה בדום 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ולאחר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פעולות החייאה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נותרה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במצב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צמח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אין אופק יציאה ממנו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 הטיעונים לעונש נחלקו הצדדים האם </w:t>
      </w:r>
      <w:r>
        <w:rPr>
          <w:rFonts w:ascii="Times New Roman" w:hAnsi="Times New Roman" w:cs="Times New Roman"/>
          <w:spacing w:val="0"/>
          <w:szCs w:val="26"/>
          <w:rtl w:val="true"/>
        </w:rPr>
        <w:t>קיים קשר סיבתי בין פציעת הנפגעת בעקבות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לבין מצבה הרפואי </w:t>
      </w:r>
      <w:r>
        <w:rPr>
          <w:rFonts w:cs="Times New Roman" w:ascii="Times New Roman" w:hAnsi="Times New Roman"/>
          <w:spacing w:val="0"/>
          <w:szCs w:val="26"/>
          <w:rtl w:val="true"/>
        </w:rPr>
        <w:t>("</w:t>
      </w:r>
      <w:r>
        <w:rPr>
          <w:rFonts w:ascii="Times New Roman" w:hAnsi="Times New Roman" w:cs="Times New Roman"/>
          <w:spacing w:val="0"/>
          <w:szCs w:val="26"/>
          <w:rtl w:val="true"/>
        </w:rPr>
        <w:t>צמח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") </w:t>
      </w:r>
      <w:r>
        <w:rPr>
          <w:rFonts w:ascii="Times New Roman" w:hAnsi="Times New Roman" w:cs="Times New Roman"/>
          <w:spacing w:val="0"/>
          <w:szCs w:val="26"/>
          <w:rtl w:val="true"/>
        </w:rPr>
        <w:t>נכון לאותה 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קבע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הוכח כנדרש קיומו של קשר סיבתי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בסופו של יום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על המערער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מאסרים מותנים ופיצוי בסך </w:t>
      </w:r>
      <w:r>
        <w:rPr>
          <w:rFonts w:cs="Times New Roman" w:ascii="Times New Roman" w:hAnsi="Times New Roman"/>
          <w:spacing w:val="0"/>
          <w:szCs w:val="26"/>
        </w:rPr>
        <w:t>200,000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לנפגעת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בטרם נשמע 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הנפגעת </w:t>
      </w:r>
      <w:r>
        <w:rPr>
          <w:rFonts w:ascii="Times New Roman" w:hAnsi="Times New Roman" w:cs="Times New Roman"/>
          <w:spacing w:val="0"/>
          <w:szCs w:val="26"/>
          <w:rtl w:val="true"/>
        </w:rPr>
        <w:t>נפטרה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החליטה שלא להגיש נגד המערער כתב אישום באשמת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דברים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טיעוני הצדדים עסקו בעיקרם בשאלת הקשר הסיבתי בין מעשיו של המערער לבין מצבה הרפואי של הנפגעת טרם פטירתה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השופטת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השופטות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ברון 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נפלה טעות בקביעתו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כי מתקיים קשר סיבתי בין מעשי המערער לבין מצבה הרפואי של הנפגעת טרם מותה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העונש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בכלל נסיבות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 באופן משמעותי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העיקרון המנחה בגזירת עונשו של נאשם הוא קיומו של יחס הולם בין חומרת מעשה העבירה בנסיבותיו ומידת אשמו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העונש המוטל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לעיקרון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בבוא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לקבוע את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להתחשב בנסיבות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ובין היתר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נזק שנגרם מביצוע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הכרחי להתחשבות בנזק שנגרם כשיקול לחומרה בעת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הוכחת קיומו של קשר סיבתי בין העבירה שבוצעה ובין הנזק שנגרם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בו נטען שהנזק שנגרם מביצוע העבירה מהווה נסיבה מחמירה לעניין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להוכיחו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את הקשר הסיבתי הנדרש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ברף הוכחה של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הפסיקה שעסקה בקשר סיבתי בפלילים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הבחינה בין שני רבדים שונים של קשר סיבתי שיש להוכיח את התקיימותם – עובדתי ומשפטי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קשר סיבתי עובדתי נבחן לפי מבחן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הסיבה שבלעדיה אין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מבחן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הוא בבחינת גורם לתוצאה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אלמלא המעשה לא הייתה מתרחשת התוצאה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המדובר במבחן בעל אופי פיזי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מדעי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צופה פני 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הבוחן את השפעת המעשה על התוצאה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שקרתה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מובן כי מבחן זה אינו יכול לעמוד לבדו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כאן נכנס לפעולה מבחן הקשר הסיבתי המשפטי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שיסודותיו בשיקולי מדיניות משפטית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הבורר מבין כלל חוליות השרשרת הסיבתית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אלה שתרומתן להתרחשות התוצאה האסורה היא מכרעת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ואשר בגינן ראוי להטיל אחריות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המבחן העיקרי שאומץ בפסיקה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הוא מבחן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הצפיות הסבירה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לא נדרשת צפיות של תהליך הגרימה המדויק לפרטיו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הקשר הסיבתי המשפטי יישלל רק אם אופן התרחשות התוצאה היה חריג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 הקשר הסיבתי העובדתי נסמך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על חוות דעתו של מומחה התביעה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 קוגל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ובחר לאמץ את מסקנותיו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הקשר הסיבתי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שהובאו בחוות דעתו ובחקירתו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לאחר שהתרשם באופן בלתי אמצעי מעדותו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הכרעתו בעניין זה מנומקת ומעוגנת היטב בחומר הרפואי שהוגש כראיה ובנסיבות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ההגנה מנגד לא תמכה טענותיה בחוות דעת רפואית מטעמה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ואלה נשללו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 קוגל בחקירתו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שנמצא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מבוסס ומשכנע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לא 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להתערב במסקנת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ולפיה הוכח מעל לספק סביר קיומו של קשר סיבתי עובדתי במקרה הנדון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להתערב אף במסקנתו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לגבי קיומו של קשר סיבתי 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שצוין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משנקבע בהכרעת הדין כי המערער צפה את אפשרות מותה של הנפגעת ואף חפץ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יכול 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צריך 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לצפות את האפשרות שמעשיו – הטחת לבנת בטון כבדה בעוצמה בראשה של הנפגעת מספר פעמים – עלולים להוביל להותרתה במצב הכרתי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צמח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 הצפיות הסבירה אינו דורש צפיות של הליך הגרימה המדויק 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רק במקרים נדירים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שהתוצאה המכוונת הושגה בהם בדרך אקראית ועקיפה ביותר וקיים פער גדול בין דרך האירוע – כפי שהיה ניתן לצפות בעת המעשה – לבין דרך האירוע שהתרחש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לדבר על היעדר קשר סיבתי 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המצב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ורחוק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השרשרת הסיבתית שנמצא שהובילה למצבה הרפואי של הנפגעת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חריגה כלל ועיקר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 החיים מלמד כי פעמים רבות אנשים שמתאשפזים למשך תקופה ארוכה בשל פגיעה מסוימת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פגיעת ראש חמורה 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חווים הידרדרות במצבם שאינה נובעת ישירות מן הפגיעה הראשונית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מסיבוכים רפואיים הנובעים מאותה 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אף אין מדובר במי שנפגעה באופן קל מעבירה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ומצבה הרפואי הלך והחמיר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במי שהייתה במצב רפואי קשה בסמוך לאחר התקיפה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לאחר אירוע דום הלב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שבין שתי נקודות זמן אלה חל שיפור מועט במצבה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 כדי לשנות לעניין הצפיות הסבירה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ה</w:t>
      </w:r>
      <w:r>
        <w:rPr>
          <w:rFonts w:ascii="Times New Roman" w:hAnsi="Times New Roman" w:cs="Times New Roman"/>
          <w:spacing w:val="0"/>
          <w:szCs w:val="26"/>
          <w:rtl w:val="true"/>
        </w:rPr>
        <w:t>ודגש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גם בתקופת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הטבה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מצבה של הנפגעת היה כה חמור עד כי לא היה ביכולתה לתקשר עם סביבתה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נדרשה להנשמה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להזנה ולפינוי צרכיה באמצעים מלאכותיים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אין באירוע תלישת צינור ההנשמה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הנפגעת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לחתור תחת קיומו של קשר סיבתי משפטי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משנקבע כי אירוע תלישת הצינור בא על רקע הירידה הקוגניטיבית שנגרמה לנפגעת בשל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שעה שהנפגעת לא הייתה ערה למשמעות מעשיה – הרי שאין לראות בפעולה זו כפעולה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אוטונומית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המנתקת את הקשר הסיבתי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היוצא מהאמור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 להתערב בקביעתו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ולפיה מתקיים קשר סיבתי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עובדתי ומשפטי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מצבה הרפואי של הנפגעת בעת מתן גזר הדין לבין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נדחתה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הטענה לחריגה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שצוין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 של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העונש הקבוע בצדה עומד על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מהחמורות בספר החוקים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כפועל יוצא מכך נקבע כי מדיניות הענישה בעבירה זו מחייבת גישה מחמירה שתבטא באופן הולם את מעמדו הרם של ערך קדושת החיים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 של השתת עונשי מאסר ממושכים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הוצע </w:t>
      </w:r>
      <w:r>
        <w:rPr>
          <w:rFonts w:ascii="Times New Roman" w:hAnsi="Times New Roman" w:cs="Times New Roman"/>
          <w:spacing w:val="0"/>
          <w:szCs w:val="26"/>
          <w:rtl w:val="true"/>
        </w:rPr>
        <w:t>להעלות את העונש שבצדה ולהעמידו על שלושים שנות 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תוך שצוין בין היתר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מקרים שבהם הניסיון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ותוצאותיו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קרובים מאוד לעבירה המושלמת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הדבר 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שבו הניסיון לרצח לווה בגרימת נכות קשה לקרבן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בעונש של עשרים שנות מאסר כדי לתת ביטוי מתאים לחומרת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דנא ו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ממחישים את הקרבה האמורה לעבירה המוגמרת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היוותרותה של הנפגעת במצב הכרתי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צמח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אין אופק יציאה 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מהווה </w:t>
      </w:r>
      <w:r>
        <w:rPr>
          <w:rFonts w:ascii="Times New Roman" w:hAnsi="Times New Roman" w:cs="Times New Roman"/>
          <w:spacing w:val="0"/>
          <w:szCs w:val="26"/>
          <w:rtl w:val="true"/>
        </w:rPr>
        <w:t>כטענת המדינה בחיים שאינם 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ובמובן זה אף ניתן לומר שהנפגעת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משולה כמתה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מחמירה זו מצדיקה החמרה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לנזק מרבי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מתקיימות בענייננו נסיבות מחמירות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האכזריות הנוראה של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אדישותו הבלתי נתפסת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לחייה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שעה שמיד לאחר המעשה הותירה מתבוססת בדמה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והלך לשתות ולרקוד בבר כשדמה על בגדיו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לצרף את חוסר הפשר שבמעשה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שקל את כלל השיקולים האמורים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ובתוכם אף את נסיבותיו האישיות המורכבות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נפלה לפניו טעות במלאכת איזון השיקולים השונים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העונש שנגזר לבסוף סוטה ממדיניות הענישה הנוהגת באופן המצדיק התערבות בערעור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לורך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עטר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19.9.2021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4710-11-18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בגדרו הושת על המערער בגין הרשעתו בניסיון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עונש מאסר בפועל לתקופה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 לצד ענישה נלווית</w:t>
      </w:r>
      <w:r>
        <w:rPr>
          <w:rtl w:val="true"/>
        </w:rPr>
        <w:t xml:space="preserve">. </w:t>
      </w:r>
      <w:r>
        <w:rPr>
          <w:rtl w:val="true"/>
        </w:rPr>
        <w:t>הערעור נסוב על חומרת עונש המאסר בפועל שנגזר על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ניסיון לרצח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אלה העובדות שעמדו ביסוד הרשעתו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16.10.2018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20:15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נפגשו המערער ונפגעת העבירה </w:t>
      </w:r>
      <w:r>
        <w:rPr>
          <w:rtl w:val="true"/>
        </w:rPr>
        <w:t>(</w:t>
      </w:r>
      <w:r>
        <w:rPr>
          <w:rtl w:val="true"/>
        </w:rPr>
        <w:t xml:space="preserve">אשר כונתה בכתב האישום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", </w:t>
      </w:r>
      <w:r>
        <w:rPr>
          <w:rtl w:val="true"/>
        </w:rPr>
        <w:t>ותכונה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הנפגעת</w:t>
      </w:r>
      <w:r>
        <w:rPr>
          <w:rtl w:val="true"/>
        </w:rPr>
        <w:t xml:space="preserve">), </w:t>
      </w:r>
      <w:r>
        <w:rPr>
          <w:rtl w:val="true"/>
        </w:rPr>
        <w:t>באזור השוק בנתניה</w:t>
      </w:r>
      <w:r>
        <w:rPr>
          <w:rtl w:val="true"/>
        </w:rPr>
        <w:t xml:space="preserve">. </w:t>
      </w:r>
      <w:r>
        <w:rPr>
          <w:rtl w:val="true"/>
        </w:rPr>
        <w:t>השניים נכנסו לגומחה בבניין אשר היה באותה עת בשלבי בנייה</w:t>
      </w:r>
      <w:r>
        <w:rPr>
          <w:rtl w:val="true"/>
        </w:rPr>
        <w:t xml:space="preserve">, </w:t>
      </w:r>
      <w:r>
        <w:rPr>
          <w:rtl w:val="true"/>
        </w:rPr>
        <w:t>ושם קיימו מגע מיני מלא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מסיבה שאינה ידועה</w:t>
      </w:r>
      <w:r>
        <w:rPr>
          <w:rtl w:val="true"/>
        </w:rPr>
        <w:t xml:space="preserve">, </w:t>
      </w:r>
      <w:r>
        <w:rPr>
          <w:rtl w:val="true"/>
        </w:rPr>
        <w:t>גמלה בליבו של המערער החלטה לגרום למותה של הנפגעת</w:t>
      </w:r>
      <w:r>
        <w:rPr>
          <w:rtl w:val="true"/>
        </w:rPr>
        <w:t xml:space="preserve">. </w:t>
      </w:r>
      <w:r>
        <w:rPr>
          <w:rtl w:val="true"/>
        </w:rPr>
        <w:t>לשם מימוש החלטתו</w:t>
      </w:r>
      <w:r>
        <w:rPr>
          <w:rtl w:val="true"/>
        </w:rPr>
        <w:t xml:space="preserve">, </w:t>
      </w:r>
      <w:r>
        <w:rPr>
          <w:rtl w:val="true"/>
        </w:rPr>
        <w:t>נטל המערער לבנת בטון שהייתה במקום</w:t>
      </w:r>
      <w:r>
        <w:rPr>
          <w:rtl w:val="true"/>
        </w:rPr>
        <w:t xml:space="preserve">, </w:t>
      </w:r>
      <w:r>
        <w:rPr>
          <w:rtl w:val="true"/>
        </w:rPr>
        <w:t xml:space="preserve">משקלה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ג ואורכה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וחבט בעוצמה בראשה ובפניה של הנפגעת מספר פעמים ומכיוונים שונים</w:t>
      </w:r>
      <w:r>
        <w:rPr>
          <w:rtl w:val="true"/>
        </w:rPr>
        <w:t xml:space="preserve">, </w:t>
      </w:r>
      <w:r>
        <w:rPr>
          <w:rtl w:val="true"/>
        </w:rPr>
        <w:t>בכוונה לגרום למותה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20:24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עזב המערער את המקום</w:t>
      </w:r>
      <w:r>
        <w:rPr>
          <w:rtl w:val="true"/>
        </w:rPr>
        <w:t xml:space="preserve">, </w:t>
      </w:r>
      <w:r>
        <w:rPr>
          <w:rtl w:val="true"/>
        </w:rPr>
        <w:t>כשהוא מותיר את הנפגעת חבולה</w:t>
      </w:r>
      <w:r>
        <w:rPr>
          <w:rtl w:val="true"/>
        </w:rPr>
        <w:t xml:space="preserve">, </w:t>
      </w:r>
      <w:r>
        <w:rPr>
          <w:rtl w:val="true"/>
        </w:rPr>
        <w:t>זבת דם ואינה מסוגלת לנוע או להזעיק עזרה</w:t>
      </w:r>
      <w:r>
        <w:rPr>
          <w:rtl w:val="true"/>
        </w:rPr>
        <w:t xml:space="preserve">, </w:t>
      </w:r>
      <w:r>
        <w:rPr>
          <w:rtl w:val="true"/>
        </w:rPr>
        <w:t>וצעד אל פאב סמוך</w:t>
      </w:r>
      <w:r>
        <w:rPr>
          <w:rtl w:val="true"/>
        </w:rPr>
        <w:t xml:space="preserve">, </w:t>
      </w:r>
      <w:r>
        <w:rPr>
          <w:rtl w:val="true"/>
        </w:rPr>
        <w:t>שם רקד ושוחח עם חברו</w:t>
      </w:r>
      <w:r>
        <w:rPr>
          <w:rtl w:val="true"/>
        </w:rPr>
        <w:t xml:space="preserve">. </w:t>
      </w:r>
      <w:r>
        <w:rPr>
          <w:rtl w:val="true"/>
        </w:rPr>
        <w:t>הנפגעת נמצאה על</w:t>
      </w:r>
      <w:r>
        <w:rPr>
          <w:rtl w:val="true"/>
        </w:rPr>
        <w:t>-</w:t>
      </w:r>
      <w:r>
        <w:rPr>
          <w:rtl w:val="true"/>
        </w:rPr>
        <w:t>ידי עובר אורח באקראי רק כשעה לאחר מכן</w:t>
      </w:r>
      <w:r>
        <w:rPr>
          <w:rtl w:val="true"/>
        </w:rPr>
        <w:t xml:space="preserve">. </w:t>
      </w:r>
      <w:r>
        <w:rPr>
          <w:rtl w:val="true"/>
        </w:rPr>
        <w:t>כתוצאה ממעשי המערער</w:t>
      </w:r>
      <w:r>
        <w:rPr>
          <w:rtl w:val="true"/>
        </w:rPr>
        <w:t xml:space="preserve">, </w:t>
      </w:r>
      <w:r>
        <w:rPr>
          <w:rtl w:val="true"/>
        </w:rPr>
        <w:t>נגרמו לנפגעת נזק מוחי קשה מאד</w:t>
      </w:r>
      <w:r>
        <w:rPr>
          <w:rtl w:val="true"/>
        </w:rPr>
        <w:t xml:space="preserve">, </w:t>
      </w:r>
      <w:r>
        <w:rPr>
          <w:rtl w:val="true"/>
        </w:rPr>
        <w:t>שברים בגולגולת</w:t>
      </w:r>
      <w:r>
        <w:rPr>
          <w:rtl w:val="true"/>
        </w:rPr>
        <w:t xml:space="preserve">, </w:t>
      </w:r>
      <w:r>
        <w:rPr>
          <w:rtl w:val="true"/>
        </w:rPr>
        <w:t>דימומים תוך מוחיים</w:t>
      </w:r>
      <w:r>
        <w:rPr>
          <w:rtl w:val="true"/>
        </w:rPr>
        <w:t xml:space="preserve">, </w:t>
      </w:r>
      <w:r>
        <w:rPr>
          <w:rtl w:val="true"/>
        </w:rPr>
        <w:t>חסימה של עורק מוחי ונזקים נוספים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שעולה מן החומר הרפואי שהוגש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בעקבות התקיפה פונתה הנפגעת לבית החולים </w:t>
      </w:r>
      <w:r>
        <w:rPr>
          <w:rtl w:val="true"/>
        </w:rPr>
        <w:t>"</w:t>
      </w:r>
      <w:r>
        <w:rPr>
          <w:rtl w:val="true"/>
        </w:rPr>
        <w:t>בילינסון</w:t>
      </w:r>
      <w:r>
        <w:rPr>
          <w:rtl w:val="true"/>
        </w:rPr>
        <w:t xml:space="preserve">" </w:t>
      </w:r>
      <w:r>
        <w:rPr>
          <w:rtl w:val="true"/>
        </w:rPr>
        <w:t>כשהיא מחוסרת הכרה וסובלת מחבלת ראש קשה</w:t>
      </w:r>
      <w:r>
        <w:rPr>
          <w:rtl w:val="true"/>
        </w:rPr>
        <w:t xml:space="preserve">, </w:t>
      </w:r>
      <w:r>
        <w:rPr>
          <w:rtl w:val="true"/>
        </w:rPr>
        <w:t>ובמהלך אשפוזה נותרה מחוסרת הכרה</w:t>
      </w:r>
      <w:r>
        <w:rPr>
          <w:rtl w:val="true"/>
        </w:rPr>
        <w:t xml:space="preserve">. </w:t>
      </w:r>
      <w:r>
        <w:rPr>
          <w:rtl w:val="true"/>
        </w:rPr>
        <w:t xml:space="preserve">בחודש נובמבר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 xml:space="preserve">הועברה הנפגעת למרכז הגריאטרי </w:t>
      </w:r>
      <w:r>
        <w:rPr>
          <w:rtl w:val="true"/>
        </w:rPr>
        <w:t>"</w:t>
      </w:r>
      <w:r>
        <w:rPr>
          <w:rtl w:val="true"/>
        </w:rPr>
        <w:t>דורות</w:t>
      </w:r>
      <w:r>
        <w:rPr>
          <w:rtl w:val="true"/>
        </w:rPr>
        <w:t xml:space="preserve">" </w:t>
      </w:r>
      <w:r>
        <w:rPr>
          <w:rtl w:val="true"/>
        </w:rPr>
        <w:t>כשהיא מונשמת</w:t>
      </w:r>
      <w:r>
        <w:rPr>
          <w:rtl w:val="true"/>
        </w:rPr>
        <w:t xml:space="preserve">, </w:t>
      </w:r>
      <w:r>
        <w:rPr>
          <w:rtl w:val="true"/>
        </w:rPr>
        <w:t>ולאחר תקופה של מספר חודשים חל שיפור מסוים במצבה</w:t>
      </w:r>
      <w:r>
        <w:rPr>
          <w:rtl w:val="true"/>
        </w:rPr>
        <w:t xml:space="preserve">: </w:t>
      </w:r>
      <w:r>
        <w:rPr>
          <w:rtl w:val="true"/>
        </w:rPr>
        <w:t>היא שבה להכרה והצליחה לזהות את בני משפחתה</w:t>
      </w:r>
      <w:r>
        <w:rPr>
          <w:rtl w:val="true"/>
        </w:rPr>
        <w:t xml:space="preserve">, </w:t>
      </w:r>
      <w:r>
        <w:rPr>
          <w:rtl w:val="true"/>
        </w:rPr>
        <w:t>לתקשר מעט ולהזיז מעט את הגפיים</w:t>
      </w:r>
      <w:r>
        <w:rPr>
          <w:rtl w:val="true"/>
        </w:rPr>
        <w:t xml:space="preserve">; </w:t>
      </w:r>
      <w:r>
        <w:rPr>
          <w:rtl w:val="true"/>
        </w:rPr>
        <w:t>ואולם עדיין לא התמצאה בזמן ובמקום</w:t>
      </w:r>
      <w:r>
        <w:rPr>
          <w:rtl w:val="true"/>
        </w:rPr>
        <w:t xml:space="preserve">, </w:t>
      </w:r>
      <w:r>
        <w:rPr>
          <w:rtl w:val="true"/>
        </w:rPr>
        <w:t>סבלה מהפרעה בדיבור</w:t>
      </w:r>
      <w:r>
        <w:rPr>
          <w:rtl w:val="true"/>
        </w:rPr>
        <w:t xml:space="preserve">, </w:t>
      </w:r>
      <w:r>
        <w:rPr>
          <w:rtl w:val="true"/>
        </w:rPr>
        <w:t>לא שלטה בסוגרים ולא הייתה מסוגלת לבלוע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תועדו אירועים של אי</w:t>
      </w:r>
      <w:r>
        <w:rPr>
          <w:rtl w:val="true"/>
        </w:rPr>
        <w:t>-</w:t>
      </w:r>
      <w:r>
        <w:rPr>
          <w:rtl w:val="true"/>
        </w:rPr>
        <w:t>שקט בהם תלשה את צינור ההנשמה שחובר אליה</w:t>
      </w:r>
      <w:r>
        <w:rPr>
          <w:rtl w:val="true"/>
        </w:rPr>
        <w:t xml:space="preserve">, </w:t>
      </w:r>
      <w:r>
        <w:rPr>
          <w:rtl w:val="true"/>
        </w:rPr>
        <w:t>עד שהוחלט שלא להחזירו</w:t>
      </w:r>
      <w:r>
        <w:rPr>
          <w:rtl w:val="true"/>
        </w:rPr>
        <w:t xml:space="preserve">. </w:t>
      </w:r>
      <w:r>
        <w:rPr>
          <w:rtl w:val="true"/>
        </w:rPr>
        <w:t xml:space="preserve">בחודש ינואר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 xml:space="preserve">הועברה הנפגעת להמשך טיפול במרכז הסיעודי </w:t>
      </w:r>
      <w:r>
        <w:rPr>
          <w:rtl w:val="true"/>
        </w:rPr>
        <w:t>"</w:t>
      </w:r>
      <w:r>
        <w:rPr>
          <w:rtl w:val="true"/>
        </w:rPr>
        <w:t>אחוזת השרון</w:t>
      </w:r>
      <w:r>
        <w:rPr>
          <w:rtl w:val="true"/>
        </w:rPr>
        <w:t xml:space="preserve">", </w:t>
      </w:r>
      <w:r>
        <w:rPr>
          <w:rtl w:val="true"/>
        </w:rPr>
        <w:t xml:space="preserve">וכן אושפזה מספר פעמים בבית החולים </w:t>
      </w:r>
      <w:r>
        <w:rPr>
          <w:rtl w:val="true"/>
        </w:rPr>
        <w:t>"</w:t>
      </w:r>
      <w:r>
        <w:rPr>
          <w:rtl w:val="true"/>
        </w:rPr>
        <w:t>לניאדו</w:t>
      </w:r>
      <w:r>
        <w:rPr>
          <w:rtl w:val="true"/>
        </w:rPr>
        <w:t xml:space="preserve">". </w:t>
      </w:r>
      <w:r>
        <w:rPr>
          <w:rtl w:val="true"/>
        </w:rPr>
        <w:t xml:space="preserve">ביום </w:t>
      </w:r>
      <w:r>
        <w:rPr/>
        <w:t>6.7.2020</w:t>
      </w:r>
      <w:r>
        <w:rPr>
          <w:rtl w:val="true"/>
        </w:rPr>
        <w:t xml:space="preserve"> </w:t>
      </w:r>
      <w:r>
        <w:rPr>
          <w:rtl w:val="true"/>
        </w:rPr>
        <w:t>לקתה הנפגעת בדום לב</w:t>
      </w:r>
      <w:r>
        <w:rPr>
          <w:rtl w:val="true"/>
        </w:rPr>
        <w:t xml:space="preserve">, </w:t>
      </w:r>
      <w:r>
        <w:rPr>
          <w:rtl w:val="true"/>
        </w:rPr>
        <w:t>ובוצעו בה פעולות החייאה</w:t>
      </w:r>
      <w:r>
        <w:rPr>
          <w:rtl w:val="true"/>
        </w:rPr>
        <w:t xml:space="preserve">. </w:t>
      </w:r>
      <w:r>
        <w:rPr>
          <w:rtl w:val="true"/>
        </w:rPr>
        <w:t>לאחר אירוע זה הוחזרה הנפגעת להנשמה מלאכותית</w:t>
      </w:r>
      <w:r>
        <w:rPr>
          <w:rtl w:val="true"/>
        </w:rPr>
        <w:t xml:space="preserve">, </w:t>
      </w:r>
      <w:r>
        <w:rPr>
          <w:rtl w:val="true"/>
        </w:rPr>
        <w:t xml:space="preserve">הפסיקה לתקשר עם סביבתה ואובחנה במצב הכרתי של </w:t>
      </w:r>
      <w:r>
        <w:rPr>
          <w:rtl w:val="true"/>
        </w:rPr>
        <w:t>"</w:t>
      </w:r>
      <w:r>
        <w:rPr>
          <w:rtl w:val="true"/>
        </w:rPr>
        <w:t>צמח</w:t>
      </w:r>
      <w:r>
        <w:rPr>
          <w:rtl w:val="true"/>
        </w:rPr>
        <w:t xml:space="preserve">" </w:t>
      </w:r>
      <w:r>
        <w:rPr>
          <w:rtl w:val="true"/>
        </w:rPr>
        <w:t>שאין ממנו מרפא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זמן קצר לאחר האירוע האחרון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21.9.2020</w:t>
      </w:r>
      <w:r>
        <w:rPr>
          <w:rtl w:val="true"/>
        </w:rPr>
        <w:t xml:space="preserve">, </w:t>
      </w:r>
      <w:r>
        <w:rPr>
          <w:rtl w:val="true"/>
        </w:rPr>
        <w:t>נשמעו הטיעונים לעונש לפני בית המשפט המחוזי</w:t>
      </w:r>
      <w:r>
        <w:rPr>
          <w:rtl w:val="true"/>
        </w:rPr>
        <w:t xml:space="preserve">. </w:t>
      </w:r>
      <w:r>
        <w:rPr>
          <w:rtl w:val="true"/>
        </w:rPr>
        <w:t>בטיעוני המדינה התבקש בית המשפט לשקול לחומרה</w:t>
      </w:r>
      <w:r>
        <w:rPr>
          <w:rtl w:val="true"/>
        </w:rPr>
        <w:t xml:space="preserve">, </w:t>
      </w:r>
      <w:r>
        <w:rPr>
          <w:rtl w:val="true"/>
        </w:rPr>
        <w:t>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את מצבה הווגטטיבי הקשה של הנפגעת</w:t>
      </w:r>
      <w:r>
        <w:rPr>
          <w:rtl w:val="true"/>
        </w:rPr>
        <w:t xml:space="preserve">. </w:t>
      </w:r>
      <w:r>
        <w:rPr>
          <w:rtl w:val="true"/>
        </w:rPr>
        <w:t>ההגנה מצידה חלקה על קיומו של קשר סיבתי בין מצבה הרפואי של הנפגעת</w:t>
      </w:r>
      <w:r>
        <w:rPr>
          <w:rtl w:val="true"/>
        </w:rPr>
        <w:t xml:space="preserve">, </w:t>
      </w:r>
      <w:r>
        <w:rPr>
          <w:rtl w:val="true"/>
        </w:rPr>
        <w:t>נכון לאותו מועד</w:t>
      </w:r>
      <w:r>
        <w:rPr>
          <w:rtl w:val="true"/>
        </w:rPr>
        <w:t xml:space="preserve">, </w:t>
      </w:r>
      <w:r>
        <w:rPr>
          <w:rtl w:val="true"/>
        </w:rPr>
        <w:t>לבין מעשיו של המערער</w:t>
      </w:r>
      <w:r>
        <w:rPr>
          <w:rtl w:val="true"/>
        </w:rPr>
        <w:t xml:space="preserve">. </w:t>
      </w:r>
      <w:r>
        <w:rPr>
          <w:rtl w:val="true"/>
        </w:rPr>
        <w:t>בעקבות עמדתה זו הופסק הדיון על מנת לאפשר למדינה להגיש חוות דעת רפואית בסוגיה זו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20.12.2020</w:t>
      </w:r>
      <w:r>
        <w:rPr>
          <w:rtl w:val="true"/>
        </w:rPr>
        <w:t xml:space="preserve"> </w:t>
      </w:r>
      <w:r>
        <w:rPr>
          <w:rtl w:val="true"/>
        </w:rPr>
        <w:t>הגישה המדינה חוות דעת רפואית של ד</w:t>
      </w:r>
      <w:r>
        <w:rPr>
          <w:rtl w:val="true"/>
        </w:rPr>
        <w:t>"</w:t>
      </w:r>
      <w:r>
        <w:rPr>
          <w:rtl w:val="true"/>
        </w:rPr>
        <w:t>ר חן קוגל מהמרכז הלאומי לרפואה משפטית</w:t>
      </w:r>
      <w:r>
        <w:rPr>
          <w:rtl w:val="true"/>
        </w:rPr>
        <w:t xml:space="preserve">, </w:t>
      </w:r>
      <w:r>
        <w:rPr>
          <w:rtl w:val="true"/>
        </w:rPr>
        <w:t>על פיה קיים קשר סיבתי בין פציעתה של הנפגעת בעקבות מעשי המערער</w:t>
      </w:r>
      <w:r>
        <w:rPr>
          <w:rtl w:val="true"/>
        </w:rPr>
        <w:t xml:space="preserve">, </w:t>
      </w:r>
      <w:r>
        <w:rPr>
          <w:rtl w:val="true"/>
        </w:rPr>
        <w:t>לבין מצבה הרפואי נכון לאותה 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בחוות דעתו הציג ד</w:t>
      </w:r>
      <w:r>
        <w:rPr>
          <w:rtl w:val="true"/>
        </w:rPr>
        <w:t>"</w:t>
      </w:r>
      <w:r>
        <w:rPr>
          <w:rtl w:val="true"/>
        </w:rPr>
        <w:t xml:space="preserve">ר קוגל </w:t>
      </w:r>
      <w:r>
        <w:rPr>
          <w:rtl w:val="true"/>
        </w:rPr>
        <w:t>"</w:t>
      </w:r>
      <w:r>
        <w:rPr>
          <w:rtl w:val="true"/>
        </w:rPr>
        <w:t>רצף של תהליכים</w:t>
      </w:r>
      <w:r>
        <w:rPr>
          <w:rtl w:val="true"/>
        </w:rPr>
        <w:t xml:space="preserve">" </w:t>
      </w:r>
      <w:r>
        <w:rPr>
          <w:rtl w:val="true"/>
        </w:rPr>
        <w:t>שתחילתם באירוע התקיפה וסופם בהגעתה של הנפגעת למצב רפואי וגטטיבי</w:t>
      </w:r>
      <w:r>
        <w:rPr>
          <w:rtl w:val="true"/>
        </w:rPr>
        <w:t xml:space="preserve">, </w:t>
      </w:r>
      <w:r>
        <w:rPr>
          <w:rtl w:val="true"/>
        </w:rPr>
        <w:t>תוך שתואר כיצד כל אירוע הוביל למשנהו</w:t>
      </w:r>
      <w:r>
        <w:rPr>
          <w:rtl w:val="true"/>
        </w:rPr>
        <w:t xml:space="preserve">, </w:t>
      </w:r>
      <w:r>
        <w:rPr>
          <w:rtl w:val="true"/>
        </w:rPr>
        <w:t>באופן שמתקיים קשר סיבתי בין תקיפתה של הנפגעת על</w:t>
      </w:r>
      <w:r>
        <w:rPr>
          <w:rtl w:val="true"/>
        </w:rPr>
        <w:t>-</w:t>
      </w:r>
      <w:r>
        <w:rPr>
          <w:rtl w:val="true"/>
        </w:rPr>
        <w:t>ידי המערער לבין מצבה הרפואי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כי פציעתה החבלתית של הנפגעת בעקבות מעשי המערער</w:t>
      </w:r>
      <w:r>
        <w:rPr>
          <w:rtl w:val="true"/>
        </w:rPr>
        <w:t xml:space="preserve">, </w:t>
      </w:r>
      <w:r>
        <w:rPr>
          <w:rtl w:val="true"/>
        </w:rPr>
        <w:t>גרמה להתדרדרות במצבה הנוירולוגי</w:t>
      </w:r>
      <w:r>
        <w:rPr>
          <w:rtl w:val="true"/>
        </w:rPr>
        <w:t xml:space="preserve">, </w:t>
      </w:r>
      <w:r>
        <w:rPr>
          <w:rtl w:val="true"/>
        </w:rPr>
        <w:t>אשר למרות שחל בו שיפור הדרגתי בחלוף הזמן</w:t>
      </w:r>
      <w:r>
        <w:rPr>
          <w:rtl w:val="true"/>
        </w:rPr>
        <w:t xml:space="preserve">, </w:t>
      </w:r>
      <w:r>
        <w:rPr>
          <w:rtl w:val="true"/>
        </w:rPr>
        <w:t>הוביל להיותה חולה סיעודית</w:t>
      </w:r>
      <w:r>
        <w:rPr>
          <w:rtl w:val="true"/>
        </w:rPr>
        <w:t xml:space="preserve">. </w:t>
      </w:r>
      <w:r>
        <w:rPr>
          <w:rtl w:val="true"/>
        </w:rPr>
        <w:t>מצב נוירולוגי ירוד זה גרם לירידה ברפלקסים חיוניים כגון רפלקס הבליעה</w:t>
      </w:r>
      <w:r>
        <w:rPr>
          <w:rtl w:val="true"/>
        </w:rPr>
        <w:t xml:space="preserve">, </w:t>
      </w:r>
      <w:r>
        <w:rPr>
          <w:rtl w:val="true"/>
        </w:rPr>
        <w:t xml:space="preserve">ובכך הגדיל את הסיכון לאספירציה </w:t>
      </w:r>
      <w:r>
        <w:rPr>
          <w:rtl w:val="true"/>
        </w:rPr>
        <w:t>(</w:t>
      </w:r>
      <w:r>
        <w:rPr>
          <w:rtl w:val="true"/>
        </w:rPr>
        <w:t>שאיפת תוכן נוזלי או מוצק לדרכי הנשימה</w:t>
      </w:r>
      <w:r>
        <w:rPr>
          <w:rtl w:val="true"/>
        </w:rPr>
        <w:t xml:space="preserve">). </w:t>
      </w:r>
      <w:r>
        <w:rPr>
          <w:rtl w:val="true"/>
        </w:rPr>
        <w:t>צוין כי אצל הנפגעת התרחשו מספר אירועי אספירציה</w:t>
      </w:r>
      <w:r>
        <w:rPr>
          <w:rtl w:val="true"/>
        </w:rPr>
        <w:t xml:space="preserve">, </w:t>
      </w:r>
      <w:r>
        <w:rPr>
          <w:rtl w:val="true"/>
        </w:rPr>
        <w:t>כאשר אחד מאירועים אלה</w:t>
      </w:r>
      <w:r>
        <w:rPr>
          <w:rtl w:val="true"/>
        </w:rPr>
        <w:t xml:space="preserve">, </w:t>
      </w:r>
      <w:r>
        <w:rPr>
          <w:rtl w:val="true"/>
        </w:rPr>
        <w:t xml:space="preserve">שהיה אירוע </w:t>
      </w:r>
      <w:r>
        <w:rPr>
          <w:rtl w:val="true"/>
        </w:rPr>
        <w:t>"</w:t>
      </w:r>
      <w:r>
        <w:rPr>
          <w:rtl w:val="true"/>
        </w:rPr>
        <w:t>מסיבי</w:t>
      </w:r>
      <w:r>
        <w:rPr>
          <w:rtl w:val="true"/>
        </w:rPr>
        <w:t xml:space="preserve">", </w:t>
      </w:r>
      <w:r>
        <w:rPr>
          <w:rtl w:val="true"/>
        </w:rPr>
        <w:t>גרם להפרעה נשימתית ולדום לב</w:t>
      </w:r>
      <w:r>
        <w:rPr>
          <w:rtl w:val="true"/>
        </w:rPr>
        <w:t xml:space="preserve">. </w:t>
      </w:r>
      <w:r>
        <w:rPr>
          <w:rtl w:val="true"/>
        </w:rPr>
        <w:t>פעולת הלב של הנפגעת אמנם חודשה לאחר החייאה</w:t>
      </w:r>
      <w:r>
        <w:rPr>
          <w:rtl w:val="true"/>
        </w:rPr>
        <w:t xml:space="preserve">, </w:t>
      </w:r>
      <w:r>
        <w:rPr>
          <w:rtl w:val="true"/>
        </w:rPr>
        <w:t xml:space="preserve">אך בינתיים נגרם לה נזק מוחי בשל העדר חמצון נאות לתאי המוח </w:t>
      </w:r>
      <w:r>
        <w:rPr>
          <w:rtl w:val="true"/>
        </w:rPr>
        <w:t>–</w:t>
      </w:r>
      <w:r>
        <w:rPr>
          <w:rtl w:val="true"/>
        </w:rPr>
        <w:t xml:space="preserve"> וזה גרם למצבה הווגטטיב</w:t>
      </w:r>
      <w:r>
        <w:rPr>
          <w:rtl w:val="true"/>
        </w:rPr>
        <w:t>י</w:t>
      </w:r>
      <w:r>
        <w:rPr>
          <w:rtl w:val="true"/>
        </w:rPr>
        <w:t xml:space="preserve"> של הנפגעת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מטעם ההגנה לא הוגשה חוות דעת נגדית</w:t>
      </w:r>
      <w:r>
        <w:rPr>
          <w:rtl w:val="true"/>
        </w:rPr>
        <w:t xml:space="preserve">. </w:t>
      </w:r>
      <w:r>
        <w:rPr>
          <w:rtl w:val="true"/>
        </w:rPr>
        <w:t>לאחר שד</w:t>
      </w:r>
      <w:r>
        <w:rPr>
          <w:rtl w:val="true"/>
        </w:rPr>
        <w:t>"</w:t>
      </w:r>
      <w:r>
        <w:rPr>
          <w:rtl w:val="true"/>
        </w:rPr>
        <w:t>ר קוגל נחקר על חוות דעתו</w:t>
      </w:r>
      <w:r>
        <w:rPr>
          <w:rtl w:val="true"/>
        </w:rPr>
        <w:t xml:space="preserve">, </w:t>
      </w:r>
      <w:r>
        <w:rPr>
          <w:rtl w:val="true"/>
        </w:rPr>
        <w:t>נשמעו טענות הצדדים לעניין הקשר הסיבתי</w:t>
      </w:r>
      <w:r>
        <w:rPr>
          <w:rtl w:val="true"/>
        </w:rPr>
        <w:t xml:space="preserve">, </w:t>
      </w:r>
      <w:r>
        <w:rPr>
          <w:rtl w:val="true"/>
        </w:rPr>
        <w:t>והושלמו הטיעונים לעונש</w:t>
      </w:r>
      <w:r>
        <w:rPr>
          <w:rtl w:val="true"/>
        </w:rPr>
        <w:t xml:space="preserve">. </w:t>
      </w:r>
      <w:r>
        <w:rPr>
          <w:rtl w:val="true"/>
        </w:rPr>
        <w:t>בטיעוניה לעונש סמכה המדינה טענותיה לקיומו של קשר סיבתי עובדתי</w:t>
      </w:r>
      <w:r>
        <w:rPr>
          <w:rtl w:val="true"/>
        </w:rPr>
        <w:t xml:space="preserve">, </w:t>
      </w:r>
      <w:r>
        <w:rPr>
          <w:rtl w:val="true"/>
        </w:rPr>
        <w:t>על חוות דעתו של ד</w:t>
      </w:r>
      <w:r>
        <w:rPr>
          <w:rtl w:val="true"/>
        </w:rPr>
        <w:t>"</w:t>
      </w:r>
      <w:r>
        <w:rPr>
          <w:rtl w:val="true"/>
        </w:rPr>
        <w:t>ר קוגל ועל מסקנתו בדבר קיומו של קשר סיבתי כאמור</w:t>
      </w:r>
      <w:r>
        <w:rPr>
          <w:rtl w:val="true"/>
        </w:rPr>
        <w:t xml:space="preserve">. </w:t>
      </w:r>
      <w:r>
        <w:rPr>
          <w:rtl w:val="true"/>
        </w:rPr>
        <w:t>הודגש כי חוות דעת זו היא היחידה שהוגשה</w:t>
      </w:r>
      <w:r>
        <w:rPr>
          <w:rtl w:val="true"/>
        </w:rPr>
        <w:t xml:space="preserve">, </w:t>
      </w:r>
      <w:r>
        <w:rPr>
          <w:rtl w:val="true"/>
        </w:rPr>
        <w:t>וכי ד</w:t>
      </w:r>
      <w:r>
        <w:rPr>
          <w:rtl w:val="true"/>
        </w:rPr>
        <w:t>"</w:t>
      </w:r>
      <w:r>
        <w:rPr>
          <w:rtl w:val="true"/>
        </w:rPr>
        <w:t>ר קוגל עמד עליה גם לאחר חקירה נגדית ממושכת</w:t>
      </w:r>
      <w:r>
        <w:rPr>
          <w:rtl w:val="true"/>
        </w:rPr>
        <w:t xml:space="preserve">, </w:t>
      </w:r>
      <w:r>
        <w:rPr>
          <w:rtl w:val="true"/>
        </w:rPr>
        <w:t>תוך שסיפק הסברים מפורטים למסקנותיו</w:t>
      </w:r>
      <w:r>
        <w:rPr>
          <w:rtl w:val="true"/>
        </w:rPr>
        <w:t xml:space="preserve">. </w:t>
      </w:r>
      <w:r>
        <w:rPr>
          <w:rtl w:val="true"/>
        </w:rPr>
        <w:t>נטען כי הנפגעת נכנסה לזירת האירוע על רגליה</w:t>
      </w:r>
      <w:r>
        <w:rPr>
          <w:rtl w:val="true"/>
        </w:rPr>
        <w:t xml:space="preserve">, </w:t>
      </w:r>
      <w:r>
        <w:rPr>
          <w:rtl w:val="true"/>
        </w:rPr>
        <w:t>ויצאה ממנה עם פגיעת ראש קשה וסיכוי קלוש להישאר בחיים</w:t>
      </w:r>
      <w:r>
        <w:rPr>
          <w:rtl w:val="true"/>
        </w:rPr>
        <w:t xml:space="preserve">. </w:t>
      </w:r>
      <w:r>
        <w:rPr>
          <w:rtl w:val="true"/>
        </w:rPr>
        <w:t>עוד תואר</w:t>
      </w:r>
      <w:r>
        <w:rPr>
          <w:rtl w:val="true"/>
        </w:rPr>
        <w:t xml:space="preserve">, </w:t>
      </w:r>
      <w:r>
        <w:rPr>
          <w:rtl w:val="true"/>
        </w:rPr>
        <w:t>כי בסמוך לאחר האירוע</w:t>
      </w:r>
      <w:r>
        <w:rPr>
          <w:rtl w:val="true"/>
        </w:rPr>
        <w:t xml:space="preserve">, </w:t>
      </w:r>
      <w:r>
        <w:rPr>
          <w:rtl w:val="true"/>
        </w:rPr>
        <w:t>הייתה הנפגעת מחוסרת הכרה ובמצב קשה מאד</w:t>
      </w:r>
      <w:r>
        <w:rPr>
          <w:rtl w:val="true"/>
        </w:rPr>
        <w:t xml:space="preserve">; </w:t>
      </w:r>
      <w:r>
        <w:rPr>
          <w:rtl w:val="true"/>
        </w:rPr>
        <w:t>בתקופה שבה חל שיפור מסוים במצבה</w:t>
      </w:r>
      <w:r>
        <w:rPr>
          <w:rtl w:val="true"/>
        </w:rPr>
        <w:t xml:space="preserve">, </w:t>
      </w:r>
      <w:r>
        <w:rPr>
          <w:rtl w:val="true"/>
        </w:rPr>
        <w:t>עדיין לא הייתה מסוגלת לנשום בכוחות עצמה ונדרשה להזנה ולפינוי צרכיה באמצעות צינורות</w:t>
      </w:r>
      <w:r>
        <w:rPr>
          <w:rtl w:val="true"/>
        </w:rPr>
        <w:t xml:space="preserve">; </w:t>
      </w:r>
      <w:r>
        <w:rPr>
          <w:rtl w:val="true"/>
        </w:rPr>
        <w:t>ולאחר דום הלב חזרה למצב הירוד בו הייתה בסמוך לאחר האירוע אך הפעם ללא צפי לשיפור</w:t>
      </w:r>
      <w:r>
        <w:rPr>
          <w:rtl w:val="true"/>
        </w:rPr>
        <w:t xml:space="preserve">. </w:t>
      </w:r>
      <w:r>
        <w:rPr>
          <w:rtl w:val="true"/>
        </w:rPr>
        <w:t>אשר לקשר סיבתי משפטי נטען</w:t>
      </w:r>
      <w:r>
        <w:rPr>
          <w:rtl w:val="true"/>
        </w:rPr>
        <w:t xml:space="preserve">, </w:t>
      </w:r>
      <w:r>
        <w:rPr>
          <w:rtl w:val="true"/>
        </w:rPr>
        <w:t>כי משנקבע כי התקיים במערער יסוד נפשי של כוונה לגרום למותה של הנפגעת</w:t>
      </w:r>
      <w:r>
        <w:rPr>
          <w:rtl w:val="true"/>
        </w:rPr>
        <w:t xml:space="preserve">, </w:t>
      </w:r>
      <w:r>
        <w:rPr>
          <w:rtl w:val="true"/>
        </w:rPr>
        <w:t>אין מקום לטענה לפיה הוא לא צפה את הפגיעה הקשה שנגרמה לה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למתחם העונש ההולם</w:t>
      </w:r>
      <w:r>
        <w:rPr>
          <w:rtl w:val="true"/>
        </w:rPr>
        <w:t xml:space="preserve">, </w:t>
      </w:r>
      <w:r>
        <w:rPr>
          <w:rtl w:val="true"/>
        </w:rPr>
        <w:t>סברה המדינה כי יש לקבוע מתחם שהרף העליון בו הוא העונש המרבי לעבירה</w:t>
      </w:r>
      <w:r>
        <w:rPr>
          <w:rtl w:val="true"/>
        </w:rPr>
        <w:t xml:space="preserve">, </w:t>
      </w:r>
      <w:r>
        <w:rPr>
          <w:rtl w:val="true"/>
        </w:rPr>
        <w:t>עשרים שנה</w:t>
      </w:r>
      <w:r>
        <w:rPr>
          <w:rtl w:val="true"/>
        </w:rPr>
        <w:t xml:space="preserve">, </w:t>
      </w:r>
      <w:r>
        <w:rPr>
          <w:rtl w:val="true"/>
        </w:rPr>
        <w:t>בהתבסס על ארבעה שיקולים מרכזיים</w:t>
      </w:r>
      <w:r>
        <w:rPr>
          <w:rtl w:val="true"/>
        </w:rPr>
        <w:t xml:space="preserve">: </w:t>
      </w:r>
      <w:r>
        <w:rPr>
          <w:rtl w:val="true"/>
        </w:rPr>
        <w:t>האלימות והאכזריות יוצאות הדופן שבמעשי המערער</w:t>
      </w:r>
      <w:r>
        <w:rPr>
          <w:rtl w:val="true"/>
        </w:rPr>
        <w:t xml:space="preserve">, </w:t>
      </w:r>
      <w:r>
        <w:rPr>
          <w:rtl w:val="true"/>
        </w:rPr>
        <w:t>עת חבט בראשה ובפניה של הנפגעת בלבנת בטון כבדה מספר פעמים</w:t>
      </w:r>
      <w:r>
        <w:rPr>
          <w:rtl w:val="true"/>
        </w:rPr>
        <w:t xml:space="preserve">; </w:t>
      </w:r>
      <w:r>
        <w:rPr>
          <w:rtl w:val="true"/>
        </w:rPr>
        <w:t>אדישותו הנוראה לחייה של הנפגעת</w:t>
      </w:r>
      <w:r>
        <w:rPr>
          <w:rtl w:val="true"/>
        </w:rPr>
        <w:t xml:space="preserve">, </w:t>
      </w:r>
      <w:r>
        <w:rPr>
          <w:rtl w:val="true"/>
        </w:rPr>
        <w:t>עת הפקירה באתר בנייה בשעת ערב</w:t>
      </w:r>
      <w:r>
        <w:rPr>
          <w:rtl w:val="true"/>
        </w:rPr>
        <w:t xml:space="preserve">, </w:t>
      </w:r>
      <w:r>
        <w:rPr>
          <w:rtl w:val="true"/>
        </w:rPr>
        <w:t>והלך לבלות</w:t>
      </w:r>
      <w:r>
        <w:rPr>
          <w:rtl w:val="true"/>
        </w:rPr>
        <w:t xml:space="preserve">; </w:t>
      </w:r>
      <w:r>
        <w:rPr>
          <w:rtl w:val="true"/>
        </w:rPr>
        <w:t>השתייכותו של האירוע לקבוצת עבירות של אלימות מגדרית</w:t>
      </w:r>
      <w:r>
        <w:rPr>
          <w:rtl w:val="true"/>
        </w:rPr>
        <w:t xml:space="preserve">, </w:t>
      </w:r>
      <w:r>
        <w:rPr>
          <w:rtl w:val="true"/>
        </w:rPr>
        <w:t>בשל תקיפת הנפגעת סמוך לאחר קיום מגע מיני בין השניים ופערי הכוחות ביניהם</w:t>
      </w:r>
      <w:r>
        <w:rPr>
          <w:rtl w:val="true"/>
        </w:rPr>
        <w:t xml:space="preserve">; </w:t>
      </w:r>
      <w:r>
        <w:rPr>
          <w:rtl w:val="true"/>
        </w:rPr>
        <w:t>והנזק החמור שנגרם לנפגעת</w:t>
      </w:r>
      <w:r>
        <w:rPr>
          <w:rtl w:val="true"/>
        </w:rPr>
        <w:t xml:space="preserve">. </w:t>
      </w:r>
      <w:r>
        <w:rPr>
          <w:rtl w:val="true"/>
        </w:rPr>
        <w:t>באשר לעונשו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עתרה המדינה לגזור עליו את העונש המרבי או קרוב לכך</w:t>
      </w:r>
      <w:r>
        <w:rPr>
          <w:rtl w:val="true"/>
        </w:rPr>
        <w:t xml:space="preserve">. </w:t>
      </w:r>
      <w:r>
        <w:rPr>
          <w:rtl w:val="true"/>
        </w:rPr>
        <w:t>נטען כי המערער לא נטל אחריות למעשיו</w:t>
      </w:r>
      <w:r>
        <w:rPr>
          <w:rtl w:val="true"/>
        </w:rPr>
        <w:t xml:space="preserve">, </w:t>
      </w:r>
      <w:r>
        <w:rPr>
          <w:rtl w:val="true"/>
        </w:rPr>
        <w:t>מסר גרסה שקרית במשטרה</w:t>
      </w:r>
      <w:r>
        <w:rPr>
          <w:rtl w:val="true"/>
        </w:rPr>
        <w:t xml:space="preserve">, </w:t>
      </w:r>
      <w:r>
        <w:rPr>
          <w:rtl w:val="true"/>
        </w:rPr>
        <w:t>וניהל הליך הוכחות בבית המשפט אף שלבסוף נמנע מלהעיד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ההגנה טענה מנגד</w:t>
      </w:r>
      <w:r>
        <w:rPr>
          <w:rtl w:val="true"/>
        </w:rPr>
        <w:t xml:space="preserve">, </w:t>
      </w:r>
      <w:r>
        <w:rPr>
          <w:rtl w:val="true"/>
        </w:rPr>
        <w:t xml:space="preserve">כי לא הוכח מעבר לספק סביר כי קיים קשר סיבתי עובדתי בין מעשי המערער בחודש אוקטובר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ובין אירוע דום הלב מחודש יולי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ועל כן אין לייחס למערער את ההידרדרות במצבה של הנפגעת שבאה בעקבות אירוע דום הלב</w:t>
      </w:r>
      <w:r>
        <w:rPr>
          <w:rtl w:val="true"/>
        </w:rPr>
        <w:t xml:space="preserve">. </w:t>
      </w:r>
      <w:r>
        <w:rPr>
          <w:rtl w:val="true"/>
        </w:rPr>
        <w:t>נטען כי בנוגע לכל אחד מחלקי חוות הדעת של ד</w:t>
      </w:r>
      <w:r>
        <w:rPr>
          <w:rtl w:val="true"/>
        </w:rPr>
        <w:t>"</w:t>
      </w:r>
      <w:r>
        <w:rPr>
          <w:rtl w:val="true"/>
        </w:rPr>
        <w:t>ר קוגל נותרו סוגיות עמומות שלא ניתן להן מענה</w:t>
      </w:r>
      <w:r>
        <w:rPr>
          <w:rtl w:val="true"/>
        </w:rPr>
        <w:t xml:space="preserve">, </w:t>
      </w:r>
      <w:r>
        <w:rPr>
          <w:rtl w:val="true"/>
        </w:rPr>
        <w:t>באופן שעולה כדי ספק סביר</w:t>
      </w:r>
      <w:r>
        <w:rPr>
          <w:rtl w:val="true"/>
        </w:rPr>
        <w:t xml:space="preserve">. </w:t>
      </w:r>
      <w:r>
        <w:rPr>
          <w:rtl w:val="true"/>
        </w:rPr>
        <w:t>בפרט נטען</w:t>
      </w:r>
      <w:r>
        <w:rPr>
          <w:rtl w:val="true"/>
        </w:rPr>
        <w:t xml:space="preserve">, </w:t>
      </w:r>
      <w:r>
        <w:rPr>
          <w:rtl w:val="true"/>
        </w:rPr>
        <w:t>כי בניגוד לקביעת ד</w:t>
      </w:r>
      <w:r>
        <w:rPr>
          <w:rtl w:val="true"/>
        </w:rPr>
        <w:t>"</w:t>
      </w:r>
      <w:r>
        <w:rPr>
          <w:rtl w:val="true"/>
        </w:rPr>
        <w:t>ר קוגל</w:t>
      </w:r>
      <w:r>
        <w:rPr>
          <w:rtl w:val="true"/>
        </w:rPr>
        <w:t xml:space="preserve">, </w:t>
      </w:r>
      <w:r>
        <w:rPr>
          <w:rtl w:val="true"/>
        </w:rPr>
        <w:t xml:space="preserve">במשך תקופה ארוכה שמחודש מרץ ועד לחודש דצמבר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 xml:space="preserve">אותה כינתה ההגנה </w:t>
      </w:r>
      <w:r>
        <w:rPr>
          <w:rtl w:val="true"/>
        </w:rPr>
        <w:t>"</w:t>
      </w:r>
      <w:r>
        <w:rPr>
          <w:rtl w:val="true"/>
        </w:rPr>
        <w:t>תקופת ההטבה</w:t>
      </w:r>
      <w:r>
        <w:rPr>
          <w:rtl w:val="true"/>
        </w:rPr>
        <w:t xml:space="preserve">", </w:t>
      </w:r>
      <w:r>
        <w:rPr>
          <w:rtl w:val="true"/>
        </w:rPr>
        <w:t>חל שיפור במצבה של הנפגעת ולא קיים תיעוד לאספירציות ולפגיעה ברפלקסים חיוניים</w:t>
      </w:r>
      <w:r>
        <w:rPr>
          <w:rtl w:val="true"/>
        </w:rPr>
        <w:t xml:space="preserve">. </w:t>
      </w:r>
      <w:r>
        <w:rPr>
          <w:rtl w:val="true"/>
        </w:rPr>
        <w:t xml:space="preserve">נטען כי אירועי האספירציה החלו רק לאחר שהנפגעת תלשה את צינור ההנשמה בחודש נובמבר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אירוע אשר לפי הטענה ניתק את הקשר הסיבתי בין מעשי המערער לבין מצבה הרפואי של הנפגעת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לא הוכח מעבר לספק סביר כי אירוע דום הלב נבע מאספירציה מסיבית</w:t>
      </w:r>
      <w:r>
        <w:rPr>
          <w:rtl w:val="true"/>
        </w:rPr>
        <w:t xml:space="preserve">, </w:t>
      </w:r>
      <w:r>
        <w:rPr>
          <w:rtl w:val="true"/>
        </w:rPr>
        <w:t>ולא ניתן לשלול כי הוא נבע מפגם לבבי או מבצקת ריאות</w:t>
      </w:r>
      <w:r>
        <w:rPr>
          <w:rtl w:val="true"/>
        </w:rPr>
        <w:t xml:space="preserve">. </w:t>
      </w:r>
      <w:r>
        <w:rPr>
          <w:rtl w:val="true"/>
        </w:rPr>
        <w:t>אשר לקשר סיבתי משפטי נטען</w:t>
      </w:r>
      <w:r>
        <w:rPr>
          <w:rtl w:val="true"/>
        </w:rPr>
        <w:t xml:space="preserve">, </w:t>
      </w:r>
      <w:r>
        <w:rPr>
          <w:rtl w:val="true"/>
        </w:rPr>
        <w:t>כי לנוכח פרק הזמן הממושך שחלף בין התקיפה לבין אירוע דום הלב</w:t>
      </w:r>
      <w:r>
        <w:rPr>
          <w:rtl w:val="true"/>
        </w:rPr>
        <w:t xml:space="preserve">, </w:t>
      </w:r>
      <w:r>
        <w:rPr>
          <w:rtl w:val="true"/>
        </w:rPr>
        <w:t>שאורכו כשנה ותשעה חודשים</w:t>
      </w:r>
      <w:r>
        <w:rPr>
          <w:rtl w:val="true"/>
        </w:rPr>
        <w:t xml:space="preserve">, </w:t>
      </w:r>
      <w:r>
        <w:rPr>
          <w:rtl w:val="true"/>
        </w:rPr>
        <w:t xml:space="preserve">וכן לנוכח ההטבה במצבה של הנפגעת בחודשים שחלפו והאירוע המנתק של תלישת צינור ההנשמה </w:t>
      </w:r>
      <w:r>
        <w:rPr>
          <w:rtl w:val="true"/>
        </w:rPr>
        <w:t>–</w:t>
      </w:r>
      <w:r>
        <w:rPr>
          <w:rtl w:val="true"/>
        </w:rPr>
        <w:t xml:space="preserve"> לא נכון לקבוע</w:t>
      </w:r>
      <w:r>
        <w:rPr>
          <w:rtl w:val="true"/>
        </w:rPr>
        <w:t xml:space="preserve">, </w:t>
      </w:r>
      <w:r>
        <w:rPr>
          <w:rtl w:val="true"/>
        </w:rPr>
        <w:t>גם מן הבחינה המשפטית</w:t>
      </w:r>
      <w:r>
        <w:rPr>
          <w:rtl w:val="true"/>
        </w:rPr>
        <w:t xml:space="preserve">, </w:t>
      </w:r>
      <w:r>
        <w:rPr>
          <w:rtl w:val="true"/>
        </w:rPr>
        <w:t>כי קיים קשר סיבתי בין התקיפה לבין מצבה של הנפגעת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ההגנה סברה כי מתחם העונש ההולם 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>כי אין לקבל את טענת המדינה לפיה מדובר באירוע בעל מאפיינים של אלימות מגדרית</w:t>
      </w:r>
      <w:r>
        <w:rPr>
          <w:rtl w:val="true"/>
        </w:rPr>
        <w:t xml:space="preserve">, </w:t>
      </w:r>
      <w:r>
        <w:rPr>
          <w:rtl w:val="true"/>
        </w:rPr>
        <w:t>המצדיק החמרה בענישה</w:t>
      </w:r>
      <w:r>
        <w:rPr>
          <w:rtl w:val="true"/>
        </w:rPr>
        <w:t xml:space="preserve">. </w:t>
      </w:r>
      <w:r>
        <w:rPr>
          <w:rtl w:val="true"/>
        </w:rPr>
        <w:t>כן הודגש כי למעשיו של המערער לא קדם תכנון מוקדם</w:t>
      </w:r>
      <w:r>
        <w:rPr>
          <w:rtl w:val="true"/>
        </w:rPr>
        <w:t xml:space="preserve">, </w:t>
      </w:r>
      <w:r>
        <w:rPr>
          <w:rtl w:val="true"/>
        </w:rPr>
        <w:t>וכי מדובר באירוע ספונטני אשר נסיבותיו לא הובררו עד תום</w:t>
      </w:r>
      <w:r>
        <w:rPr>
          <w:rtl w:val="true"/>
        </w:rPr>
        <w:t xml:space="preserve">. </w:t>
      </w:r>
      <w:r>
        <w:rPr>
          <w:rtl w:val="true"/>
        </w:rPr>
        <w:t xml:space="preserve">נטען כי המערער נפלט ממדינת עולם שלישי והגיע ארצה בגיל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 xml:space="preserve">כאשר במשך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עבד בארץ כדי לכלכל את משפחתו</w:t>
      </w:r>
      <w:r>
        <w:rPr>
          <w:rtl w:val="true"/>
        </w:rPr>
        <w:t xml:space="preserve">, </w:t>
      </w:r>
      <w:r>
        <w:rPr>
          <w:rtl w:val="true"/>
        </w:rPr>
        <w:t>ולא הסתבך בפלילים עד לאירוע מושא כתב האישום</w:t>
      </w:r>
      <w:r>
        <w:rPr>
          <w:rtl w:val="true"/>
        </w:rPr>
        <w:t xml:space="preserve">. </w:t>
      </w:r>
      <w:r>
        <w:rPr>
          <w:rtl w:val="true"/>
        </w:rPr>
        <w:t>עוד נטען כי המערער נעדר גורמי תמיכה בישראל ואינו שולט בשפה העברית</w:t>
      </w:r>
      <w:r>
        <w:rPr>
          <w:rtl w:val="true"/>
        </w:rPr>
        <w:t xml:space="preserve">, </w:t>
      </w:r>
      <w:r>
        <w:rPr>
          <w:rtl w:val="true"/>
        </w:rPr>
        <w:t>כך ששהותו במעצר ממושך אינה פשוטה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עתרה ההגנה לגזור על המערער עונש המצוי בשלישו התחתון או האמצעי של מתחם העונש ההולם לו טענה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דן בית המשפט המחוזי תחילה במתחם העונש ההולם</w:t>
      </w:r>
      <w:r>
        <w:rPr>
          <w:rtl w:val="true"/>
        </w:rPr>
        <w:t xml:space="preserve">. </w:t>
      </w:r>
      <w:r>
        <w:rPr>
          <w:rtl w:val="true"/>
        </w:rPr>
        <w:t>לצורך כך נדרש לנזק שנגרם כתוצאה מביצוע העבירה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לשאלת הקשר הסיבתי שבין מעשי המערער לבין מצבה הרפואי של הנפגעת בעת מתן גזר הדין</w:t>
      </w:r>
      <w:r>
        <w:rPr>
          <w:rtl w:val="true"/>
        </w:rPr>
        <w:t xml:space="preserve">. </w:t>
      </w:r>
      <w:r>
        <w:rPr>
          <w:rtl w:val="true"/>
        </w:rPr>
        <w:t>לעניין זה קבע בית המשפט המחוזי כי הוכח כנדרש קיומו של קשר סיבתי כאמור</w:t>
      </w:r>
      <w:r>
        <w:rPr>
          <w:rtl w:val="true"/>
        </w:rPr>
        <w:t xml:space="preserve">. </w:t>
      </w:r>
      <w:r>
        <w:rPr>
          <w:rtl w:val="true"/>
        </w:rPr>
        <w:t>לגבי הקשר הסיבתי העובדתי נקבע</w:t>
      </w:r>
      <w:r>
        <w:rPr>
          <w:rtl w:val="true"/>
        </w:rPr>
        <w:t xml:space="preserve">, </w:t>
      </w:r>
      <w:r>
        <w:rPr>
          <w:rtl w:val="true"/>
        </w:rPr>
        <w:t>כי הטענות שהעלתה ההגנה נשללו על</w:t>
      </w:r>
      <w:r>
        <w:rPr>
          <w:rtl w:val="true"/>
        </w:rPr>
        <w:t>-</w:t>
      </w:r>
      <w:r>
        <w:rPr>
          <w:rtl w:val="true"/>
        </w:rPr>
        <w:t>ידי מומחה התביעה</w:t>
      </w:r>
      <w:r>
        <w:rPr>
          <w:rtl w:val="true"/>
        </w:rPr>
        <w:t xml:space="preserve">, </w:t>
      </w:r>
      <w:r>
        <w:rPr>
          <w:rtl w:val="true"/>
        </w:rPr>
        <w:t>אשר הסבריו בנושא היו משכנעים</w:t>
      </w:r>
      <w:r>
        <w:rPr>
          <w:rtl w:val="true"/>
        </w:rPr>
        <w:t xml:space="preserve">; </w:t>
      </w:r>
      <w:r>
        <w:rPr>
          <w:rtl w:val="true"/>
        </w:rPr>
        <w:t>וכי בהיעדר חוות דעת נגדית מטעם ההגנה</w:t>
      </w:r>
      <w:r>
        <w:rPr>
          <w:rtl w:val="true"/>
        </w:rPr>
        <w:t xml:space="preserve">, </w:t>
      </w:r>
      <w:r>
        <w:rPr>
          <w:rtl w:val="true"/>
        </w:rPr>
        <w:t>לא עלה בידה לבסס את טענותיה או לעורר ספק סביר בדבר קיומו של קשר סיבתי בין התקיפה למצבה של הנפגעת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בניגוד לנטען על</w:t>
      </w:r>
      <w:r>
        <w:rPr>
          <w:rtl w:val="true"/>
        </w:rPr>
        <w:t>-</w:t>
      </w:r>
      <w:r>
        <w:rPr>
          <w:rtl w:val="true"/>
        </w:rPr>
        <w:t>ידי ההגנה</w:t>
      </w:r>
      <w:r>
        <w:rPr>
          <w:rtl w:val="true"/>
        </w:rPr>
        <w:t xml:space="preserve">, </w:t>
      </w:r>
      <w:r>
        <w:rPr>
          <w:rtl w:val="true"/>
        </w:rPr>
        <w:t>העובדה שהייתה תקופה בת מספר חודשים בה חלה הטבה מסוימת במצבה של הנפגעת</w:t>
      </w:r>
      <w:r>
        <w:rPr>
          <w:rtl w:val="true"/>
        </w:rPr>
        <w:t xml:space="preserve">, </w:t>
      </w:r>
      <w:r>
        <w:rPr>
          <w:rtl w:val="true"/>
        </w:rPr>
        <w:t>אינה שוללת את המסקנה כי היא סבלה מפגיעה ברפלקסים חיוניים</w:t>
      </w:r>
      <w:r>
        <w:rPr>
          <w:rtl w:val="true"/>
        </w:rPr>
        <w:t xml:space="preserve">, </w:t>
      </w:r>
      <w:r>
        <w:rPr>
          <w:rtl w:val="true"/>
        </w:rPr>
        <w:t>מסקנה הנתמכת גם במסמכים הרפואיים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גם אם ההחמרה במצבה לא נבעה מפגיעה ברפלקסים חיוניים</w:t>
      </w:r>
      <w:r>
        <w:rPr>
          <w:rtl w:val="true"/>
        </w:rPr>
        <w:t xml:space="preserve">, </w:t>
      </w:r>
      <w:r>
        <w:rPr>
          <w:rtl w:val="true"/>
        </w:rPr>
        <w:t>אלא מאירוע תלישת צינור ההנשמה על</w:t>
      </w:r>
      <w:r>
        <w:rPr>
          <w:rtl w:val="true"/>
        </w:rPr>
        <w:t>-</w:t>
      </w:r>
      <w:r>
        <w:rPr>
          <w:rtl w:val="true"/>
        </w:rPr>
        <w:t>ידי הנפגעת</w:t>
      </w:r>
      <w:r>
        <w:rPr>
          <w:rtl w:val="true"/>
        </w:rPr>
        <w:t xml:space="preserve">, </w:t>
      </w:r>
      <w:r>
        <w:rPr>
          <w:rtl w:val="true"/>
        </w:rPr>
        <w:t xml:space="preserve">כטענת ההגנה </w:t>
      </w:r>
      <w:r>
        <w:rPr>
          <w:rtl w:val="true"/>
        </w:rPr>
        <w:t>–</w:t>
      </w:r>
      <w:r>
        <w:rPr>
          <w:rtl w:val="true"/>
        </w:rPr>
        <w:t xml:space="preserve"> עדיין</w:t>
      </w:r>
      <w:r>
        <w:rPr>
          <w:rtl w:val="true"/>
        </w:rPr>
        <w:t xml:space="preserve">, </w:t>
      </w:r>
      <w:r>
        <w:rPr>
          <w:rtl w:val="true"/>
        </w:rPr>
        <w:t>כפי שציין ד</w:t>
      </w:r>
      <w:r>
        <w:rPr>
          <w:rtl w:val="true"/>
        </w:rPr>
        <w:t>"</w:t>
      </w:r>
      <w:r>
        <w:rPr>
          <w:rtl w:val="true"/>
        </w:rPr>
        <w:t>ר קוגל בחקירתו</w:t>
      </w:r>
      <w:r>
        <w:rPr>
          <w:rtl w:val="true"/>
        </w:rPr>
        <w:t xml:space="preserve">, </w:t>
      </w:r>
      <w:r>
        <w:rPr>
          <w:rtl w:val="true"/>
        </w:rPr>
        <w:t>אירוע התלישה נבע מהירידה הקוגניטיבית ממנה סבלה הנפגעת כתוצאה ממעשי המערער</w:t>
      </w:r>
      <w:r>
        <w:rPr>
          <w:rtl w:val="true"/>
        </w:rPr>
        <w:t xml:space="preserve">, </w:t>
      </w:r>
      <w:r>
        <w:rPr>
          <w:rtl w:val="true"/>
        </w:rPr>
        <w:t>כך שאין מדובר באירוע מנתק</w:t>
      </w:r>
      <w:r>
        <w:rPr>
          <w:rtl w:val="true"/>
        </w:rPr>
        <w:t xml:space="preserve">, </w:t>
      </w:r>
      <w:r>
        <w:rPr>
          <w:rtl w:val="true"/>
        </w:rPr>
        <w:t>אלא לכל היותר בחוליה נוספת בשרשרת הסיבתית</w:t>
      </w:r>
      <w:r>
        <w:rPr>
          <w:rtl w:val="true"/>
        </w:rPr>
        <w:t xml:space="preserve">. </w:t>
      </w:r>
      <w:r>
        <w:rPr>
          <w:rtl w:val="true"/>
        </w:rPr>
        <w:t>אשר לטענת ההגנה ולפיה ייתכן שדום הלב נגרם בשל פגם לבבי או בצקת ריאות</w:t>
      </w:r>
      <w:r>
        <w:rPr>
          <w:rtl w:val="true"/>
        </w:rPr>
        <w:t xml:space="preserve">, </w:t>
      </w:r>
      <w:r>
        <w:rPr>
          <w:rtl w:val="true"/>
        </w:rPr>
        <w:t>נקבע כי מסקנתו של ד</w:t>
      </w:r>
      <w:r>
        <w:rPr>
          <w:rtl w:val="true"/>
        </w:rPr>
        <w:t>"</w:t>
      </w:r>
      <w:r>
        <w:rPr>
          <w:rtl w:val="true"/>
        </w:rPr>
        <w:t>ר קוגל כי דום הלב נבע מאספירציה מסיבית מבוססת היטב</w:t>
      </w:r>
      <w:r>
        <w:rPr>
          <w:rtl w:val="true"/>
        </w:rPr>
        <w:t xml:space="preserve">, </w:t>
      </w:r>
      <w:r>
        <w:rPr>
          <w:rtl w:val="true"/>
        </w:rPr>
        <w:t>וכי הסבריו לפיהם החלופות אותן הציעה ההגנה אינן מתיישבות עם המסמכים הרפואיים</w:t>
      </w:r>
      <w:r>
        <w:rPr>
          <w:rtl w:val="true"/>
        </w:rPr>
        <w:t xml:space="preserve">, </w:t>
      </w:r>
      <w:r>
        <w:rPr>
          <w:rtl w:val="true"/>
        </w:rPr>
        <w:t>מנומקים ומשכנעים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בעניין הקשר הסיבתי המשפטי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אף שחלף פרק זמן משמעותי בין התקיפה לבין אירוע דום הלב שהוביל למצבה הווגטטיבי של הנפגעת</w:t>
      </w:r>
      <w:r>
        <w:rPr>
          <w:rtl w:val="true"/>
        </w:rPr>
        <w:t xml:space="preserve">, </w:t>
      </w:r>
      <w:r>
        <w:rPr>
          <w:rtl w:val="true"/>
        </w:rPr>
        <w:t>סבלה הנפגעת לאורך התקופה כולה מנזקים שנבעו באופן ברור ממעשי המערער</w:t>
      </w:r>
      <w:r>
        <w:rPr>
          <w:rtl w:val="true"/>
        </w:rPr>
        <w:t xml:space="preserve">. </w:t>
      </w:r>
      <w:r>
        <w:rPr>
          <w:rtl w:val="true"/>
        </w:rPr>
        <w:t>הודגש כי בסמוך לאחר האירוע הייתה הנפגעת מחוסרת הכרה ולמעשה במצב דומה לזה בו הייתה בעת מתן גזר הדין</w:t>
      </w:r>
      <w:r>
        <w:rPr>
          <w:rtl w:val="true"/>
        </w:rPr>
        <w:t xml:space="preserve">, </w:t>
      </w:r>
      <w:r>
        <w:rPr>
          <w:rtl w:val="true"/>
        </w:rPr>
        <w:t>כאשר גם במהלך תקופת ההטבה לה טוענת ההגנה</w:t>
      </w:r>
      <w:r>
        <w:rPr>
          <w:rtl w:val="true"/>
        </w:rPr>
        <w:t xml:space="preserve">, </w:t>
      </w:r>
      <w:r>
        <w:rPr>
          <w:rtl w:val="true"/>
        </w:rPr>
        <w:t>היא הייתה במצב קשה מאד</w:t>
      </w:r>
      <w:r>
        <w:rPr>
          <w:rtl w:val="true"/>
        </w:rPr>
        <w:t xml:space="preserve">. </w:t>
      </w:r>
      <w:r>
        <w:rPr>
          <w:rtl w:val="true"/>
        </w:rPr>
        <w:t>לגבי שאלת הצפיות צוין</w:t>
      </w:r>
      <w:r>
        <w:rPr>
          <w:rtl w:val="true"/>
        </w:rPr>
        <w:t xml:space="preserve">, </w:t>
      </w:r>
      <w:r>
        <w:rPr>
          <w:rtl w:val="true"/>
        </w:rPr>
        <w:t>כי משנקבע בהכרעת הדין כי המערער צפה את אפשרות מותה של הנפגעת ואף חפץ בכך</w:t>
      </w:r>
      <w:r>
        <w:rPr>
          <w:rtl w:val="true"/>
        </w:rPr>
        <w:t xml:space="preserve">, </w:t>
      </w:r>
      <w:r>
        <w:rPr>
          <w:rtl w:val="true"/>
        </w:rPr>
        <w:t>ברי כי צפה גם את האפשרות שייגרם לה נזק חמור כפי שנגרם בפועל</w:t>
      </w:r>
      <w:r>
        <w:rPr>
          <w:rtl w:val="true"/>
        </w:rPr>
        <w:t xml:space="preserve">, </w:t>
      </w:r>
      <w:r>
        <w:rPr>
          <w:rtl w:val="true"/>
        </w:rPr>
        <w:t>כאשר השתלשלות האירועים שהובילה למצבה זה אינה חריגה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לקבוע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הנזק החמור שנגרם לנפגעת</w:t>
      </w:r>
      <w:r>
        <w:rPr>
          <w:rtl w:val="true"/>
        </w:rPr>
        <w:t xml:space="preserve">, </w:t>
      </w:r>
      <w:r>
        <w:rPr>
          <w:rtl w:val="true"/>
        </w:rPr>
        <w:t>הנזק שנגרם לבני משפחתה והנזק שהיה צפוי מהעבירה</w:t>
      </w:r>
      <w:r>
        <w:rPr>
          <w:rtl w:val="true"/>
        </w:rPr>
        <w:t xml:space="preserve">, </w:t>
      </w:r>
      <w:r>
        <w:rPr>
          <w:rtl w:val="true"/>
        </w:rPr>
        <w:t>הוא מותה של הנפגעת שנמנע אך באורח נס</w:t>
      </w:r>
      <w:r>
        <w:rPr>
          <w:rtl w:val="true"/>
        </w:rPr>
        <w:t xml:space="preserve">, </w:t>
      </w:r>
      <w:r>
        <w:rPr>
          <w:rtl w:val="true"/>
        </w:rPr>
        <w:t>את האכזריות שנלוותה למעשי המערער ואת אופן התנהלותו לאחר האירוע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ניתנה הדעת לכך שמדובר באירוע שהרקע לביצועו לא הוברר</w:t>
      </w:r>
      <w:r>
        <w:rPr>
          <w:rtl w:val="true"/>
        </w:rPr>
        <w:t xml:space="preserve">, </w:t>
      </w:r>
      <w:r>
        <w:rPr>
          <w:rtl w:val="true"/>
        </w:rPr>
        <w:t>ולכך שלא יוחס למערער תכנון מוקדם של המעשה</w:t>
      </w:r>
      <w:r>
        <w:rPr>
          <w:rtl w:val="true"/>
        </w:rPr>
        <w:t xml:space="preserve">. </w:t>
      </w:r>
      <w:r>
        <w:rPr>
          <w:rtl w:val="true"/>
        </w:rPr>
        <w:t>בהתחשב 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בערכים החברתיים שנפגעו מביצועה ובמדיניות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נע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בגדר הנסיבות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נשקלה העובדה שהמערער לא נטל אחריות למעשיו</w:t>
      </w:r>
      <w:r>
        <w:rPr>
          <w:rtl w:val="true"/>
        </w:rPr>
        <w:t xml:space="preserve">, </w:t>
      </w:r>
      <w:r>
        <w:rPr>
          <w:rtl w:val="true"/>
        </w:rPr>
        <w:t>ומנגד נשקלו נסיבות חייו הקשות</w:t>
      </w:r>
      <w:r>
        <w:rPr>
          <w:rtl w:val="true"/>
        </w:rPr>
        <w:t xml:space="preserve">, </w:t>
      </w:r>
      <w:r>
        <w:rPr>
          <w:rtl w:val="true"/>
        </w:rPr>
        <w:t>היעדר עבר פלילי</w:t>
      </w:r>
      <w:r>
        <w:rPr>
          <w:rtl w:val="true"/>
        </w:rPr>
        <w:t xml:space="preserve">, </w:t>
      </w:r>
      <w:r>
        <w:rPr>
          <w:rtl w:val="true"/>
        </w:rPr>
        <w:t>והיותו נתין זר הנעדר גורמי תמיכה בארץ באופן שיקשה עליו בריצוי עונש המאסר</w:t>
      </w:r>
      <w:r>
        <w:rPr>
          <w:rtl w:val="true"/>
        </w:rPr>
        <w:t xml:space="preserve">. </w:t>
      </w:r>
      <w:r>
        <w:rPr>
          <w:rtl w:val="true"/>
        </w:rPr>
        <w:t>לאחר בחינת השיקולים השונים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המערער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מאסרים מותנים ופיצוי בסך </w:t>
      </w:r>
      <w:r>
        <w:rPr/>
        <w:t>200,000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לנפגעת העבירה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הערעור</w:t>
      </w:r>
      <w:r>
        <w:rPr>
          <w:rtl w:val="true"/>
        </w:rPr>
        <w:t xml:space="preserve">, </w:t>
      </w:r>
      <w:r>
        <w:rPr>
          <w:rtl w:val="true"/>
        </w:rPr>
        <w:t>שמכוון נגד חומרת עונש המאסר בפועל שהושת על המערער</w:t>
      </w:r>
      <w:r>
        <w:rPr>
          <w:rtl w:val="true"/>
        </w:rPr>
        <w:t>.</w:t>
      </w:r>
      <w:r>
        <w:rPr>
          <w:rtl w:val="true"/>
        </w:rPr>
        <w:br/>
        <w:br/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30.11.2022</w:t>
      </w:r>
      <w:r>
        <w:rPr>
          <w:rtl w:val="true"/>
        </w:rPr>
        <w:t xml:space="preserve">, </w:t>
      </w:r>
      <w:r>
        <w:rPr>
          <w:rtl w:val="true"/>
        </w:rPr>
        <w:t>ועוד בטרם נשמע הערעור</w:t>
      </w:r>
      <w:r>
        <w:rPr>
          <w:rtl w:val="true"/>
        </w:rPr>
        <w:t xml:space="preserve">, </w:t>
      </w:r>
      <w:r>
        <w:rPr>
          <w:rtl w:val="true"/>
        </w:rPr>
        <w:t>עדכנו הצדדים כי למרבה הצער</w:t>
      </w:r>
      <w:r>
        <w:rPr>
          <w:rtl w:val="true"/>
        </w:rPr>
        <w:t xml:space="preserve">, </w:t>
      </w:r>
      <w:r>
        <w:rPr>
          <w:rtl w:val="true"/>
        </w:rPr>
        <w:t>הלכה הנפגעת לעולמה</w:t>
      </w:r>
      <w:r>
        <w:rPr>
          <w:rtl w:val="true"/>
        </w:rPr>
        <w:t xml:space="preserve">. </w:t>
      </w:r>
      <w:r>
        <w:rPr>
          <w:rtl w:val="true"/>
        </w:rPr>
        <w:t>לאחר שהות שניתנה לה לבחינת הדברים</w:t>
      </w:r>
      <w:r>
        <w:rPr>
          <w:rtl w:val="true"/>
        </w:rPr>
        <w:t xml:space="preserve">, </w:t>
      </w:r>
      <w:r>
        <w:rPr>
          <w:rtl w:val="true"/>
        </w:rPr>
        <w:t>הודיעה המדינה כי החליטה שלא להגיש נגד המערער כתב אישום באשמת רצח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טיעוני הצדדים לפנינו</w:t>
      </w:r>
      <w:r>
        <w:rPr>
          <w:rtl w:val="true"/>
        </w:rPr>
        <w:t xml:space="preserve">, </w:t>
      </w:r>
      <w:r>
        <w:rPr>
          <w:rtl w:val="true"/>
        </w:rPr>
        <w:t>עסקו בעיקרם בשאלת הקשר הסיבתי בין מעשיו של המערער לבין מצבה הרפואי של הנפגעת טרם פטירתה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שב והעלה לפנינו את הטענות שהעלה לפני בית המשפט המחוזי בכל הנוגע לקשר הסיבתי העובדתי</w:t>
      </w:r>
      <w:r>
        <w:rPr>
          <w:rtl w:val="true"/>
        </w:rPr>
        <w:t xml:space="preserve">. </w:t>
      </w:r>
      <w:r>
        <w:rPr>
          <w:rtl w:val="true"/>
        </w:rPr>
        <w:t>בתוך כך טען</w:t>
      </w:r>
      <w:r>
        <w:rPr>
          <w:rtl w:val="true"/>
        </w:rPr>
        <w:t xml:space="preserve">, </w:t>
      </w:r>
      <w:r>
        <w:rPr>
          <w:rtl w:val="true"/>
        </w:rPr>
        <w:t>כי המסד הראייתי שהונח לפני בית המשפט מלמד</w:t>
      </w:r>
      <w:r>
        <w:rPr>
          <w:rtl w:val="true"/>
        </w:rPr>
        <w:t xml:space="preserve">, </w:t>
      </w:r>
      <w:r>
        <w:rPr>
          <w:rtl w:val="true"/>
        </w:rPr>
        <w:t>כי בניגוד לקביעת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הרפלקסים של הנפגעת בתקופת ההטבה היו שמורים והיא לא סבלה מאירועי אספירציה</w:t>
      </w:r>
      <w:r>
        <w:rPr>
          <w:rtl w:val="true"/>
        </w:rPr>
        <w:t xml:space="preserve">. </w:t>
      </w:r>
      <w:r>
        <w:rPr>
          <w:rtl w:val="true"/>
        </w:rPr>
        <w:t>נטען כי ההחמרה במצבה והאספירציות החלו רק בעקבות תלישת צינור ההנשמה</w:t>
      </w:r>
      <w:r>
        <w:rPr>
          <w:rtl w:val="true"/>
        </w:rPr>
        <w:t xml:space="preserve">, </w:t>
      </w:r>
      <w:r>
        <w:rPr>
          <w:rtl w:val="true"/>
        </w:rPr>
        <w:t>וכי קביעת בית המשפט המחוזי לפיה תלישת הצינור אירעה בעקבות פגיעה קוגניטיבית שהיא תוצאה של מעשי המערער</w:t>
      </w:r>
      <w:r>
        <w:rPr>
          <w:rtl w:val="true"/>
        </w:rPr>
        <w:t xml:space="preserve">, </w:t>
      </w:r>
      <w:r>
        <w:rPr>
          <w:rtl w:val="true"/>
        </w:rPr>
        <w:t>סותרת את המסמכים הרפואיים המצביעים על שיפור קוגניטיבי בתקופת ההטבה</w:t>
      </w:r>
      <w:r>
        <w:rPr>
          <w:rtl w:val="true"/>
        </w:rPr>
        <w:t xml:space="preserve">. </w:t>
      </w:r>
      <w:r>
        <w:rPr>
          <w:rtl w:val="true"/>
        </w:rPr>
        <w:t>לחלופין נטען</w:t>
      </w:r>
      <w:r>
        <w:rPr>
          <w:rtl w:val="true"/>
        </w:rPr>
        <w:t xml:space="preserve">, </w:t>
      </w:r>
      <w:r>
        <w:rPr>
          <w:rtl w:val="true"/>
        </w:rPr>
        <w:t>שלא הוכח מעבר לספק סביר מה הייתה הסיבה שבעטיה נגרם אירוע דום הלב</w:t>
      </w:r>
      <w:r>
        <w:rPr>
          <w:rtl w:val="true"/>
        </w:rPr>
        <w:t xml:space="preserve">. </w:t>
      </w:r>
      <w:r>
        <w:rPr>
          <w:rtl w:val="true"/>
        </w:rPr>
        <w:t>בהקשר זה נטען כי סקירת חומר הראיות מגלה כי ישנם מספר תרחישים חלופיים אפשריים לכך</w:t>
      </w:r>
      <w:r>
        <w:rPr>
          <w:rtl w:val="true"/>
        </w:rPr>
        <w:t xml:space="preserve">, </w:t>
      </w:r>
      <w:r>
        <w:rPr>
          <w:rtl w:val="true"/>
        </w:rPr>
        <w:t>ביניהם פגם לבבי ואספירציה שנגרמה כתוצאה מפעולות ההחייאה</w:t>
      </w:r>
      <w:r>
        <w:rPr>
          <w:rtl w:val="true"/>
        </w:rPr>
        <w:t xml:space="preserve">, </w:t>
      </w:r>
      <w:r>
        <w:rPr>
          <w:rtl w:val="true"/>
        </w:rPr>
        <w:t>וכי טענת ד</w:t>
      </w:r>
      <w:r>
        <w:rPr>
          <w:rtl w:val="true"/>
        </w:rPr>
        <w:t>"</w:t>
      </w:r>
      <w:r>
        <w:rPr>
          <w:rtl w:val="true"/>
        </w:rPr>
        <w:t>ר קוגל לפיה דום הלב נגרם בשל אספירציה שהיא תוצאה של מעשי המערער</w:t>
      </w:r>
      <w:r>
        <w:rPr>
          <w:rtl w:val="true"/>
        </w:rPr>
        <w:t xml:space="preserve">, </w:t>
      </w:r>
      <w:r>
        <w:rPr>
          <w:rtl w:val="true"/>
        </w:rPr>
        <w:t>היא השערה בלבד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חזר המערער על טענתו ולפיה גם אם מתקיים קשר סיבתי עובדתי</w:t>
      </w:r>
      <w:r>
        <w:rPr>
          <w:rtl w:val="true"/>
        </w:rPr>
        <w:t xml:space="preserve">, </w:t>
      </w:r>
      <w:r>
        <w:rPr>
          <w:rtl w:val="true"/>
        </w:rPr>
        <w:t>אין זה נכון לקבוע כי מתקיים קשר סיבתי משפטי בין מעשי המערער לבין אירוע דום הלב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מקום שהמערער לא יכול היה לצפות את הנזק שנגרם לה</w:t>
      </w:r>
      <w:r>
        <w:rPr>
          <w:rtl w:val="true"/>
        </w:rPr>
        <w:t xml:space="preserve">, </w:t>
      </w:r>
      <w:r>
        <w:rPr>
          <w:rtl w:val="true"/>
        </w:rPr>
        <w:t>כך לפי הטענה</w:t>
      </w:r>
      <w:r>
        <w:rPr>
          <w:rtl w:val="true"/>
        </w:rPr>
        <w:t xml:space="preserve">, </w:t>
      </w:r>
      <w:r>
        <w:rPr>
          <w:rtl w:val="true"/>
        </w:rPr>
        <w:t>בעקבות פעולתה האוטונומית לניתוק צינור ההנשמה</w:t>
      </w:r>
      <w:r>
        <w:rPr>
          <w:rtl w:val="true"/>
        </w:rPr>
        <w:t xml:space="preserve">, </w:t>
      </w:r>
      <w:r>
        <w:rPr>
          <w:rtl w:val="true"/>
        </w:rPr>
        <w:t>ובשל פרק הזמן הממושך שחלף והתפניות שאירעו במהלכו</w:t>
      </w:r>
      <w:r>
        <w:rPr>
          <w:rtl w:val="true"/>
        </w:rPr>
        <w:t xml:space="preserve">. </w:t>
      </w:r>
      <w:r>
        <w:rPr>
          <w:rtl w:val="true"/>
        </w:rPr>
        <w:t>המערער מוסיף וטוען כי גם אם לא יתקבלו טענותיו לעניין הקשר הסיבתי</w:t>
      </w:r>
      <w:r>
        <w:rPr>
          <w:rtl w:val="true"/>
        </w:rPr>
        <w:t xml:space="preserve">, </w:t>
      </w:r>
      <w:r>
        <w:rPr>
          <w:rtl w:val="true"/>
        </w:rPr>
        <w:t>בחינת העונש שהושת עליו מלמדת על החמרה יתרה שאינה מתיישבת עם מדיניות הענישה במקרים דומים ואף חמורים יותר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לגבי מיקום עונשו של המערער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כי יש לייחס משקל רב יותר לנסיבותיו האישיות</w:t>
      </w:r>
      <w:r>
        <w:rPr>
          <w:rtl w:val="true"/>
        </w:rPr>
        <w:t xml:space="preserve">, </w:t>
      </w:r>
      <w:r>
        <w:rPr>
          <w:rtl w:val="true"/>
        </w:rPr>
        <w:t>בהיותו פליט שהגיע ארצה כנער והתבגר לתוך מציאות הישרדותית קשה</w:t>
      </w:r>
      <w:r>
        <w:rPr>
          <w:rtl w:val="true"/>
        </w:rPr>
        <w:t xml:space="preserve">, </w:t>
      </w:r>
      <w:r>
        <w:rPr>
          <w:rtl w:val="true"/>
        </w:rPr>
        <w:t>כאשר עברו עד לאירוע היה ללא רבב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מנגד סומכת ידה על גזר דינו של בית המשפט המחוזי והטעמים העומדים ביסודו</w:t>
      </w:r>
      <w:r>
        <w:rPr>
          <w:rtl w:val="true"/>
        </w:rPr>
        <w:t xml:space="preserve">. </w:t>
      </w:r>
      <w:r>
        <w:rPr>
          <w:rtl w:val="true"/>
        </w:rPr>
        <w:t>לגבי הקשר הסיבתי העובדתי נטען</w:t>
      </w:r>
      <w:r>
        <w:rPr>
          <w:rtl w:val="true"/>
        </w:rPr>
        <w:t xml:space="preserve">, </w:t>
      </w:r>
      <w:r>
        <w:rPr>
          <w:rtl w:val="true"/>
        </w:rPr>
        <w:t>כי אין להתערב במסקנתו של בית המשפט המחוזי אשר אימץ את חוות דעתו של ד</w:t>
      </w:r>
      <w:r>
        <w:rPr>
          <w:rtl w:val="true"/>
        </w:rPr>
        <w:t>"</w:t>
      </w:r>
      <w:r>
        <w:rPr>
          <w:rtl w:val="true"/>
        </w:rPr>
        <w:t>ר קוגל על יסוד התרשמותו הישירה מעדותו</w:t>
      </w:r>
      <w:r>
        <w:rPr>
          <w:rtl w:val="true"/>
        </w:rPr>
        <w:t xml:space="preserve">, </w:t>
      </w:r>
      <w:r>
        <w:rPr>
          <w:rtl w:val="true"/>
        </w:rPr>
        <w:t>ומשלא הוגשה חוות דעת נגדית לסתירתה</w:t>
      </w:r>
      <w:r>
        <w:rPr>
          <w:rtl w:val="true"/>
        </w:rPr>
        <w:t xml:space="preserve">. </w:t>
      </w:r>
      <w:r>
        <w:rPr>
          <w:rtl w:val="true"/>
        </w:rPr>
        <w:t>לגבי הקשר הסיבתי המשפטי נטען</w:t>
      </w:r>
      <w:r>
        <w:rPr>
          <w:rtl w:val="true"/>
        </w:rPr>
        <w:t xml:space="preserve">, </w:t>
      </w:r>
      <w:r>
        <w:rPr>
          <w:rtl w:val="true"/>
        </w:rPr>
        <w:t>כי משנקבע כי המערער התכוון לרצוח את הנפגעת</w:t>
      </w:r>
      <w:r>
        <w:rPr>
          <w:rtl w:val="true"/>
        </w:rPr>
        <w:t xml:space="preserve">, </w:t>
      </w:r>
      <w:r>
        <w:rPr>
          <w:rtl w:val="true"/>
        </w:rPr>
        <w:t>אין לקבל טענתו כי הוא לא צפה את הפגיעה שנגרמה לה</w:t>
      </w:r>
      <w:r>
        <w:rPr>
          <w:rtl w:val="true"/>
        </w:rPr>
        <w:t xml:space="preserve">. </w:t>
      </w:r>
      <w:r>
        <w:rPr>
          <w:rtl w:val="true"/>
        </w:rPr>
        <w:t>בהתייחס למתחם העונש ההולם נטען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בניסיון לרצח </w:t>
      </w:r>
      <w:r>
        <w:rPr>
          <w:rtl w:val="true"/>
        </w:rPr>
        <w:t>"</w:t>
      </w:r>
      <w:r>
        <w:rPr>
          <w:rtl w:val="true"/>
        </w:rPr>
        <w:t>ברף הגבוה</w:t>
      </w:r>
      <w:r>
        <w:rPr>
          <w:rtl w:val="true"/>
        </w:rPr>
        <w:t xml:space="preserve">", </w:t>
      </w:r>
      <w:r>
        <w:rPr>
          <w:rtl w:val="true"/>
        </w:rPr>
        <w:t>שעה שהעבירה הביאה את הנפגעת למצב ש</w:t>
      </w:r>
      <w:r>
        <w:rPr>
          <w:rtl w:val="true"/>
        </w:rPr>
        <w:t>"</w:t>
      </w:r>
      <w:r>
        <w:rPr>
          <w:rtl w:val="true"/>
        </w:rPr>
        <w:t>חייה אינם חיים</w:t>
      </w:r>
      <w:r>
        <w:rPr>
          <w:rtl w:val="true"/>
        </w:rPr>
        <w:t xml:space="preserve">". </w:t>
      </w:r>
      <w:r>
        <w:rPr>
          <w:rtl w:val="true"/>
        </w:rPr>
        <w:t>נטען כי בית המשפט המחוזי התחשב במידה מסוימת בנסיבותיו האישיות של המערער לעניין העונש שהושת</w:t>
      </w:r>
      <w:r>
        <w:rPr>
          <w:rtl w:val="true"/>
        </w:rPr>
        <w:t xml:space="preserve">, </w:t>
      </w:r>
      <w:r>
        <w:rPr>
          <w:rtl w:val="true"/>
        </w:rPr>
        <w:t>וכי למול נסיבות אלה יש להתחשב גם בפגיעה הקשה שנגרמה למשפחתה של הנפגעת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בכתב הערעור על נספחיו ובתיק בית המשפט המחוזי</w:t>
      </w:r>
      <w:r>
        <w:rPr>
          <w:rtl w:val="true"/>
        </w:rPr>
        <w:t xml:space="preserve">, </w:t>
      </w:r>
      <w:r>
        <w:rPr>
          <w:rtl w:val="true"/>
        </w:rPr>
        <w:t>ולאחר שנשמעו טענות הצדדים בדיון שנערך לפנינו</w:t>
      </w:r>
      <w:r>
        <w:rPr>
          <w:rtl w:val="true"/>
        </w:rPr>
        <w:t xml:space="preserve">, </w:t>
      </w:r>
      <w:r>
        <w:rPr>
          <w:rtl w:val="true"/>
        </w:rPr>
        <w:t xml:space="preserve">באתי לכלל מסקנה כי דין הערעור להידחות </w:t>
      </w:r>
      <w:r>
        <w:rPr>
          <w:rtl w:val="true"/>
        </w:rPr>
        <w:t>–</w:t>
      </w:r>
      <w:r>
        <w:rPr>
          <w:rtl w:val="true"/>
        </w:rPr>
        <w:t xml:space="preserve"> וכך אציע לחברותיי שנעשה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הלכה</w:t>
      </w:r>
      <w:r>
        <w:rPr>
          <w:rtl w:val="true"/>
        </w:rPr>
        <w:t xml:space="preserve"> ידועה</w:t>
      </w:r>
      <w:r>
        <w:rPr>
          <w:rtl w:val="true"/>
        </w:rPr>
        <w:t xml:space="preserve"> היא כי ערכאת הערעור </w:t>
      </w:r>
      <w:r>
        <w:rPr>
          <w:rtl w:val="true"/>
        </w:rPr>
        <w:t>תיטה שלא</w:t>
      </w:r>
      <w:r>
        <w:rPr>
          <w:rtl w:val="true"/>
        </w:rPr>
        <w:t xml:space="preserve"> להתערב בעונש שהוטל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במקרים חריגים שבהם עולה כי נפלה טעות מהותית בגזר הדין או כאשר מתגלה</w:t>
      </w:r>
      <w:r>
        <w:rPr>
          <w:rtl w:val="true"/>
        </w:rPr>
        <w:t xml:space="preserve"> סטייה ניכרת ממדיניות הענישה הנוהגת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9.11.2022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20.7.2022</w:t>
      </w:r>
      <w:r>
        <w:rPr>
          <w:rtl w:val="true"/>
        </w:rPr>
        <w:t xml:space="preserve">)). </w:t>
      </w:r>
      <w:r>
        <w:rPr>
          <w:rtl w:val="true"/>
        </w:rPr>
        <w:t>המקרה שלפנינו אינו נמנה עם אותם מקרים חריגים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לא מצאתי כי נפלה טעות בקביעתו של בית המשפט המחוזי כי מתקיים קשר סיבתי בין מעשי המערער לבין מצבה הרפואי של הנפגעת טרם מותה</w:t>
      </w:r>
      <w:r>
        <w:rPr>
          <w:rtl w:val="true"/>
        </w:rPr>
        <w:t xml:space="preserve">; </w:t>
      </w:r>
      <w:r>
        <w:rPr>
          <w:rtl w:val="true"/>
        </w:rPr>
        <w:t>ואף איני סבורה כי העונש שהושת על המערער</w:t>
      </w:r>
      <w:r>
        <w:rPr>
          <w:rtl w:val="true"/>
        </w:rPr>
        <w:t xml:space="preserve">, </w:t>
      </w:r>
      <w:r>
        <w:rPr>
          <w:rtl w:val="true"/>
        </w:rPr>
        <w:t>בהתחשב בכלל נסיבות האירוע</w:t>
      </w:r>
      <w:r>
        <w:rPr>
          <w:rtl w:val="true"/>
        </w:rPr>
        <w:t xml:space="preserve">, </w:t>
      </w:r>
      <w:r>
        <w:rPr>
          <w:rtl w:val="true"/>
        </w:rPr>
        <w:t>חורג באופן משמעותי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br/>
        <w:br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העיקרון המנחה בגזירת עונשו של נאשם הוא קיומו של יחס הולם בין חומרת מעשה העבירה בנסיבותיו ומידת אשמו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לבין העונש המוטל עליו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בהתאם לעיקרון זה</w:t>
      </w:r>
      <w:r>
        <w:rPr>
          <w:rtl w:val="true"/>
        </w:rPr>
        <w:t xml:space="preserve">, </w:t>
      </w:r>
      <w:r>
        <w:rPr>
          <w:rtl w:val="true"/>
        </w:rPr>
        <w:t>בבוא בית המשפט לקבוע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עליו להתחשב בנסיבות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ובין היתר ב</w:t>
      </w:r>
      <w:r>
        <w:rPr>
          <w:rtl w:val="true"/>
        </w:rPr>
        <w:t>"</w:t>
      </w:r>
      <w:r>
        <w:rPr>
          <w:rtl w:val="true"/>
        </w:rPr>
        <w:t>נזק שנגרם מביצוע העבירה</w:t>
      </w:r>
      <w:r>
        <w:rPr>
          <w:rtl w:val="true"/>
        </w:rPr>
        <w:t>" (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בפסיקת בית משפט זה נקבע פעמים רבות</w:t>
      </w:r>
      <w:r>
        <w:rPr>
          <w:rtl w:val="true"/>
        </w:rPr>
        <w:t xml:space="preserve">, </w:t>
      </w:r>
      <w:r>
        <w:rPr>
          <w:rtl w:val="true"/>
        </w:rPr>
        <w:t>כי בעת גזירת העונש הראוי</w:t>
      </w:r>
      <w:r>
        <w:rPr>
          <w:rtl w:val="true"/>
        </w:rPr>
        <w:t xml:space="preserve">, </w:t>
      </w:r>
      <w:r>
        <w:rPr>
          <w:rtl w:val="true"/>
        </w:rPr>
        <w:t>יש לייחס משמעות להיקף הנזק שנגרם באשמו של הנאשם ולחומרתן של תוצאות מעשיו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ככלל ובהינתן שיתר התנאים שווים</w:t>
      </w:r>
      <w:r>
        <w:rPr>
          <w:rtl w:val="true"/>
        </w:rPr>
        <w:t xml:space="preserve">, </w:t>
      </w:r>
      <w:r>
        <w:rPr>
          <w:rtl w:val="true"/>
        </w:rPr>
        <w:t>עונשו של מי שתקף אדם וגרם לו לחבלות קלות</w:t>
      </w:r>
      <w:r>
        <w:rPr>
          <w:rtl w:val="true"/>
        </w:rPr>
        <w:t xml:space="preserve">, </w:t>
      </w:r>
      <w:r>
        <w:rPr>
          <w:rtl w:val="true"/>
        </w:rPr>
        <w:t xml:space="preserve">יהיה חמור פחות מעונשו של מי שתקף אדם והותירו במצב הכרתי של </w:t>
      </w:r>
      <w:r>
        <w:rPr>
          <w:rtl w:val="true"/>
        </w:rPr>
        <w:t>"</w:t>
      </w:r>
      <w:r>
        <w:rPr>
          <w:rtl w:val="true"/>
        </w:rPr>
        <w:t>צמח</w:t>
      </w:r>
      <w:r>
        <w:rPr>
          <w:rtl w:val="true"/>
        </w:rPr>
        <w:t xml:space="preserve">". </w:t>
      </w:r>
      <w:r>
        <w:rPr>
          <w:rtl w:val="true"/>
        </w:rPr>
        <w:t>החמרת הענישה בהתחשב בהיקף הנזק נשענת גם על אינטואיציות מוסריות שלפיהן אשמו של עושה העבירה מושפע מהנזק שנגרם לקורבן העבירה</w:t>
      </w:r>
      <w:r>
        <w:rPr>
          <w:rtl w:val="true"/>
        </w:rPr>
        <w:t xml:space="preserve">, </w:t>
      </w:r>
      <w:r>
        <w:rPr>
          <w:rtl w:val="true"/>
        </w:rPr>
        <w:t>והיא מוצדקת אף ממניעים של הרתעה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לעיתים הבחנה עונשית בין מעשים דומים</w:t>
      </w:r>
      <w:r>
        <w:rPr>
          <w:rtl w:val="true"/>
        </w:rPr>
        <w:t xml:space="preserve">, </w:t>
      </w:r>
      <w:r>
        <w:rPr>
          <w:rtl w:val="true"/>
        </w:rPr>
        <w:t>אשר רק בשל יד המקרה הובילו לתוצאות שחומרתן שונה</w:t>
      </w:r>
      <w:r>
        <w:rPr>
          <w:rtl w:val="true"/>
        </w:rPr>
        <w:t xml:space="preserve">, </w:t>
      </w:r>
      <w:r>
        <w:rPr>
          <w:rtl w:val="true"/>
        </w:rPr>
        <w:t>עשויה לעורר אי</w:t>
      </w:r>
      <w:r>
        <w:rPr>
          <w:rtl w:val="true"/>
        </w:rPr>
        <w:t>-</w:t>
      </w:r>
      <w:r>
        <w:rPr>
          <w:rtl w:val="true"/>
        </w:rPr>
        <w:t>נחת</w:t>
      </w:r>
      <w:r>
        <w:rPr>
          <w:rtl w:val="true"/>
        </w:rPr>
        <w:t xml:space="preserve">. </w:t>
      </w:r>
      <w:r>
        <w:rPr>
          <w:rtl w:val="true"/>
        </w:rPr>
        <w:t>אי נחת זו אינה מתעוררת בעבירת כוונה מן הסוג שלפנינו</w:t>
      </w:r>
      <w:r>
        <w:rPr>
          <w:rtl w:val="true"/>
        </w:rPr>
        <w:t xml:space="preserve">, </w:t>
      </w:r>
      <w:r>
        <w:rPr>
          <w:rtl w:val="true"/>
        </w:rPr>
        <w:t>בה כיוון הנאשם לתוצאה החמורה</w:t>
      </w:r>
      <w:r>
        <w:rPr>
          <w:rtl w:val="true"/>
        </w:rPr>
        <w:t xml:space="preserve">, </w:t>
      </w:r>
      <w:r>
        <w:rPr>
          <w:rtl w:val="true"/>
        </w:rPr>
        <w:t>ואף רצה בה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ככל שמעשיו גרמו בפועל לתוצאה קשה יותר</w:t>
      </w:r>
      <w:r>
        <w:rPr>
          <w:rtl w:val="true"/>
        </w:rPr>
        <w:t xml:space="preserve">, </w:t>
      </w:r>
      <w:r>
        <w:rPr>
          <w:rtl w:val="true"/>
        </w:rPr>
        <w:t>ראוי הוא לעונש חמור 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מלשונו של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ומן הרציונלים שהוזכרו לעיל</w:t>
      </w:r>
      <w:r>
        <w:rPr>
          <w:rtl w:val="true"/>
        </w:rPr>
        <w:t xml:space="preserve">, </w:t>
      </w:r>
      <w:r>
        <w:rPr>
          <w:rtl w:val="true"/>
        </w:rPr>
        <w:t>עולה כי תנאי הכרחי להתחשבות בנזק שנגרם כשיקול לחומרה בעת גזירת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הוא הוכחת קיומו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סיבתי</w:t>
      </w:r>
      <w:r>
        <w:rPr>
          <w:rtl w:val="true"/>
        </w:rPr>
        <w:t xml:space="preserve"> בין העבירה שבוצעה ובין הנזק שנגרם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21.10.2014</w:t>
      </w:r>
      <w:r>
        <w:rPr>
          <w:rtl w:val="true"/>
        </w:rPr>
        <w:t xml:space="preserve">)). </w:t>
      </w:r>
      <w:r>
        <w:rPr>
          <w:rtl w:val="true"/>
        </w:rPr>
        <w:t>מקום בו נטען שהנזק שנגרם מביצוע העבירה מהווה נסיבה מחמירה לעניין העונש</w:t>
      </w:r>
      <w:r>
        <w:rPr>
          <w:rtl w:val="true"/>
        </w:rPr>
        <w:t xml:space="preserve">, </w:t>
      </w:r>
      <w:r>
        <w:rPr>
          <w:rtl w:val="true"/>
        </w:rPr>
        <w:t>יש להוכיחו</w:t>
      </w:r>
      <w:r>
        <w:rPr>
          <w:rtl w:val="true"/>
        </w:rPr>
        <w:t xml:space="preserve">, </w:t>
      </w:r>
      <w:r>
        <w:rPr>
          <w:rtl w:val="true"/>
        </w:rPr>
        <w:t>לרבות את הקשר הסיבתי הנדרש</w:t>
      </w:r>
      <w:r>
        <w:rPr>
          <w:rtl w:val="true"/>
        </w:rPr>
        <w:t xml:space="preserve">, </w:t>
      </w:r>
      <w:r>
        <w:rPr>
          <w:rtl w:val="true"/>
        </w:rPr>
        <w:t xml:space="preserve">ברף הוכחה של מעבר לספק סביר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הפסיקה שעסקה בקשר סיבתי בפלילים</w:t>
      </w:r>
      <w:r>
        <w:rPr>
          <w:rtl w:val="true"/>
        </w:rPr>
        <w:t xml:space="preserve">, </w:t>
      </w:r>
      <w:r>
        <w:rPr>
          <w:rtl w:val="true"/>
        </w:rPr>
        <w:t xml:space="preserve">הבחינה בין שני רבדים שונים של קשר סיבתי שיש להוכיח את התקיימותם </w:t>
      </w:r>
      <w:r>
        <w:rPr>
          <w:rtl w:val="true"/>
        </w:rPr>
        <w:t>–</w:t>
      </w:r>
      <w:r>
        <w:rPr>
          <w:rtl w:val="true"/>
        </w:rPr>
        <w:t xml:space="preserve"> עובדתי ומשפטי </w:t>
      </w:r>
      <w:r>
        <w:rPr>
          <w:rtl w:val="true"/>
        </w:rPr>
        <w:t>–</w:t>
      </w:r>
      <w:r>
        <w:rPr>
          <w:rtl w:val="true"/>
        </w:rPr>
        <w:t xml:space="preserve"> וקבעה את אמות המידה שלפיהן ייבחן הקשר הסיבתי בכל אחד ממישורים אלה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לעניין אמות מידה הרלוונטיות אין שוני בין קשר סיבתי שנבחן לעניין הרשעת הנאשם במסגרת הכרעת הדין</w:t>
      </w:r>
      <w:r>
        <w:rPr>
          <w:rtl w:val="true"/>
        </w:rPr>
        <w:t xml:space="preserve">, </w:t>
      </w:r>
      <w:r>
        <w:rPr>
          <w:rtl w:val="true"/>
        </w:rPr>
        <w:t>למשל בין היסוד ההתנהגותי של עבירת תוצאה ובין תוצאתה</w:t>
      </w:r>
      <w:r>
        <w:rPr>
          <w:rtl w:val="true"/>
        </w:rPr>
        <w:t xml:space="preserve">; </w:t>
      </w:r>
      <w:r>
        <w:rPr>
          <w:rtl w:val="true"/>
        </w:rPr>
        <w:t>לבין קשר סיבתי שנבחן במסגרת גזר הדין</w:t>
      </w:r>
      <w:r>
        <w:rPr>
          <w:rtl w:val="true"/>
        </w:rPr>
        <w:t xml:space="preserve">, </w:t>
      </w:r>
      <w:r>
        <w:rPr>
          <w:rtl w:val="true"/>
        </w:rPr>
        <w:t>בין מעשי הנאשם והנזק שנגרם בגינם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</w:t>
      </w:r>
      <w:r>
        <w:rPr>
          <w:rtl w:val="true"/>
        </w:rPr>
        <w:t xml:space="preserve"> נבחן לפי מבחן </w:t>
      </w:r>
      <w:r>
        <w:rPr>
          <w:rtl w:val="true"/>
        </w:rPr>
        <w:t>"</w:t>
      </w:r>
      <w:r>
        <w:rPr>
          <w:rtl w:val="true"/>
        </w:rPr>
        <w:t>הסיבה שבלעדיה אין</w:t>
      </w:r>
      <w:r>
        <w:rPr>
          <w:rtl w:val="true"/>
        </w:rPr>
        <w:t xml:space="preserve">". </w:t>
      </w:r>
      <w:r>
        <w:rPr>
          <w:rtl w:val="true"/>
        </w:rPr>
        <w:t>לפי מבחן זה</w:t>
      </w:r>
      <w:r>
        <w:rPr>
          <w:rtl w:val="true"/>
        </w:rPr>
        <w:t xml:space="preserve">, </w:t>
      </w:r>
      <w:r>
        <w:rPr>
          <w:rtl w:val="true"/>
        </w:rPr>
        <w:t>מעשה הוא בבחינת גורם לתוצאה</w:t>
      </w:r>
      <w:r>
        <w:rPr>
          <w:rtl w:val="true"/>
        </w:rPr>
        <w:t xml:space="preserve">, </w:t>
      </w:r>
      <w:r>
        <w:rPr>
          <w:rtl w:val="true"/>
        </w:rPr>
        <w:t>כאשר אלמלא המעשה לא הייתה מתרחשת התוצאה</w:t>
      </w:r>
      <w:r>
        <w:rPr>
          <w:rtl w:val="true"/>
        </w:rPr>
        <w:t xml:space="preserve">; </w:t>
      </w:r>
      <w:r>
        <w:rPr>
          <w:rtl w:val="true"/>
        </w:rPr>
        <w:t>ובמילים אחרות</w:t>
      </w:r>
      <w:r>
        <w:rPr>
          <w:rtl w:val="true"/>
        </w:rPr>
        <w:t xml:space="preserve">, </w:t>
      </w:r>
      <w:r>
        <w:rPr>
          <w:rtl w:val="true"/>
        </w:rPr>
        <w:t>כאשר המעשה הוא סיבה הכרחית בשרשרת הסיבתית שהסתיימה בתוצאה</w:t>
      </w:r>
      <w:r>
        <w:rPr>
          <w:rtl w:val="true"/>
        </w:rPr>
        <w:t xml:space="preserve">. </w:t>
      </w:r>
      <w:r>
        <w:rPr>
          <w:rtl w:val="true"/>
        </w:rPr>
        <w:t>המדובר במבחן בעל אופי פיזי</w:t>
      </w:r>
      <w:r>
        <w:rPr>
          <w:rtl w:val="true"/>
        </w:rPr>
        <w:t>-</w:t>
      </w:r>
      <w:r>
        <w:rPr>
          <w:rtl w:val="true"/>
        </w:rPr>
        <w:t>מדעי</w:t>
      </w:r>
      <w:r>
        <w:rPr>
          <w:rtl w:val="true"/>
        </w:rPr>
        <w:t xml:space="preserve">, </w:t>
      </w:r>
      <w:r>
        <w:rPr>
          <w:rtl w:val="true"/>
        </w:rPr>
        <w:t>צופה פני עבר</w:t>
      </w:r>
      <w:r>
        <w:rPr>
          <w:rtl w:val="true"/>
        </w:rPr>
        <w:t xml:space="preserve">, </w:t>
      </w:r>
      <w:r>
        <w:rPr>
          <w:rtl w:val="true"/>
        </w:rPr>
        <w:t>הבוחן את השפעת המעשה על התוצאה</w:t>
      </w:r>
      <w:r>
        <w:rPr>
          <w:rtl w:val="true"/>
        </w:rPr>
        <w:t xml:space="preserve">, </w:t>
      </w:r>
      <w:r>
        <w:rPr>
          <w:rtl w:val="true"/>
        </w:rPr>
        <w:t xml:space="preserve">כפי שקרתה </w:t>
      </w:r>
      <w:r>
        <w:rPr>
          <w:rFonts w:ascii="Century" w:hAnsi="Century" w:cs="Century"/>
          <w:sz w:val="22"/>
          <w:sz w:val="22"/>
          <w:rtl w:val="true"/>
        </w:rPr>
        <w:t>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אך מובן כי מבחן זה אינו יכול לעמוד לבדו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שהרי ביחס לכל תוצאה ניתן לזהות שרשרת ארוכה של סיבות הכרחיות להתרחשותה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שרשרת העשויה להתארך כל הדרך עד לאדם הראשון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כעילת העילות לכל פשעי האנושות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כלשונו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זילברג</w:t>
      </w:r>
      <w:r>
        <w:rPr>
          <w:rFonts w:ascii="Century" w:hAnsi="Century" w:cs="Century"/>
          <w:sz w:val="22"/>
          <w:sz w:val="22"/>
          <w:rtl w:val="true"/>
        </w:rPr>
        <w:t xml:space="preserve"> ב</w:t>
      </w:r>
      <w:hyperlink r:id="rId2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47/56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י </w:t>
      </w:r>
      <w:r>
        <w:rPr>
          <w:rFonts w:cs="Century" w:ascii="Century" w:hAnsi="Century"/>
          <w:sz w:val="22"/>
        </w:rPr>
        <w:t>1543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1548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1956</w:t>
      </w:r>
      <w:r>
        <w:rPr>
          <w:rFonts w:cs="Century" w:ascii="Century" w:hAnsi="Century"/>
          <w:sz w:val="22"/>
          <w:rtl w:val="true"/>
        </w:rPr>
        <w:t xml:space="preserve">)), </w:t>
      </w:r>
      <w:r>
        <w:rPr>
          <w:rFonts w:ascii="Century" w:hAnsi="Century" w:cs="Century"/>
          <w:sz w:val="22"/>
          <w:sz w:val="22"/>
          <w:rtl w:val="true"/>
        </w:rPr>
        <w:t>וברור כי אין מקום להטיל אחריות משפטית בגין כל אחת ואחת מסיבות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שולית כמהותית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וראו 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15.4.2015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10023/06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טואלבו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טואלבו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כאן נכנס לפעולה מבחן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שיסודותיו בשיקולי מדיניות משפטית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הבורר מבין כלל חוליות השרשרת הסיבתית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אלה שתרומתן להתרחשות התוצאה האסורה היא מכרעת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ואשר בגינן ראוי להטיל אחריות פלילית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המבחן העיקרי שאומץ בפסיקה לבחינת הקשר הסיבתי המשפטי הוא מבחן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הצפיות הסבירה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מבחן זה שואל האם אדם סביר יכול היה לצפות שהמעשה יגרום לתוצאה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והאם צריך היה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כעניין נורמטיבי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לצפותה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בפסקאות </w:t>
      </w:r>
      <w:r>
        <w:rPr>
          <w:rFonts w:cs="Century" w:ascii="Century" w:hAnsi="Century"/>
          <w:sz w:val="22"/>
        </w:rPr>
        <w:t>24-12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26.9.2017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נסים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7.6.2018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בהקשר זה נפסק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נדרשת צפיות של תהליך הגרימה המדויק לפרטיו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הקשר הסיבתי המשפטי יישלל רק אם אופן התרחשות התוצאה היה חריג במיוחד </w:t>
      </w:r>
      <w:r>
        <w:rPr>
          <w:rFonts w:cs="Century" w:ascii="Century" w:hAnsi="Century"/>
          <w:sz w:val="22"/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5870/01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נז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221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233-232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חסיין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9723/03</w:t>
        </w:r>
      </w:hyperlink>
      <w:r>
        <w:rPr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בלזר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''</w:t>
      </w:r>
      <w:r>
        <w:rPr>
          <w:sz w:val="22"/>
          <w:sz w:val="22"/>
          <w:rtl w:val="true"/>
        </w:rPr>
        <w:t>ד נט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408</w:t>
      </w:r>
      <w:r>
        <w:rPr>
          <w:sz w:val="22"/>
          <w:rtl w:val="true"/>
        </w:rPr>
        <w:t xml:space="preserve">, </w:t>
      </w:r>
      <w:r>
        <w:rPr>
          <w:sz w:val="22"/>
        </w:rPr>
        <w:t>424-423</w:t>
      </w:r>
      <w:r>
        <w:rPr>
          <w:sz w:val="22"/>
          <w:rtl w:val="true"/>
        </w:rPr>
        <w:t xml:space="preserve"> (</w:t>
      </w:r>
      <w:r>
        <w:rPr>
          <w:sz w:val="22"/>
        </w:rPr>
        <w:t>2004</w:t>
      </w:r>
      <w:r>
        <w:rPr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גם במקרים בהם מעשי הנאשם לא היו גורם בלעדי להתרחשות התוצאה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ואליהם הצטרף גורם נוסף שיחד עמם הביא להתרחשותה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בבחינת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גורם מתערב זר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עדיין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אין בכך בלבד כדי לשלול את הקשר הסיבתי המשפטי ככל שניתן וצריך היה לצפות את התערבותו של אותו גורם זר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טואלבו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Style w:val="Ruller4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br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ומן הכלל אל הפרט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הקשר הסיבתי העובדתי נסמך בית המשפט המחוזי על חוות דעתו של מומחה התביעה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קוגל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בבוא בית המשפט לבחון קיומו של קשר סיבתי עובדתי</w:t>
      </w:r>
      <w:r>
        <w:rPr>
          <w:rtl w:val="true"/>
        </w:rPr>
        <w:t xml:space="preserve">, </w:t>
      </w:r>
      <w:r>
        <w:rPr>
          <w:rtl w:val="true"/>
        </w:rPr>
        <w:t>רשאי הוא להיעזר בחוות דעתם של מומחים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נפסק לא אחת כי מקום בו בחנה הערכאה הדיונית בקפידה את חוות הדעת</w:t>
      </w:r>
      <w:r>
        <w:rPr>
          <w:rtl w:val="true"/>
        </w:rPr>
        <w:t xml:space="preserve">, </w:t>
      </w:r>
      <w:r>
        <w:rPr>
          <w:rtl w:val="true"/>
        </w:rPr>
        <w:t xml:space="preserve">על בסיס התשתית הראייתית המלאה ותוך שימוש בשכל הישר ובניסיון החיים </w:t>
      </w:r>
      <w:r>
        <w:rPr>
          <w:rtl w:val="true"/>
        </w:rPr>
        <w:t>–</w:t>
      </w:r>
      <w:r>
        <w:rPr>
          <w:rtl w:val="true"/>
        </w:rPr>
        <w:t xml:space="preserve"> ייטה בית המשפט שלערעור שלא להתערב במסקנתה</w:t>
      </w:r>
      <w:r>
        <w:rPr>
          <w:rtl w:val="true"/>
        </w:rPr>
        <w:t xml:space="preserve">, </w:t>
      </w:r>
      <w:r>
        <w:rPr>
          <w:rtl w:val="true"/>
        </w:rPr>
        <w:t xml:space="preserve">אלא אם כן יוכח כי נפלה טעות בולטת ומשמעותית בשיקוליה או בהחלטתה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20.2.2014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4230/99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נאם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34</w:t>
      </w:r>
      <w:r>
        <w:rPr>
          <w:rtl w:val="true"/>
        </w:rPr>
        <w:t xml:space="preserve">, </w:t>
      </w:r>
      <w:r>
        <w:rPr/>
        <w:t>42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עלה בידי המערער להוכיח כי נפלה טעות כזו</w:t>
      </w:r>
      <w:r>
        <w:rPr>
          <w:rtl w:val="true"/>
        </w:rPr>
        <w:t xml:space="preserve">. </w:t>
      </w:r>
      <w:r>
        <w:rPr>
          <w:rtl w:val="true"/>
        </w:rPr>
        <w:t>בית המשפט המחוזי ראה לאמץ את מסקנותיו של ד</w:t>
      </w:r>
      <w:r>
        <w:rPr>
          <w:rtl w:val="true"/>
        </w:rPr>
        <w:t>"</w:t>
      </w:r>
      <w:r>
        <w:rPr>
          <w:rtl w:val="true"/>
        </w:rPr>
        <w:t>ר קוגל לעניין הקשר הסיבתי</w:t>
      </w:r>
      <w:r>
        <w:rPr>
          <w:rtl w:val="true"/>
        </w:rPr>
        <w:t xml:space="preserve">, </w:t>
      </w:r>
      <w:r>
        <w:rPr>
          <w:rtl w:val="true"/>
        </w:rPr>
        <w:t>כפי שהובאו בחוות דעתו ובחקירתו</w:t>
      </w:r>
      <w:r>
        <w:rPr>
          <w:rtl w:val="true"/>
        </w:rPr>
        <w:t xml:space="preserve">, </w:t>
      </w:r>
      <w:r>
        <w:rPr>
          <w:rtl w:val="true"/>
        </w:rPr>
        <w:t>וזאת לאחר שהתרשם באופן בלתי אמצעי מעדותו</w:t>
      </w:r>
      <w:r>
        <w:rPr>
          <w:rtl w:val="true"/>
        </w:rPr>
        <w:t xml:space="preserve">. </w:t>
      </w:r>
      <w:r>
        <w:rPr>
          <w:rtl w:val="true"/>
        </w:rPr>
        <w:t>הכרעתו בעניין זה מנומקת ומעוגנת היטב בחומר הרפואי שהוגש כראיה ובנסיבות המקרה</w:t>
      </w:r>
      <w:r>
        <w:rPr>
          <w:rtl w:val="true"/>
        </w:rPr>
        <w:t xml:space="preserve">. </w:t>
      </w:r>
      <w:r>
        <w:rPr>
          <w:rtl w:val="true"/>
        </w:rPr>
        <w:t>ההגנה מנגד לא תמכה טענותיה בחוות דעת רפואית מטעמה</w:t>
      </w:r>
      <w:r>
        <w:rPr>
          <w:rtl w:val="true"/>
        </w:rPr>
        <w:t xml:space="preserve">, </w:t>
      </w:r>
      <w:r>
        <w:rPr>
          <w:rtl w:val="true"/>
        </w:rPr>
        <w:t>ואלה נשללו על</w:t>
      </w:r>
      <w:r>
        <w:rPr>
          <w:rtl w:val="true"/>
        </w:rPr>
        <w:t>-</w:t>
      </w:r>
      <w:r>
        <w:rPr>
          <w:rtl w:val="true"/>
        </w:rPr>
        <w:t>ידי ד</w:t>
      </w:r>
      <w:r>
        <w:rPr>
          <w:rtl w:val="true"/>
        </w:rPr>
        <w:t>"</w:t>
      </w:r>
      <w:r>
        <w:rPr>
          <w:rtl w:val="true"/>
        </w:rPr>
        <w:t>ר קוגל בחקירתו</w:t>
      </w:r>
      <w:r>
        <w:rPr>
          <w:rtl w:val="true"/>
        </w:rPr>
        <w:t xml:space="preserve">, </w:t>
      </w:r>
      <w:r>
        <w:rPr>
          <w:rtl w:val="true"/>
        </w:rPr>
        <w:t>באופן שנמצא על</w:t>
      </w:r>
      <w:r>
        <w:rPr>
          <w:rtl w:val="true"/>
        </w:rPr>
        <w:t>-</w:t>
      </w:r>
      <w:r>
        <w:rPr>
          <w:rtl w:val="true"/>
        </w:rPr>
        <w:t>ידי בית המשפט המחוזי מבוסס ומשכנע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נשללה טענת ההגנה להיעדר אספירציות בתקופת ההטבה הנטענת</w:t>
      </w:r>
      <w:r>
        <w:rPr>
          <w:rtl w:val="true"/>
        </w:rPr>
        <w:t xml:space="preserve">, </w:t>
      </w:r>
      <w:r>
        <w:rPr>
          <w:rtl w:val="true"/>
        </w:rPr>
        <w:t>בהתבסס על עדותו של ד</w:t>
      </w:r>
      <w:r>
        <w:rPr>
          <w:rtl w:val="true"/>
        </w:rPr>
        <w:t>"</w:t>
      </w:r>
      <w:r>
        <w:rPr>
          <w:rtl w:val="true"/>
        </w:rPr>
        <w:t xml:space="preserve">ר קוגל בנושא ועל המסמכים הרפואיים שהוצגו </w:t>
      </w:r>
      <w:r>
        <w:rPr>
          <w:rtl w:val="true"/>
        </w:rPr>
        <w:t>(</w:t>
      </w:r>
      <w:r>
        <w:rPr>
          <w:rtl w:val="true"/>
        </w:rPr>
        <w:t xml:space="preserve">ראו בפסקאות </w:t>
      </w:r>
      <w:r>
        <w:rPr/>
        <w:t>44-43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), </w:t>
      </w:r>
      <w:r>
        <w:rPr>
          <w:rtl w:val="true"/>
        </w:rPr>
        <w:t>וכן נשללה גם טענת ההגנה לניתוק הקשר הסיבתי בשל תלישת צינור ההנשמה על</w:t>
      </w:r>
      <w:r>
        <w:rPr>
          <w:rtl w:val="true"/>
        </w:rPr>
        <w:t>-</w:t>
      </w:r>
      <w:r>
        <w:rPr>
          <w:rtl w:val="true"/>
        </w:rPr>
        <w:t>ידי הנפגעת</w:t>
      </w:r>
      <w:r>
        <w:rPr>
          <w:rtl w:val="true"/>
        </w:rPr>
        <w:t xml:space="preserve">, </w:t>
      </w:r>
      <w:r>
        <w:rPr>
          <w:rtl w:val="true"/>
        </w:rPr>
        <w:t>תוך אימוץ הסבריו של ד</w:t>
      </w:r>
      <w:r>
        <w:rPr>
          <w:rtl w:val="true"/>
        </w:rPr>
        <w:t>"</w:t>
      </w:r>
      <w:r>
        <w:rPr>
          <w:rtl w:val="true"/>
        </w:rPr>
        <w:t>ר קוגל לפיהם תלישת הצינור נבעה מן הפגיעה הקוגניטיבית שנגרמה לנפגעת בשל מעשי המערער</w:t>
      </w:r>
      <w:r>
        <w:rPr>
          <w:rtl w:val="true"/>
        </w:rPr>
        <w:t xml:space="preserve">. </w:t>
      </w:r>
      <w:r>
        <w:rPr>
          <w:rtl w:val="true"/>
        </w:rPr>
        <w:t>לגבי הסבר זה</w:t>
      </w:r>
      <w:r>
        <w:rPr>
          <w:rtl w:val="true"/>
        </w:rPr>
        <w:t xml:space="preserve">, </w:t>
      </w:r>
      <w:r>
        <w:rPr>
          <w:rtl w:val="true"/>
        </w:rPr>
        <w:t>המתיישב גם עם השכל הישר</w:t>
      </w:r>
      <w:r>
        <w:rPr>
          <w:rtl w:val="true"/>
        </w:rPr>
        <w:t xml:space="preserve">, </w:t>
      </w:r>
      <w:r>
        <w:rPr>
          <w:rtl w:val="true"/>
        </w:rPr>
        <w:t>לא הצליחה ההגנה לעורר ספק סביר אף לא בשלב הערעור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אף בטענת ההגנה לתרחישים אחרים חיצוניים לכאורה</w:t>
      </w:r>
      <w:r>
        <w:rPr>
          <w:rtl w:val="true"/>
        </w:rPr>
        <w:t xml:space="preserve">, </w:t>
      </w:r>
      <w:r>
        <w:rPr>
          <w:rtl w:val="true"/>
        </w:rPr>
        <w:t xml:space="preserve">שהיו עשויים לגרום לנפגעת לדום לב </w:t>
      </w:r>
      <w:r>
        <w:rPr>
          <w:rtl w:val="true"/>
        </w:rPr>
        <w:t>–</w:t>
      </w:r>
      <w:r>
        <w:rPr>
          <w:rtl w:val="true"/>
        </w:rPr>
        <w:t xml:space="preserve"> לא מצא בית המשפט המחוזי ממש</w:t>
      </w:r>
      <w:r>
        <w:rPr>
          <w:rtl w:val="true"/>
        </w:rPr>
        <w:t xml:space="preserve">, </w:t>
      </w:r>
      <w:r>
        <w:rPr>
          <w:rtl w:val="true"/>
        </w:rPr>
        <w:t xml:space="preserve">לאור עדות המומחה שהתייחסה לחומר הרפואי הרלוונטי בהקשר זה </w:t>
      </w:r>
      <w:r>
        <w:rPr>
          <w:rtl w:val="true"/>
        </w:rPr>
        <w:t>(</w:t>
      </w:r>
      <w:r>
        <w:rPr>
          <w:rtl w:val="true"/>
        </w:rPr>
        <w:t xml:space="preserve">ראו בפסקאות </w:t>
      </w:r>
      <w:r>
        <w:rPr/>
        <w:t>52-48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. </w:t>
      </w:r>
      <w:r>
        <w:rPr>
          <w:rtl w:val="true"/>
        </w:rPr>
        <w:t>כן ראו בעניין העלאת תיאוריות חלופיות לגבי קשר סיבתי עובדתי ורף ההוכחה הנדרש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5656/11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5.8.2012</w:t>
      </w:r>
      <w:r>
        <w:rPr>
          <w:rtl w:val="true"/>
        </w:rPr>
        <w:t xml:space="preserve">)).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לא ראיתי להתערב במסקנת בית המשפט המחוזי ולפיה הוכח מעל לספק סביר קיומו של קשר סיבתי עובדתי במקרה הנדון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לא ראיתי להתערב אף במסקנתו של בית המשפט המחוזי לגבי קיומו של קשר סיבתי משפטי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שצוין בגזר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משנקבע בהכרעת הדין כי המערער צפה את אפשרות מותה של הנפגעת ואף חפץ 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ברי כי יכול היה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צריך היה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לצפות את האפשרות שמעשיו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הטחת לבנת בטון כבדה בעוצמה בראשה של הנפגעת מספר פעמים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עלולים להוביל להותרתה במצב הכרתי של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צמח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כפי שפורט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מבחן הצפיות הסבירה אינו דורש צפיות של הליך הגרימה המדויק 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נדירים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הושגה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אקראית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שהתרחש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233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אין זה המצב 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ורחוק מכך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השרשרת הסיבתית שנמצא שהובילה למצבה הרפואי של הנפגעת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אינה חריגה כלל ועיקר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ניסיון החיים מלמד כי פעמים רבות אנשים שמתאשפזים למשך תקופה ארוכה בשל פגיעה מסוימת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כל שכן פגיעת ראש חמורה כבענייננו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חווים הידרדרות במצבם שאינה נובעת ישירות מן הפגיעה הראשונית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מסיבוכים רפואיים הנובעים מאותה פגיעה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והשוו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טואלבו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בענייננו אף אין מדובר במי שנפגעה באופן קל מעבירה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ומצבה הרפואי הלך והחמיר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במי שהייתה במצב רפואי קשה בסמוך לאחר התקיפה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וגם לאחר אירוע דום הלב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העובדה שבין שתי נקודות זמן אלה חל שיפור מועט במצבה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אין בה כדי לשנות לעניין הצפיות הסבירה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ויודגש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גם בתקופת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הטבה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מצבה של הנפגעת היה כה חמור עד כי לא היה ביכולתה לתקשר עם סביבתה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נדרשה להנשמה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להזנה ולפינוי צרכיה באמצעים מלאכותיים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גם אין באירוע תלישת צינור ההנשמה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הנפגעת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לחתור תחת קיומו של קשר סיבתי משפטי בנסיבות העניין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משנקבע כי אירוע תלישת הצינור בא על רקע הירידה הקוגניטיבית שנגרמה לנפגעת בשל מעשי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שעה שהנפגעת לא הייתה ערה למשמעות מעשיה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הרי שאין לראות בפעולה זו כפעולה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אוטונומית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המנתקת את הקשר הסיבתי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היוצא מהאמור הוא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שאין להתערב בקביעתו של בית המשפט המחוזי ולפיה מתקיים קשר סיבתי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עובדתי ומשפטי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מצבה הרפואי של הנפגעת בעת מתן גזר הדין לבין מעשי המערער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br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 גם אם יימצא כי מתקיים קשר סיבתי בין מעשיו למצבה הרפואי של הנפגעת</w:t>
      </w:r>
      <w:r>
        <w:rPr>
          <w:rtl w:val="true"/>
        </w:rPr>
        <w:t xml:space="preserve">, </w:t>
      </w:r>
      <w:r>
        <w:rPr>
          <w:rtl w:val="true"/>
        </w:rPr>
        <w:t>עדיין יש להפחית מעונש המאסר שהוטל עליו</w:t>
      </w:r>
      <w:r>
        <w:rPr>
          <w:rtl w:val="true"/>
        </w:rPr>
        <w:t xml:space="preserve">, </w:t>
      </w:r>
      <w:r>
        <w:rPr>
          <w:rtl w:val="true"/>
        </w:rPr>
        <w:t>מקום שעונש זה מחמיר עמו יתר על המידה וחורג באופן משמעותי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לא מצאתי לקבל גם טענה זו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שצוין בפסיקה</w:t>
      </w:r>
      <w:r>
        <w:rPr>
          <w:rtl w:val="true"/>
        </w:rPr>
        <w:t xml:space="preserve">, </w:t>
      </w:r>
      <w:r>
        <w:rPr>
          <w:rtl w:val="true"/>
        </w:rPr>
        <w:t>העבירה של 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הקבוע בצדה עומד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היא מהחמורות בספר החוקים</w:t>
      </w:r>
      <w:r>
        <w:rPr>
          <w:rtl w:val="true"/>
        </w:rPr>
        <w:t xml:space="preserve">. </w:t>
      </w:r>
      <w:r>
        <w:rPr>
          <w:rtl w:val="true"/>
        </w:rPr>
        <w:t>כפועל יוצא מכך נקבע כי מדיניות הענישה בעבירה זו מחייבת גישה מחמירה שתבטא באופן הולם את מעמדו הרם של ערך קדושת החיים</w:t>
      </w:r>
      <w:r>
        <w:rPr>
          <w:rtl w:val="true"/>
        </w:rPr>
        <w:t xml:space="preserve">, </w:t>
      </w:r>
      <w:r>
        <w:rPr>
          <w:rtl w:val="true"/>
        </w:rPr>
        <w:t xml:space="preserve">בדרך של השתת עונשי מאסר ממושכים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סיסאי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6.8.2014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2513/19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27.6.2019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5.8.2012</w:t>
      </w:r>
      <w:r>
        <w:rPr>
          <w:rtl w:val="true"/>
        </w:rPr>
        <w:t xml:space="preserve">)).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בשל חומרתה של עבירה זו אף הוצע במסגרת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להעלות את העונש שבצדה ולהעמידו על שלושים שנות מאסר</w:t>
      </w:r>
      <w:r>
        <w:rPr>
          <w:rtl w:val="true"/>
        </w:rPr>
        <w:t xml:space="preserve">, </w:t>
      </w:r>
      <w:r>
        <w:rPr>
          <w:rtl w:val="true"/>
        </w:rPr>
        <w:t>תוך שצוינו הדברים הבאים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אמנם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קופחו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ותוצאותיו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המושלמת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ראו דברי ההסבר להצעת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972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179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סלומון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10.8.2022</w:t>
      </w:r>
      <w:r>
        <w:rPr>
          <w:rtl w:val="true"/>
        </w:rPr>
        <w:t xml:space="preserve">)). </w:t>
      </w:r>
      <w:r>
        <w:rPr>
          <w:rtl w:val="true"/>
        </w:rPr>
        <w:t>דומה שהמקרה שלפנינו</w:t>
      </w:r>
      <w:r>
        <w:rPr>
          <w:rtl w:val="true"/>
        </w:rPr>
        <w:t xml:space="preserve">, </w:t>
      </w:r>
      <w:r>
        <w:rPr>
          <w:rtl w:val="true"/>
        </w:rPr>
        <w:t>ותוצאותיו</w:t>
      </w:r>
      <w:r>
        <w:rPr>
          <w:rtl w:val="true"/>
        </w:rPr>
        <w:t xml:space="preserve">, </w:t>
      </w:r>
      <w:r>
        <w:rPr>
          <w:rtl w:val="true"/>
        </w:rPr>
        <w:t>ממחישים את הקרבה האמורה לעבירה המוגמרת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הנזק שנגרם לנפגעת שבענייננו</w:t>
      </w:r>
      <w:r>
        <w:rPr>
          <w:rtl w:val="true"/>
        </w:rPr>
        <w:t xml:space="preserve">, </w:t>
      </w:r>
      <w:r>
        <w:rPr>
          <w:rtl w:val="true"/>
        </w:rPr>
        <w:t>נכון למועד מתן גזר הדין</w:t>
      </w:r>
      <w:r>
        <w:rPr>
          <w:rtl w:val="true"/>
        </w:rPr>
        <w:t xml:space="preserve">, </w:t>
      </w:r>
      <w:r>
        <w:rPr>
          <w:rtl w:val="true"/>
        </w:rPr>
        <w:t>הוא הנזק החמור ביותר שניתן לשערו</w:t>
      </w:r>
      <w:r>
        <w:rPr>
          <w:rtl w:val="true"/>
        </w:rPr>
        <w:t xml:space="preserve">. </w:t>
      </w:r>
      <w:r>
        <w:rPr>
          <w:rtl w:val="true"/>
        </w:rPr>
        <w:t xml:space="preserve">היוותרותה של הנפגעת במצב הכרתי של </w:t>
      </w:r>
      <w:r>
        <w:rPr>
          <w:rtl w:val="true"/>
        </w:rPr>
        <w:t>"</w:t>
      </w:r>
      <w:r>
        <w:rPr>
          <w:rtl w:val="true"/>
        </w:rPr>
        <w:t>צמח</w:t>
      </w:r>
      <w:r>
        <w:rPr>
          <w:rtl w:val="true"/>
        </w:rPr>
        <w:t xml:space="preserve">", </w:t>
      </w:r>
      <w:r>
        <w:rPr>
          <w:rtl w:val="true"/>
        </w:rPr>
        <w:t>אשר אין אופק יציאה ממנו</w:t>
      </w:r>
      <w:r>
        <w:rPr>
          <w:rtl w:val="true"/>
        </w:rPr>
        <w:t xml:space="preserve">, </w:t>
      </w:r>
      <w:r>
        <w:rPr>
          <w:rtl w:val="true"/>
        </w:rPr>
        <w:t xml:space="preserve">משמעותו למעשה כי ניטלה מחייה כל איכות חיים </w:t>
      </w:r>
      <w:r>
        <w:rPr>
          <w:rtl w:val="true"/>
        </w:rPr>
        <w:t>–</w:t>
      </w:r>
      <w:r>
        <w:rPr>
          <w:rtl w:val="true"/>
        </w:rPr>
        <w:t xml:space="preserve"> היא כלואה בגופה שלה</w:t>
      </w:r>
      <w:r>
        <w:rPr>
          <w:rtl w:val="true"/>
        </w:rPr>
        <w:t xml:space="preserve">, </w:t>
      </w:r>
      <w:r>
        <w:rPr>
          <w:rtl w:val="true"/>
        </w:rPr>
        <w:t>שרויה בתרדמת</w:t>
      </w:r>
      <w:r>
        <w:rPr>
          <w:rtl w:val="true"/>
        </w:rPr>
        <w:t xml:space="preserve">, </w:t>
      </w:r>
      <w:r>
        <w:rPr>
          <w:rtl w:val="true"/>
        </w:rPr>
        <w:t>מונשמת</w:t>
      </w:r>
      <w:r>
        <w:rPr>
          <w:rtl w:val="true"/>
        </w:rPr>
        <w:t xml:space="preserve">, </w:t>
      </w:r>
      <w:r>
        <w:rPr>
          <w:rtl w:val="true"/>
        </w:rPr>
        <w:t>ללא יכולת לתקשר עם סביבתה</w:t>
      </w:r>
      <w:r>
        <w:rPr>
          <w:rtl w:val="true"/>
        </w:rPr>
        <w:t xml:space="preserve">. </w:t>
      </w:r>
      <w:r>
        <w:rPr>
          <w:rtl w:val="true"/>
        </w:rPr>
        <w:t>המדובר כטענת המדינה בחיים שאינם חיים</w:t>
      </w:r>
      <w:r>
        <w:rPr>
          <w:rtl w:val="true"/>
        </w:rPr>
        <w:t xml:space="preserve">, </w:t>
      </w:r>
      <w:r>
        <w:rPr>
          <w:rtl w:val="true"/>
        </w:rPr>
        <w:t xml:space="preserve">ובמובן זה אף ניתן לומר שהנפגעת </w:t>
      </w:r>
      <w:r>
        <w:rPr>
          <w:rtl w:val="true"/>
        </w:rPr>
        <w:t>"</w:t>
      </w:r>
      <w:r>
        <w:rPr>
          <w:rtl w:val="true"/>
        </w:rPr>
        <w:t>משולה כמתה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10049/08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23.8.2012</w:t>
      </w:r>
      <w:r>
        <w:rPr>
          <w:rtl w:val="true"/>
        </w:rPr>
        <w:t xml:space="preserve">)). </w:t>
      </w:r>
      <w:r>
        <w:rPr>
          <w:rtl w:val="true"/>
        </w:rPr>
        <w:t>נסיבה מחמירה זו מבדילה את המקרה שלפנינו ממקרים דומים אחרים</w:t>
      </w:r>
      <w:r>
        <w:rPr>
          <w:rtl w:val="true"/>
        </w:rPr>
        <w:t xml:space="preserve">, </w:t>
      </w:r>
      <w:r>
        <w:rPr>
          <w:rtl w:val="true"/>
        </w:rPr>
        <w:t>שאליהם הפנה המערער</w:t>
      </w:r>
      <w:r>
        <w:rPr>
          <w:rtl w:val="true"/>
        </w:rPr>
        <w:t xml:space="preserve">, </w:t>
      </w:r>
      <w:r>
        <w:rPr>
          <w:rtl w:val="true"/>
        </w:rPr>
        <w:t>ומצדיקה החמרה בענישה</w:t>
      </w:r>
      <w:r>
        <w:rPr>
          <w:rtl w:val="true"/>
        </w:rPr>
        <w:t xml:space="preserve">. </w:t>
      </w:r>
      <w:r>
        <w:rPr>
          <w:rtl w:val="true"/>
        </w:rPr>
        <w:t>מעבר לנזק מרבי זה</w:t>
      </w:r>
      <w:r>
        <w:rPr>
          <w:rtl w:val="true"/>
        </w:rPr>
        <w:t xml:space="preserve">, </w:t>
      </w:r>
      <w:r>
        <w:rPr>
          <w:rtl w:val="true"/>
        </w:rPr>
        <w:t>מתקיימות בענייננו נסיבות מחמירות נוספות</w:t>
      </w:r>
      <w:r>
        <w:rPr>
          <w:rtl w:val="true"/>
        </w:rPr>
        <w:t xml:space="preserve">: </w:t>
      </w:r>
      <w:r>
        <w:rPr>
          <w:rtl w:val="true"/>
        </w:rPr>
        <w:t>האכזריות הנוראה של המעשה שביצע המערער עת חבט בראשה ובפניה של הנפגעת</w:t>
      </w:r>
      <w:r>
        <w:rPr>
          <w:rtl w:val="true"/>
        </w:rPr>
        <w:t xml:space="preserve">, </w:t>
      </w:r>
      <w:r>
        <w:rPr>
          <w:rtl w:val="true"/>
        </w:rPr>
        <w:t>שוב ושוב</w:t>
      </w:r>
      <w:r>
        <w:rPr>
          <w:rtl w:val="true"/>
        </w:rPr>
        <w:t xml:space="preserve">, </w:t>
      </w:r>
      <w:r>
        <w:rPr>
          <w:rtl w:val="true"/>
        </w:rPr>
        <w:t>בלבנת בטון כבדה</w:t>
      </w:r>
      <w:r>
        <w:rPr>
          <w:rtl w:val="true"/>
        </w:rPr>
        <w:t xml:space="preserve">; </w:t>
      </w:r>
      <w:r>
        <w:rPr>
          <w:rtl w:val="true"/>
        </w:rPr>
        <w:t>ואדישותו הבלתי נתפסת לחייה</w:t>
      </w:r>
      <w:r>
        <w:rPr>
          <w:rtl w:val="true"/>
        </w:rPr>
        <w:t xml:space="preserve">, </w:t>
      </w:r>
      <w:r>
        <w:rPr>
          <w:rtl w:val="true"/>
        </w:rPr>
        <w:t>שעה שמיד לאחר המעשה הותירה מתבוססת בדמה</w:t>
      </w:r>
      <w:r>
        <w:rPr>
          <w:rtl w:val="true"/>
        </w:rPr>
        <w:t xml:space="preserve">, </w:t>
      </w:r>
      <w:r>
        <w:rPr>
          <w:rtl w:val="true"/>
        </w:rPr>
        <w:t>והלך לשתות ולרקוד בבר כשדמה על בגדיו</w:t>
      </w:r>
      <w:r>
        <w:rPr>
          <w:rtl w:val="true"/>
        </w:rPr>
        <w:t xml:space="preserve">. </w:t>
      </w:r>
      <w:r>
        <w:rPr>
          <w:rtl w:val="true"/>
        </w:rPr>
        <w:t>לכל אלה</w:t>
      </w:r>
      <w:r>
        <w:rPr>
          <w:rtl w:val="true"/>
        </w:rPr>
        <w:t xml:space="preserve">, </w:t>
      </w:r>
      <w:r>
        <w:rPr>
          <w:rtl w:val="true"/>
        </w:rPr>
        <w:t>ניתן לצרף את חוסר הפשר שבמעשה</w:t>
      </w:r>
      <w:r>
        <w:rPr>
          <w:rtl w:val="true"/>
        </w:rPr>
        <w:t xml:space="preserve">, </w:t>
      </w:r>
      <w:r>
        <w:rPr>
          <w:rtl w:val="true"/>
        </w:rPr>
        <w:t>באין מניע</w:t>
      </w:r>
      <w:r>
        <w:rPr>
          <w:rtl w:val="true"/>
        </w:rPr>
        <w:t xml:space="preserve">, </w:t>
      </w:r>
      <w:r>
        <w:rPr>
          <w:rtl w:val="true"/>
        </w:rPr>
        <w:t xml:space="preserve">כאשר עד היום לא התברר מה טעם עשה את שעשה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מוהלוס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19.7.2016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917/04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מוסקוביץ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6.1.2005</w:t>
      </w:r>
      <w:r>
        <w:rPr>
          <w:rtl w:val="true"/>
        </w:rPr>
        <w:t xml:space="preserve">)). </w:t>
      </w:r>
      <w:r>
        <w:rPr>
          <w:rtl w:val="true"/>
        </w:rPr>
        <w:t>כמתואר בתסקיר נפגעת העבירה</w:t>
      </w:r>
      <w:r>
        <w:rPr>
          <w:rtl w:val="true"/>
        </w:rPr>
        <w:t xml:space="preserve">, </w:t>
      </w:r>
      <w:r>
        <w:rPr>
          <w:rtl w:val="true"/>
        </w:rPr>
        <w:t>מעשיו של המערער קטעו באחת את רצף חייה של הנפגעת</w:t>
      </w:r>
      <w:r>
        <w:rPr>
          <w:rtl w:val="true"/>
        </w:rPr>
        <w:t xml:space="preserve">, </w:t>
      </w:r>
      <w:r>
        <w:rPr>
          <w:rtl w:val="true"/>
        </w:rPr>
        <w:t>חיים שהיו רצופי קשיים ומשברים</w:t>
      </w:r>
      <w:r>
        <w:rPr>
          <w:rtl w:val="true"/>
        </w:rPr>
        <w:t xml:space="preserve">, </w:t>
      </w:r>
      <w:r>
        <w:rPr>
          <w:rtl w:val="true"/>
        </w:rPr>
        <w:t>אך בשנים האחרונות התאפיינו בתקווה לשיקום וכן בחוויה מיטיבה של משפחתיות</w:t>
      </w:r>
      <w:r>
        <w:rPr>
          <w:rtl w:val="true"/>
        </w:rPr>
        <w:t xml:space="preserve">, </w:t>
      </w:r>
      <w:r>
        <w:rPr>
          <w:rtl w:val="true"/>
        </w:rPr>
        <w:t>על רקע התקרבות הנפגעת לבתה ולנכדיה</w:t>
      </w:r>
      <w:r>
        <w:rPr>
          <w:rtl w:val="true"/>
        </w:rPr>
        <w:t xml:space="preserve">. </w:t>
      </w:r>
      <w:r>
        <w:rPr>
          <w:rtl w:val="true"/>
        </w:rPr>
        <w:t>גם בני משפחתה של הנפגעת</w:t>
      </w:r>
      <w:r>
        <w:rPr>
          <w:rtl w:val="true"/>
        </w:rPr>
        <w:t xml:space="preserve">, </w:t>
      </w:r>
      <w:r>
        <w:rPr>
          <w:rtl w:val="true"/>
        </w:rPr>
        <w:t>ניזוקו באופן קשה בעקבות האסון שהמיט עליהם המערער</w:t>
      </w:r>
      <w:r>
        <w:rPr>
          <w:rtl w:val="true"/>
        </w:rPr>
        <w:t xml:space="preserve">. </w:t>
      </w:r>
      <w:r>
        <w:rPr>
          <w:rtl w:val="true"/>
        </w:rPr>
        <w:t>בית המשפט המחוזי שקל את כלל השיקולים האמורים</w:t>
      </w:r>
      <w:r>
        <w:rPr>
          <w:rtl w:val="true"/>
        </w:rPr>
        <w:t xml:space="preserve">, </w:t>
      </w:r>
      <w:r>
        <w:rPr>
          <w:rtl w:val="true"/>
        </w:rPr>
        <w:t>ובתוכם אף את נסיבותיו האישיות המורכבות של המערער</w:t>
      </w:r>
      <w:r>
        <w:rPr>
          <w:rtl w:val="true"/>
        </w:rPr>
        <w:t xml:space="preserve">. </w:t>
      </w:r>
      <w:r>
        <w:rPr>
          <w:rtl w:val="true"/>
        </w:rPr>
        <w:t>לא מצאתי כי נפלה לפניו טעות במלאכת איזון השיקולים השונים</w:t>
      </w:r>
      <w:r>
        <w:rPr>
          <w:rtl w:val="true"/>
        </w:rPr>
        <w:t xml:space="preserve">, </w:t>
      </w:r>
      <w:r>
        <w:rPr>
          <w:rtl w:val="true"/>
        </w:rPr>
        <w:t>וכן לא מצאתי כי העונש שנגזר לבסוף סוטה ממדיניות הענישה הנוהגת באופן המצדיק התערבות בערעור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אציע לחברותיי כי נדחה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  <w:u w:val="single"/>
        </w:rPr>
      </w:pP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  <w:r>
        <w:rPr>
          <w:rtl w:val="true"/>
        </w:rPr>
        <w:br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5.7.2023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21070390</w:t>
      </w:r>
      <w:r>
        <w:rPr>
          <w:sz w:val="16"/>
          <w:rtl w:val="true"/>
        </w:rPr>
        <w:t>_</w:t>
      </w:r>
      <w:r>
        <w:rPr>
          <w:sz w:val="16"/>
        </w:rPr>
        <w:t>X07.docx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מנ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54678313-7039/21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7039/21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טספה מריאם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8"/>
      <w:szCs w:val="28"/>
    </w:rPr>
  </w:style>
  <w:style w:type="character" w:styleId="WW8Num12z0">
    <w:name w:val="WW8Num12z0"/>
    <w:qFormat/>
    <w:rPr>
      <w:b w:val="false"/>
      <w:bCs w:val="false"/>
      <w:sz w:val="24"/>
      <w:szCs w:val="24"/>
    </w:rPr>
  </w:style>
  <w:style w:type="character" w:styleId="WW8Num12z1">
    <w:name w:val="WW8Num12z1"/>
    <w:qFormat/>
    <w:rPr>
      <w:b w:val="false"/>
      <w:bCs w:val="false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1025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.a.4" TargetMode="External"/><Relationship Id="rId6" Type="http://schemas.openxmlformats.org/officeDocument/2006/relationships/hyperlink" Target="http://www.nevo.co.il/law/70301/40j.c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case/25110259" TargetMode="External"/><Relationship Id="rId9" Type="http://schemas.openxmlformats.org/officeDocument/2006/relationships/hyperlink" Target="http://www.nevo.co.il/law/70301/305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7648809" TargetMode="External"/><Relationship Id="rId12" Type="http://schemas.openxmlformats.org/officeDocument/2006/relationships/hyperlink" Target="http://www.nevo.co.il/case/28313643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i.a.4" TargetMode="External"/><Relationship Id="rId16" Type="http://schemas.openxmlformats.org/officeDocument/2006/relationships/hyperlink" Target="http://www.nevo.co.il/law/70301/40i.a.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6917344" TargetMode="External"/><Relationship Id="rId19" Type="http://schemas.openxmlformats.org/officeDocument/2006/relationships/hyperlink" Target="http://www.nevo.co.il/law/70301/40j.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7002559" TargetMode="External"/><Relationship Id="rId22" Type="http://schemas.openxmlformats.org/officeDocument/2006/relationships/hyperlink" Target="http://www.nevo.co.il/case/6245391" TargetMode="External"/><Relationship Id="rId23" Type="http://schemas.openxmlformats.org/officeDocument/2006/relationships/hyperlink" Target="http://www.nevo.co.il/case/5810542" TargetMode="External"/><Relationship Id="rId24" Type="http://schemas.openxmlformats.org/officeDocument/2006/relationships/hyperlink" Target="http://www.nevo.co.il/case/22505607" TargetMode="External"/><Relationship Id="rId25" Type="http://schemas.openxmlformats.org/officeDocument/2006/relationships/hyperlink" Target="http://www.nevo.co.il/case/22584861" TargetMode="External"/><Relationship Id="rId26" Type="http://schemas.openxmlformats.org/officeDocument/2006/relationships/hyperlink" Target="http://www.nevo.co.il/case/5750379" TargetMode="External"/><Relationship Id="rId27" Type="http://schemas.openxmlformats.org/officeDocument/2006/relationships/hyperlink" Target="http://www.nevo.co.il/case/6158617" TargetMode="External"/><Relationship Id="rId28" Type="http://schemas.openxmlformats.org/officeDocument/2006/relationships/hyperlink" Target="http://www.nevo.co.il/case/5594098" TargetMode="External"/><Relationship Id="rId29" Type="http://schemas.openxmlformats.org/officeDocument/2006/relationships/hyperlink" Target="http://www.nevo.co.il/case/5945050" TargetMode="External"/><Relationship Id="rId30" Type="http://schemas.openxmlformats.org/officeDocument/2006/relationships/hyperlink" Target="http://www.nevo.co.il/case/6026243" TargetMode="External"/><Relationship Id="rId31" Type="http://schemas.openxmlformats.org/officeDocument/2006/relationships/hyperlink" Target="http://www.nevo.co.il/case/7680922" TargetMode="External"/><Relationship Id="rId32" Type="http://schemas.openxmlformats.org/officeDocument/2006/relationships/hyperlink" Target="http://www.nevo.co.il/case/25608091" TargetMode="External"/><Relationship Id="rId33" Type="http://schemas.openxmlformats.org/officeDocument/2006/relationships/hyperlink" Target="http://www.nevo.co.il/case/602600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7672788" TargetMode="External"/><Relationship Id="rId36" Type="http://schemas.openxmlformats.org/officeDocument/2006/relationships/hyperlink" Target="http://www.nevo.co.il/case/5714675" TargetMode="External"/><Relationship Id="rId37" Type="http://schemas.openxmlformats.org/officeDocument/2006/relationships/hyperlink" Target="http://www.nevo.co.il/case/20188572" TargetMode="External"/><Relationship Id="rId38" Type="http://schemas.openxmlformats.org/officeDocument/2006/relationships/hyperlink" Target="http://www.nevo.co.il/case/5734395" TargetMode="External"/><Relationship Id="rId39" Type="http://schemas.openxmlformats.org/officeDocument/2006/relationships/hyperlink" Target="https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2023-07-10T10:45:00Z</dcterms:created>
  <dc:creator>h4</dc:creator>
  <dc:description/>
  <cp:keywords/>
  <dc:language>en-IL</dc:language>
  <cp:lastModifiedBy>h1</cp:lastModifiedBy>
  <cp:lastPrinted>2023-07-05T09:02:00Z</cp:lastPrinted>
  <dcterms:modified xsi:type="dcterms:W3CDTF">2023-07-10T10:45:00Z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טספה מריאם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25110259:2;27648809;28313643;16917344;17002559;6245391;5810542;22505607;22584861;5750379;6158617;5594098;5945050;6026243;7680922;25608091;6026003;27672788;5714675;20188572;5734395</vt:lpwstr>
  </property>
  <property fmtid="{D5CDD505-2E9C-101B-9397-08002B2CF9AE}" pid="9" name="CITY">
    <vt:lpwstr/>
  </property>
  <property fmtid="{D5CDD505-2E9C-101B-9397-08002B2CF9AE}" pid="10" name="DATE">
    <vt:lpwstr>20230705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ברון;ג' כנפי שטייניץ;ר' רונן</vt:lpwstr>
  </property>
  <property fmtid="{D5CDD505-2E9C-101B-9397-08002B2CF9AE}" pid="14" name="LAWLISTTMP1">
    <vt:lpwstr>70301/305.1;040b;040i.a.4:2;040j.c</vt:lpwstr>
  </property>
  <property fmtid="{D5CDD505-2E9C-101B-9397-08002B2CF9AE}" pid="15" name="LAWYER">
    <vt:lpwstr>עילית מידן;עופר אשכנזי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קשר סיבתי</vt:lpwstr>
  </property>
  <property fmtid="{D5CDD505-2E9C-101B-9397-08002B2CF9AE}" pid="38" name="NOSE210">
    <vt:lpwstr/>
  </property>
  <property fmtid="{D5CDD505-2E9C-101B-9397-08002B2CF9AE}" pid="39" name="NOSE22">
    <vt:lpwstr>קשר סיבתי</vt:lpwstr>
  </property>
  <property fmtid="{D5CDD505-2E9C-101B-9397-08002B2CF9AE}" pid="40" name="NOSE23">
    <vt:lpwstr>קשר סיבתי</vt:lpwstr>
  </property>
  <property fmtid="{D5CDD505-2E9C-101B-9397-08002B2CF9AE}" pid="41" name="NOSE24">
    <vt:lpwstr>עבירות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1448;1448;1448;1443;1446</vt:lpwstr>
  </property>
  <property fmtid="{D5CDD505-2E9C-101B-9397-08002B2CF9AE}" pid="48" name="NOSE31">
    <vt:lpwstr>גורם בלעדיו אין</vt:lpwstr>
  </property>
  <property fmtid="{D5CDD505-2E9C-101B-9397-08002B2CF9AE}" pid="49" name="NOSE310">
    <vt:lpwstr/>
  </property>
  <property fmtid="{D5CDD505-2E9C-101B-9397-08002B2CF9AE}" pid="50" name="NOSE32">
    <vt:lpwstr>קשר סיבתי-משפטי</vt:lpwstr>
  </property>
  <property fmtid="{D5CDD505-2E9C-101B-9397-08002B2CF9AE}" pid="51" name="NOSE33">
    <vt:lpwstr>צפיות</vt:lpwstr>
  </property>
  <property fmtid="{D5CDD505-2E9C-101B-9397-08002B2CF9AE}" pid="52" name="NOSE34">
    <vt:lpwstr>ניסיון לרצח</vt:lpwstr>
  </property>
  <property fmtid="{D5CDD505-2E9C-101B-9397-08002B2CF9AE}" pid="53" name="NOSE35">
    <vt:lpwstr>מדיניות ענישה: שיקולים לחומרה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9015;9021;9020;8867;8995</vt:lpwstr>
  </property>
  <property fmtid="{D5CDD505-2E9C-101B-9397-08002B2CF9AE}" pid="59" name="PADIDATE">
    <vt:lpwstr>20230706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7039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410120230705</vt:lpwstr>
  </property>
  <property fmtid="{D5CDD505-2E9C-101B-9397-08002B2CF9AE}" pid="69" name="TYPE_N_DATE">
    <vt:lpwstr>41020230705</vt:lpwstr>
  </property>
  <property fmtid="{D5CDD505-2E9C-101B-9397-08002B2CF9AE}" pid="70" name="VOLUME">
    <vt:lpwstr/>
  </property>
  <property fmtid="{D5CDD505-2E9C-101B-9397-08002B2CF9AE}" pid="71" name="WORDNUMPAGES">
    <vt:lpwstr>17</vt:lpwstr>
  </property>
</Properties>
</file>