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7056/17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איוון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מנדריצ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נקו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51446-03-16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14.6.2017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427"/>
        <w:gridCol w:w="851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18"/>
                <w:sz w:val="18"/>
                <w:szCs w:val="24"/>
                <w:rtl w:val="true"/>
              </w:rPr>
              <w:t>י</w:t>
            </w:r>
            <w:r>
              <w:rPr>
                <w:sz w:val="18"/>
                <w:szCs w:val="24"/>
                <w:rtl w:val="true"/>
              </w:rPr>
              <w:t>"</w:t>
            </w:r>
            <w:r>
              <w:rPr>
                <w:sz w:val="18"/>
                <w:sz w:val="18"/>
                <w:szCs w:val="24"/>
                <w:rtl w:val="true"/>
              </w:rPr>
              <w:t>ג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בשבט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התשע</w:t>
            </w:r>
            <w:r>
              <w:rPr>
                <w:sz w:val="18"/>
                <w:szCs w:val="24"/>
                <w:rtl w:val="true"/>
              </w:rPr>
              <w:t>"</w:t>
            </w:r>
            <w:r>
              <w:rPr>
                <w:sz w:val="18"/>
                <w:sz w:val="18"/>
                <w:szCs w:val="24"/>
                <w:rtl w:val="true"/>
              </w:rPr>
              <w:t>ח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Cs w:val="24"/>
                <w:rtl w:val="true"/>
              </w:rPr>
              <w:t>(</w:t>
            </w:r>
            <w:r>
              <w:rPr>
                <w:sz w:val="18"/>
                <w:szCs w:val="24"/>
              </w:rPr>
              <w:t>29.1.2018</w:t>
            </w:r>
            <w:r>
              <w:rPr>
                <w:sz w:val="18"/>
                <w:szCs w:val="24"/>
                <w:rtl w:val="true"/>
              </w:rPr>
              <w:t>)</w:t>
            </w:r>
          </w:p>
        </w:tc>
        <w:tc>
          <w:tcPr>
            <w:tcW w:w="8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דמיטרי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ורניצקי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מרעיו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הוקעה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אוכלוסייה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קשישים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הפעילו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ומתוחכמת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כבשת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באוכלוסייה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פנסיה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וחסכונות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שנצברו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שנשמרו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שנשמרו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בקניינם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בבטחונם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ובחופש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שנסחטו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אינטראקציה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לאבחנו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הנבדלים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במניינם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להזכיר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החיקוק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הרלבנטיות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שיוכלו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ליהנות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מהפיצוי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ערעור על גזר דינו של בית המשפט המחוזי בבאר שבע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השופטת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כהן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</w:t>
      </w:r>
      <w:hyperlink r:id="rId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51446-03-16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מיום </w:t>
      </w:r>
      <w:r>
        <w:rPr>
          <w:rFonts w:cs="Times New Roman" w:ascii="Times New Roman" w:hAnsi="Times New Roman"/>
        </w:rPr>
        <w:t>14.6.2017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במסגרתו הוטלו על המערער </w:t>
      </w:r>
      <w:r>
        <w:rPr>
          <w:rFonts w:cs="Times New Roman" w:ascii="Times New Roman" w:hAnsi="Times New Roman"/>
        </w:rPr>
        <w:t>44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והופעל עונש מאסר מותנה בן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חודשים במצטבר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סה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כ </w:t>
      </w:r>
      <w:r>
        <w:rPr>
          <w:rFonts w:cs="Times New Roman" w:ascii="Times New Roman" w:hAnsi="Times New Roman"/>
        </w:rPr>
        <w:t>52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והוא חוייב בתשלום פיצויים בסך של </w:t>
      </w:r>
      <w:r>
        <w:rPr>
          <w:rFonts w:cs="Times New Roman" w:ascii="Times New Roman" w:hAnsi="Times New Roman"/>
        </w:rPr>
        <w:t>50,000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והליכים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קודמים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במסגרת הסדר טיעון הוגש נגד המערער ונגד אלכסנדר קובלנקו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קובלנקו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כתב אישום בו הורשע המערער באחת עשרה עבירות של סחיטה באיומים לפי </w:t>
      </w:r>
      <w:hyperlink r:id="rId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428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סיפא ל</w:t>
      </w:r>
      <w:hyperlink r:id="rId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Times New Roman" w:hAnsi="Times New Roman" w:cs="Times New Roman"/>
          <w:rtl w:val="true"/>
        </w:rPr>
        <w:t xml:space="preserve"> התשל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ז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קובלנקו הורשע בחמש עבירות לפי </w:t>
      </w:r>
      <w:hyperlink r:id="rId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428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סיפא לחוק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עם קובלנקו נערך הסדר טיעון לעונש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אליו אתייחס בהמשך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עם המערער לא נערך הסדר טיעון לעונש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על פי עובדות כתב האישום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סמוך לינואר </w:t>
      </w:r>
      <w:r>
        <w:rPr>
          <w:rFonts w:cs="Times New Roman" w:ascii="Times New Roman" w:hAnsi="Times New Roman"/>
        </w:rPr>
        <w:t>2016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קשרו המערער ואחרת יחד עם גורמים עבריינים מחו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גורמים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קשר לסחוט כספים מקשישים דוברי רוסית המתגוררים בישראל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כחודש לאחר מכן הצטרף קובלנקו לקשר האמור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האחרת וקובלנקו בשיתוף פעולה עם גורמים מחו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 הטילו אימתם על קשישים שחלקם בשנות התשעים לחייהם ועקב כך שילמו להם הקשישים סכום כולל של כ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אלף 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אלף דולר 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1,200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יורו באחד עשרה מעשי סחיטה שונים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תכנית הסחיטה התבצעה כך שגורמים מחו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 התקשרו לקשישים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בידיעת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האחרת וקובלנקו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התייצגו באוזניהם כעורכי דין ורופאים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שמתקשרים בעניינו של קרוב משפחתו של הקשיש וטענו בכזב כי אותו קרוב היה מעורב בתאונה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שהוא נפגע ו</w:t>
      </w:r>
      <w:r>
        <w:rPr>
          <w:rFonts w:cs="Times New Roman" w:ascii="Times New Roman" w:hAnsi="Times New Roman"/>
          <w:rtl w:val="true"/>
        </w:rPr>
        <w:t>/</w:t>
      </w:r>
      <w:r>
        <w:rPr>
          <w:rFonts w:ascii="Times New Roman" w:hAnsi="Times New Roman" w:cs="Times New Roman"/>
          <w:rtl w:val="true"/>
        </w:rPr>
        <w:t>או שפגע באחרים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ולצורך טיפול רפואי דחוף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בו או בנפגע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צורך בתשלום כספים ואם הכספים לא ישולמו באופן מיידי תוגש תלונה במשטרה וקרוב משפחתם ייאסר למספר שנים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בחלק מהשיחות הושמעו לקשישים קולות של אנשים הזועקים לעזרה והוצג בפניהם מצג שווא שמדובר בקרוב משפחתם שהיה מעורב בתאונה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בחלק מהמקרים נאסר על הקשישים לנתק את השיחה או לפנות למשטרה ונאמר להם כי עליהם למסור הכספים לנציג שיישלח אליהם לצורך קבלת הכספים באופן דחוף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הנציגים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שהגיעו לקבל את הכספים מהקשישים היו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האחרת וקובלנקו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השלושה התחלקו ביניהם בכספים וחלק מהם שלחו לגורמים בחו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מקור הכספים שמסרו הקשישים במסגרת מעשי הסחיטה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 בא מקצבאות שונות וחסכונות שנצברו בעמל רב במשך שנים ארוכות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ביהמ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14.6.2017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גזר דין בעניינם של המערער וקובלנקו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נדון כאמור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44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לריצוי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הופעל לו מאסר על תנאי של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במצטבר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שסה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כ ירצה </w:t>
      </w:r>
      <w:r>
        <w:rPr>
          <w:rFonts w:cs="Times New Roman" w:ascii="Times New Roman" w:hAnsi="Times New Roman"/>
        </w:rPr>
        <w:t>52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דינו של קובלנקו נגזר בהתאם להסדר טיעון שנחתם עמו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לאחר שהפקיד פיצויים בסך של </w:t>
      </w:r>
      <w:r>
        <w:rPr>
          <w:rFonts w:cs="Times New Roman" w:ascii="Times New Roman" w:hAnsi="Times New Roman"/>
        </w:rPr>
        <w:t>45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אלף 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בהתייחסו לערכים המוגנים שנפגעו קבע ביהמ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עבירות הסחיטה באיומים פגעו באופן ניכר בקניינם הפרטי של הקשישים ובבטחונם האישי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הן הפיסי והן הנפשי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לענין נסיבות ביצוע העבירות ציין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אלו בוצעו לאחר תכנון מוקדם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שכלל איתור הקשישים וניצול חולשתם וגילם המבוגר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בחלק מהמקרים הכספים שנלקחו היו כספי פנסיה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כספים שנשמרו עבור בן משפחה ואף כספים שנשמרו עבור הוצאות לוויה וקבורה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לאחר שסקר את מדיניות הענישה הנוהגת ועונשים שהוטלו על מעורבים אחרים במסגרת פרשיה 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לרבות עונשים שהוטלו במסגרת הסדרי טיעון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ובהתחשב בעקרון אחידות הענישה ובשינויים המחויבים מהנסיבות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קבע ביהמ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ש שדינו של מי מהנאשמים שהפקיד פיצויים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כאן ועכשיו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צריך להיות שונה ולקולא ממי שאינו עושה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לאור הנסיבות המיוחדות של המקרה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גילם של הקשישים והרצון לפצותם מהר ככל שניתן כדי שיוכלו ליהנות מכספם בעודם בחיים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כל האמור קבע ביהמ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מתחם העונש בעניינו של המערער נע בין </w:t>
      </w:r>
      <w:r>
        <w:rPr>
          <w:rFonts w:cs="Times New Roman" w:ascii="Times New Roman" w:hAnsi="Times New Roman"/>
        </w:rPr>
        <w:t>33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 לחמש שנות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שנתן משקל לעברו הפלילי של המערער ולקיומו של מאסר מותנה מחד גיסא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ומאידך גיסא להודאתו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שייתרה העדת הקשישים בבית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מיקם את עונשו בשליש התחתון של המתחם וגזר את עונשו כאמור לעיל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 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גזר דינו של בית המשפט המחוזי החמיר עימו יתר על המידה וכי הוא סוטה מעקרון אחידות הענישה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לאור עונשים שנגזרו על מעורבים אחרים באותה פרשה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בייחוד עונשו של קובלנקו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עוד הוסיף וטען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העובדה שלא עלה בידו להפקיד פיצוי מפאת חסרון כיס אינה צריכה לעמוד לו לרועץ וכי התחשבות בנתון זה בגזירת העונש הינה בבחינת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קניית חירות בכסף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כך גם טען כי לא ניתן משקל להודאתו ולכך שחלקו היחסי בביצוע העבירות היה קטן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מאחר והיה מעורב פיזית בקבלת הכספים לידיו רק באחד מכל אותם </w:t>
      </w: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אישומים בהם הורשע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להבדיל מקובלנקו שהיה מעורב פיסית בקבלת הכספים במספר מקרים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בתשובתו ביקש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המשיבה לדחות את הערעור בהיות עונשו של המערער מתון וקל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שהושפע לקולא דווקא מהעונשים שנגזרו על מעורבים אחרים באותה פרשה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שהדגיש כי עמדת המדינה לעונש בעניינם של כלל המעורבים בפרשה 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נבעה מרצונה לפצות את הקשישים במהרה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ולשם כך נכונה המדינה להקל עם כל מעורב שהחזיר כספים ופיצה את הקשישים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ואלמלא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עונשו של המערער יכול היה להיות חמור יותר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כן עמד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המשיבה על ההבחנות שעשה ביהמ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קמא בין עניינו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שלא החזיר מאום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לחלקו של קובלנקו וחלקם של מעורבים אחרים בתיקים אחרים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אין דרכה של ערכאת הערעור להתערב בעונש שהטילה הערכאה הדיונית אלא במקרים חריגים שבהם נפלה טעות מהותית בגזר הדין או שהעונש שהוטל סוטה סטייה ברורה ממדיניות הענישה הראויה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ראו למשל </w:t>
      </w:r>
      <w:hyperlink r:id="rId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9097/05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ורשילובסקי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לא פורסם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3.7.2006</w:t>
      </w:r>
      <w:r>
        <w:rPr>
          <w:rFonts w:cs="Times New Roman" w:ascii="Times New Roman" w:hAnsi="Times New Roman"/>
          <w:rtl w:val="true"/>
        </w:rPr>
        <w:t xml:space="preserve">); </w:t>
      </w:r>
      <w:hyperlink r:id="rId1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3091/08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טרייגר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לא פורסם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29.1.2009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איננו סבורים כי העונש שהוטל חמור יתר על המידה שסוטה ממדיניות הענישה הראויה המצדיקה התערבות בו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המעשים שביצע המערער יחד עם חבר מרעיו הינם מעשים בזויים ושפלים המחייבים הוקעה ותגובה עונשית הולמת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וחבריו בחרו את קורבנותיהם מתוך אוכלוסייה מוחלשת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קשישים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לעיתים אף קשישים מופלגים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הפעילו נגדם מערכת סחיטה מתוכננת ומתוחכמת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וגזלו מהם את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כבשת הרש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הפגיעה באוכלוסייה מוחלשת במיוחד לאור מקור הכספים שנגזלו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כספי פנסיה וחסכונות שנצברו שקל לשקל לאורך זמן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כספים שנשמרו עבור בן או בת לעת הצורך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ואף כאלו שנשמרו לכבוד אחרון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מהווה פגיעה ניכרת בקניינם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בבטחונם האישי ובחופש רצונם של הקשישים שנסחטו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אין בטענת המערער כי לא היה לו מפגש או אינטראקציה עם מי מהקשישים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כדי לאבחנו לקולא ממעורבים 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שהיתה להם אינטראקציה כזו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העובדה שהיה מעורב פיסית בקבלת כספים מידי הקשישים רק באחת מאותן </w:t>
      </w: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הזדמנויות בהן היה מעורב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איננה נסיבה מקלה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המערער הודה והורשע בכך שהיה חלק מקשר שנקשר בינו לבין אחרים לצורך הוצאתן לפועל של </w:t>
      </w: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עבירות סחיטה וכמתחייב מכך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הורשע המערער גם בעבירה של קשירת קשר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היה חלק מחבורה שפעלה בצוותא ושלכל אחד מהם חלק בביצוע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העובדה שהיה מעורב פיסית רק באחד המקרים בקבלת הכסף אין בה כדי להעלות או להוריד מחומרת מעשיו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גם הטענה לאפליה ולסטייה מעקרון אחידות הענישה דינה להידחות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הפנה את עיקר טיעוניו לפערים בענישה בינו לבין קובלנקו והעונשים שהוטלו על יתר המעורבים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שביהמ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המחוזי היה ער לעונשים שהוטלו בפרשיה זו והתייחס אליהם בגזר דינו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</w:t>
      </w:r>
      <w:hyperlink r:id="rId1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57320-02-16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אנטונוב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5.6.2017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שם הורשע נאשם ב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85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עבירות סחיטה לפי </w:t>
      </w:r>
      <w:hyperlink r:id="rId1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428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סיפא 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88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עבירות סחיטה לפי </w:t>
      </w:r>
      <w:hyperlink r:id="rId1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428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רישא ונדון בהסדר לשש וחצי שנות מאסר ופיצוי בסך </w:t>
      </w:r>
      <w:r>
        <w:rPr>
          <w:rFonts w:cs="Times New Roman" w:ascii="Times New Roman" w:hAnsi="Times New Roman"/>
        </w:rPr>
        <w:t>200,000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שמתוכם הופקדו </w:t>
      </w:r>
      <w:r>
        <w:rPr>
          <w:rFonts w:cs="Times New Roman" w:ascii="Times New Roman" w:hAnsi="Times New Roman"/>
        </w:rPr>
        <w:t>150,000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 כתנאי להסדר</w:t>
      </w:r>
      <w:r>
        <w:rPr>
          <w:rFonts w:cs="Times New Roman" w:ascii="Times New Roman" w:hAnsi="Times New Roman"/>
          <w:rtl w:val="true"/>
        </w:rPr>
        <w:t xml:space="preserve">; </w:t>
      </w:r>
      <w:hyperlink r:id="rId1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57310-02-16</w:t>
        </w:r>
      </w:hyperlink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מחוזי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לוגבינוב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18.1.2017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שם הורשע נאשם ב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21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עבירות סחיטה לפי 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428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סיפא ו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עבירות סחיטה לפי 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428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רישא ונדון בהסדר טיעון לארבע וחצי שנות מאסר ולפיצוי בסך </w:t>
      </w:r>
      <w:r>
        <w:rPr>
          <w:rFonts w:cs="Times New Roman" w:ascii="Times New Roman" w:hAnsi="Times New Roman"/>
        </w:rPr>
        <w:t>50,000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נאשם נוסף באותו תיק הורשע בעבירה של סיוע לסחיטה באיומים לפי 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428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סיפא ובשבע עבירות של סיוע לסחיטה באיומים לפי </w:t>
      </w:r>
      <w:hyperlink r:id="rId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428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רישא ונדון על פי ההסדר טיעון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ולפיצוי בסך </w:t>
      </w:r>
      <w:r>
        <w:rPr>
          <w:rFonts w:cs="Times New Roman" w:ascii="Times New Roman" w:hAnsi="Times New Roman"/>
        </w:rPr>
        <w:t>10,000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ככל שהדברים מכוונים לעונשו של קובלנקו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אעמוד על האבחנות בין השניים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הורשע ב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עבירות בעוד קובלנקו הורשע ב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עבירות בלבד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המערער הוא מיוזמי הקשר הראשונים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ואילו קובלנקו הצטרף לקשר רק חודש לאחר מכן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למערער עבר פלילי ומאסר על תנאי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בעוד קובלנקו נעדר עבר פלילי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המערער לא הפקיד מאום לטובת פיצוי למתלוננים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ואילו קובלנקו הפקיד סכום של </w:t>
      </w:r>
      <w:r>
        <w:rPr>
          <w:rFonts w:cs="Times New Roman" w:ascii="Times New Roman" w:hAnsi="Times New Roman"/>
        </w:rPr>
        <w:t>45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אלף 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שלטענת בא כוחו הינו הרבה מעבר לחלקו היחסי בכתב האישום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נסיבות אלו רלבנטיות למידת העונש ומצדיקות פער בענישה בין השניים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ביהמ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 גזר את דינו של המערער תוך התחשבות במדיניות הענישה הנוהגת בדרך כלל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ובפרט בעונשים שהוטלו באותו פרשיה ומבלי להתעלם מעקרון אחידות הענישה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הדבר נעשה תוך שמירה על יחס של שקילות בין המעורבים השונים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  נקבע על ידי בית משפט זה ב</w:t>
      </w:r>
      <w:hyperlink r:id="rId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2580/14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חסן נ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מדינת ישראל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23.9.2014</w:t>
      </w:r>
      <w:r>
        <w:rPr>
          <w:rFonts w:cs="Times New Roman" w:ascii="Times New Roman" w:hAnsi="Times New Roman"/>
          <w:rtl w:val="true"/>
        </w:rPr>
        <w:t>):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>
          <w:rFonts w:ascii="Times New Roman" w:hAnsi="Times New Roman" w:cs="Times New Roman"/>
        </w:rPr>
      </w:pP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בשמירה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שקילות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מבצעיהם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הנבדלים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במניינם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חומרתם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בנסיבותיו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המבצע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כאן המקום להזכיר כי גזירת הדין אינה תוצר של נוסחה מתמטית מדויקת הנגזרת רק ממספר העבירות והוראות החיקוק הרלבנטיות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בגזירת הדין מעורבים שיקולים שונים שלעיתים לאחד מהם ניתן משקל יתר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 בענייננו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המדינה ובית המשפט בעקבותיה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מצאו ליתן משקל יתר לעקרון פיצוי נפגעי עבירות הסחיטה בהקדם האפשרי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בהתחשב בגילם של הקשישים הנפגעים והרצון להיטיב נזקם בעודם בחיים כך שיוכלו ליהנות מהפיצוי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איננו סבורים כי נפלה טעות מלפני בית המשפט שנתן לשיקול זה משקל מכריע בגזירת הדין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טענתו של הסניגור כי הקלה שניתנת למי ששילם פיצוי ונמנעת ממי שאין ידו משגת לשלם פיצוי כמוה 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קניית צדק בכסף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טוב לה שלא היתה מועלית כלל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נזכיר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בענייננו הפיצוי אינו אלא החזרת כספים שנגזלו מהקשישים בבחינת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הוצאת בלעו של הגזלן מפיו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ושלא נועד להעשיר את כיסו של הנפגע אלא להחזיר המצב לקדמותו ואין בינה לטיעון מרחיק הלכת של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קניית צדק בכסף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ולא כלום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לאור כל האמור לעיל לא מצאנו להתערב בגזר דינו של בית המשפט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הערעור נדחה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eastAsia="Arial TUR;Arial"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ניתן היום</w:t>
      </w:r>
      <w:r>
        <w:rPr>
          <w:rFonts w:cs="Arial TUR;Arial" w:ascii="Arial TUR;Arial" w:hAnsi="Arial TUR;Arial"/>
          <w:rtl w:val="true"/>
        </w:rPr>
        <w:t>, ‏</w:t>
      </w:r>
      <w:r>
        <w:rPr>
          <w:rFonts w:ascii="Arial TUR;Arial" w:hAnsi="Arial TUR;Arial" w:cs="Arial TUR;Arial"/>
          <w:rtl w:val="true"/>
        </w:rPr>
        <w:t>כ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>ו בשבט התשע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 xml:space="preserve">ח </w:t>
      </w:r>
      <w:r>
        <w:rPr>
          <w:rFonts w:cs="Arial TUR;Arial" w:ascii="Arial TUR;Arial" w:hAnsi="Arial TUR;Arial"/>
          <w:rtl w:val="true"/>
        </w:rPr>
        <w:t>(‏</w:t>
      </w:r>
      <w:r>
        <w:rPr>
          <w:rFonts w:cs="Arial TUR;Arial" w:ascii="Arial TUR;Arial" w:hAnsi="Arial TUR;Arial"/>
        </w:rPr>
        <w:t>11.2.2018</w:t>
      </w:r>
      <w:r>
        <w:rPr>
          <w:rFonts w:cs="Arial TUR;Arial" w:ascii="Arial TUR;Arial" w:hAnsi="Arial TUR;Arial"/>
          <w:rtl w:val="true"/>
        </w:rPr>
        <w:t xml:space="preserve">). 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bookmarkStart w:id="16" w:name="Start_Write"/>
      <w:bookmarkEnd w:id="16"/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17070560</w:t>
      </w:r>
      <w:r>
        <w:rPr>
          <w:sz w:val="16"/>
          <w:rtl w:val="true"/>
        </w:rPr>
        <w:t>_</w:t>
      </w:r>
      <w:r>
        <w:rPr>
          <w:sz w:val="16"/>
        </w:rPr>
        <w:t>Q02.doc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54678313-7056/17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7056/17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איוון מנדריצ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נקו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05193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28" TargetMode="External"/><Relationship Id="rId5" Type="http://schemas.openxmlformats.org/officeDocument/2006/relationships/hyperlink" Target="http://www.nevo.co.il/case/21051931" TargetMode="External"/><Relationship Id="rId6" Type="http://schemas.openxmlformats.org/officeDocument/2006/relationships/hyperlink" Target="http://www.nevo.co.il/law/70301/42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28" TargetMode="External"/><Relationship Id="rId9" Type="http://schemas.openxmlformats.org/officeDocument/2006/relationships/hyperlink" Target="http://www.nevo.co.il/case/5838067" TargetMode="External"/><Relationship Id="rId10" Type="http://schemas.openxmlformats.org/officeDocument/2006/relationships/hyperlink" Target="http://www.nevo.co.il/case/5875466" TargetMode="External"/><Relationship Id="rId11" Type="http://schemas.openxmlformats.org/officeDocument/2006/relationships/hyperlink" Target="http://www.nevo.co.il/case/20996170" TargetMode="External"/><Relationship Id="rId12" Type="http://schemas.openxmlformats.org/officeDocument/2006/relationships/hyperlink" Target="http://www.nevo.co.il/law/70301/428" TargetMode="External"/><Relationship Id="rId13" Type="http://schemas.openxmlformats.org/officeDocument/2006/relationships/hyperlink" Target="http://www.nevo.co.il/law/70301/428" TargetMode="External"/><Relationship Id="rId14" Type="http://schemas.openxmlformats.org/officeDocument/2006/relationships/hyperlink" Target="http://www.nevo.co.il/case/20996165" TargetMode="External"/><Relationship Id="rId15" Type="http://schemas.openxmlformats.org/officeDocument/2006/relationships/hyperlink" Target="http://www.nevo.co.il/law/70301/428" TargetMode="External"/><Relationship Id="rId16" Type="http://schemas.openxmlformats.org/officeDocument/2006/relationships/hyperlink" Target="http://www.nevo.co.il/law/70301/428" TargetMode="External"/><Relationship Id="rId17" Type="http://schemas.openxmlformats.org/officeDocument/2006/relationships/hyperlink" Target="http://www.nevo.co.il/law/70301/428" TargetMode="External"/><Relationship Id="rId18" Type="http://schemas.openxmlformats.org/officeDocument/2006/relationships/hyperlink" Target="http://www.nevo.co.il/law/70301/428" TargetMode="External"/><Relationship Id="rId19" Type="http://schemas.openxmlformats.org/officeDocument/2006/relationships/hyperlink" Target="http://www.nevo.co.il/case/13104267" TargetMode="External"/><Relationship Id="rId20" Type="http://schemas.openxmlformats.org/officeDocument/2006/relationships/hyperlink" Target="http://www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2018-02-13T11:06:00Z</dcterms:created>
  <dc:creator> </dc:creator>
  <dc:description/>
  <cp:keywords/>
  <dc:language>en-IL</dc:language>
  <cp:lastModifiedBy>orly</cp:lastModifiedBy>
  <cp:lastPrinted>2009-02-15T11:12:00Z</cp:lastPrinted>
  <dcterms:modified xsi:type="dcterms:W3CDTF">2018-02-13T11:06:00Z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איוון מנדריצ'נקו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21051931:2;5838067;5875466;20996170;20996165;13104267</vt:lpwstr>
  </property>
  <property fmtid="{D5CDD505-2E9C-101B-9397-08002B2CF9AE}" pid="9" name="CITY">
    <vt:lpwstr/>
  </property>
  <property fmtid="{D5CDD505-2E9C-101B-9397-08002B2CF9AE}" pid="10" name="DATE">
    <vt:lpwstr>20180211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קרא;ד' מינץ;א' חיות</vt:lpwstr>
  </property>
  <property fmtid="{D5CDD505-2E9C-101B-9397-08002B2CF9AE}" pid="14" name="LAWLISTTMP1">
    <vt:lpwstr>70301/428:8</vt:lpwstr>
  </property>
  <property fmtid="{D5CDD505-2E9C-101B-9397-08002B2CF9AE}" pid="15" name="LAWYER">
    <vt:lpwstr>אופיר טישלר;דמיטרי ורניצקי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סחיטה באיומים</vt:lpwstr>
  </property>
  <property fmtid="{D5CDD505-2E9C-101B-9397-08002B2CF9AE}" pid="51" name="NOSE33">
    <vt:lpwstr>אחדות הענישה</vt:lpwstr>
  </property>
  <property fmtid="{D5CDD505-2E9C-101B-9397-08002B2CF9AE}" pid="52" name="NOSE34">
    <vt:lpwstr>שיקולי 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17039;16809;12547;15506</vt:lpwstr>
  </property>
  <property fmtid="{D5CDD505-2E9C-101B-9397-08002B2CF9AE}" pid="59" name="PADIDATE">
    <vt:lpwstr>20180213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7056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410120180211</vt:lpwstr>
  </property>
  <property fmtid="{D5CDD505-2E9C-101B-9397-08002B2CF9AE}" pid="69" name="TYPE_N_DATE">
    <vt:lpwstr>41020180211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