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7069/20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57474-03-19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לקח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10.12.2021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הדאיה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הושתו על המערער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הודאתו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אלימות ונשק על רקע סכסוך משפחתי בין משפחת המערער לבין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השית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על המערער עונש של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הודאתו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אלימות ונשק על רקע סכסוך משפחתי בין משפחת המערער לבין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 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בנקל 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אחת 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החומרה היתרה שבעבירות אלימות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חבלה בכוונה מחמירה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הפגיעה הקשה בזכותו של אדם לשלמות 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בכבודו העצמי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ובתחושת הביטחון האישי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זו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יש ליתן ביטוי לחומרה שיש לראות בהתנהגות אלימה אשר באה כניסיון לפתירת סכסוכים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להטיל ענישה ממשית ומוחשית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המרתיעה את הציבור מפני נקיטת אמצעים בדרכים אלימות על פני ההליכה בדרך הנועם והשלום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נטל חלק משמעותי במסכת אלימה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 ארב עם אחרים למתלונן על מנת לתוקפו ואשר סופה בחילופי יריות ברחובה של 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סכסוך משפחתי בין משפחת המערער לבין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נמצא כי יש להקל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המשווה בין עונשו לבין עונשיהם של יתר המעורבים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 של המערער במעשים היה רב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לנוכח העובדה כי הוא נשא עמו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שיתר המעורבים ידעו על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המארב בוצע בסמוך לביתו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הפער בין חלקו של המערער באירועים לבין יתר הנאשמים אף בא לידי ביטוי בעובדה כי הורשע בעבירות נשק ובעבירת אלימות חמורה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נתון המצדיק בפני עצמו פער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יתירה מזאת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הלך כברת דרך עם המערער כאשר הקל עימו לאור נסיבותיו האישיות והמשפחתיות המיוחדות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להחלטה שלא להעמיד לדין את המתלונן ולא נמצא מקום להקלה נוספת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לא חרג מסמכותו עת הורה על עריכת תסקיר מטעם שירות המבחן מבלי שהתבקש לכך על 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משנקבע עונשו של המערער ברף התחתון של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לומר כי ניתן משקל מופרז לתסקיר שירות המבחן שהוגש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</w:t>
      </w:r>
      <w:r>
        <w:rPr>
          <w:rtl w:val="true"/>
        </w:rPr>
        <w:t>נו ערעור על גזר דינו של בית המשפט המחוזי ירושלים 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57474-03-19</w:t>
        </w:r>
      </w:hyperlink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tl w:val="true"/>
        </w:rPr>
        <w:t xml:space="preserve">), </w:t>
      </w:r>
      <w:r>
        <w:rPr>
          <w:rtl w:val="true"/>
        </w:rPr>
        <w:t xml:space="preserve">מיום </w:t>
      </w:r>
      <w:r>
        <w:rPr/>
        <w:t>2.9.2020</w:t>
      </w:r>
      <w:r>
        <w:rPr>
          <w:rtl w:val="true"/>
        </w:rPr>
        <w:t xml:space="preserve">, </w:t>
      </w:r>
      <w:r>
        <w:rPr>
          <w:rtl w:val="true"/>
        </w:rPr>
        <w:t xml:space="preserve">בגדרו השית בית משפט קמא על המערער עונש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אלימות ונשק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ושלושה אחרים החליטו לתקוף את המתלונן ולגרום לו לחבלות</w:t>
      </w:r>
      <w:r>
        <w:rPr>
          <w:rtl w:val="true"/>
        </w:rPr>
        <w:t xml:space="preserve">, </w:t>
      </w:r>
      <w:r>
        <w:rPr>
          <w:rtl w:val="true"/>
        </w:rPr>
        <w:t>על רקע חשד שהתעורר בקרבם כי המתלונן אחראי לדקירת המערער על ידי אחר</w:t>
      </w:r>
      <w:r>
        <w:rPr>
          <w:rtl w:val="true"/>
        </w:rPr>
        <w:t xml:space="preserve">, </w:t>
      </w:r>
      <w:r>
        <w:rPr>
          <w:rtl w:val="true"/>
        </w:rPr>
        <w:t>להצתת רכבו של אחיו</w:t>
      </w:r>
      <w:r>
        <w:rPr>
          <w:rtl w:val="true"/>
        </w:rPr>
        <w:t xml:space="preserve">, </w:t>
      </w:r>
      <w:r>
        <w:rPr>
          <w:rtl w:val="true"/>
        </w:rPr>
        <w:t>ולהצתת חנות שבבעלות אחד האחרים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ארבו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משהגיע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ונצמד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העורקים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ובגפיו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הורשע ביום </w:t>
      </w:r>
      <w:r>
        <w:rPr/>
        <w:t>2.9.2020</w:t>
      </w:r>
      <w:r>
        <w:rPr>
          <w:rtl w:val="true"/>
        </w:rPr>
        <w:t xml:space="preserve"> </w:t>
      </w:r>
      <w:r>
        <w:rPr>
          <w:rtl w:val="true"/>
        </w:rPr>
        <w:t>על פי הודאתו במסגרת הסדר טיעון בעבירות שיוחסו לו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, "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ומהנספח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והמשיבה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דחה בגזר דינו את טענות המערער לאכיפה בררנית</w:t>
      </w:r>
      <w:r>
        <w:rPr>
          <w:rtl w:val="true"/>
        </w:rPr>
        <w:t xml:space="preserve">, </w:t>
      </w:r>
      <w:r>
        <w:rPr>
          <w:rtl w:val="true"/>
        </w:rPr>
        <w:t>בשל החלטת המשיבה שלא להעמיד לדין את המתלונן בגין החבלה שגרם למערער ולאחר</w:t>
      </w:r>
      <w:r>
        <w:rPr>
          <w:rtl w:val="true"/>
        </w:rPr>
        <w:t xml:space="preserve">. </w:t>
      </w:r>
      <w:r>
        <w:rPr>
          <w:rtl w:val="true"/>
        </w:rPr>
        <w:t>נקבע כי החלטה זו נסמכת על שיקולים ענייניים</w:t>
      </w:r>
      <w:r>
        <w:rPr>
          <w:rtl w:val="true"/>
        </w:rPr>
        <w:t xml:space="preserve">, </w:t>
      </w:r>
      <w:r>
        <w:rPr>
          <w:rtl w:val="true"/>
        </w:rPr>
        <w:t>ובהן ידיעה מודיעינית אשר יש בה כדי לסייע להגנת המתלונן</w:t>
      </w:r>
      <w:r>
        <w:rPr>
          <w:rtl w:val="true"/>
        </w:rPr>
        <w:t xml:space="preserve">, </w:t>
      </w:r>
      <w:r>
        <w:rPr>
          <w:rtl w:val="true"/>
        </w:rPr>
        <w:t>והצורך להותיר את זהות מוסר הידיעה חסויה מפאת הגנה על שלום הציבור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העיר בית המשפט המחוזי כי יש בהחלטה זו של המשיבה כדי להוות שיקול לקולא בגזירת עונשו של המערער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הערכים המוגנים שנפגעו כתוצאה מביצוע העבירה</w:t>
      </w:r>
      <w:r>
        <w:rPr>
          <w:rtl w:val="true"/>
        </w:rPr>
        <w:t xml:space="preserve">, </w:t>
      </w:r>
      <w:r>
        <w:rPr>
          <w:rtl w:val="true"/>
        </w:rPr>
        <w:t>ובכלל זה ההגנה על שלמות הגוף</w:t>
      </w:r>
      <w:r>
        <w:rPr>
          <w:rtl w:val="true"/>
        </w:rPr>
        <w:t xml:space="preserve">, </w:t>
      </w:r>
      <w:r>
        <w:rPr>
          <w:rtl w:val="true"/>
        </w:rPr>
        <w:t>ההגנה על שלום הציבור</w:t>
      </w:r>
      <w:r>
        <w:rPr>
          <w:rtl w:val="true"/>
        </w:rPr>
        <w:t xml:space="preserve">, </w:t>
      </w:r>
      <w:r>
        <w:rPr>
          <w:rtl w:val="true"/>
        </w:rPr>
        <w:t>ומדיניות הענישה הנוהגת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התייחס בית המשפט המחוזי לתכנון שקדם לביצוע העבירות</w:t>
      </w:r>
      <w:r>
        <w:rPr>
          <w:rtl w:val="true"/>
        </w:rPr>
        <w:t xml:space="preserve">; </w:t>
      </w:r>
      <w:r>
        <w:rPr>
          <w:rtl w:val="true"/>
        </w:rPr>
        <w:t>לנזק הפוטנציאלי הטמון בשימוש בנשק חם ברחובה של עיר</w:t>
      </w:r>
      <w:r>
        <w:rPr>
          <w:rtl w:val="true"/>
        </w:rPr>
        <w:t xml:space="preserve">; </w:t>
      </w:r>
      <w:r>
        <w:rPr>
          <w:rtl w:val="true"/>
        </w:rPr>
        <w:t>ולחלקו המשמעותי של המערער באירוע</w:t>
      </w:r>
      <w:r>
        <w:rPr>
          <w:rtl w:val="true"/>
        </w:rPr>
        <w:t xml:space="preserve">. </w:t>
      </w:r>
      <w:r>
        <w:rPr>
          <w:rtl w:val="true"/>
        </w:rPr>
        <w:t>בהקשר אחרון זה הודגש כי המארב למתלונן בוצע בסמוך לבית המערער</w:t>
      </w:r>
      <w:r>
        <w:rPr>
          <w:rtl w:val="true"/>
        </w:rPr>
        <w:t xml:space="preserve">, </w:t>
      </w:r>
      <w:r>
        <w:rPr>
          <w:rtl w:val="true"/>
        </w:rPr>
        <w:t>אשר נשא עמו נשק ללא ידיעת שותפיו למעשים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בגזירת העונש בגדרי המתחם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לחומרא את החשיבות בהרתעת הציבור מפני מעשים מעין אלו</w:t>
      </w:r>
      <w:r>
        <w:rPr>
          <w:rtl w:val="true"/>
        </w:rPr>
        <w:t xml:space="preserve">; </w:t>
      </w:r>
      <w:r>
        <w:rPr>
          <w:rtl w:val="true"/>
        </w:rPr>
        <w:t>את התרשמות שירות המבחן כי קיים סיכון בינוני</w:t>
      </w:r>
      <w:r>
        <w:rPr>
          <w:rtl w:val="true"/>
        </w:rPr>
        <w:t>-</w:t>
      </w:r>
      <w:r>
        <w:rPr>
          <w:rtl w:val="true"/>
        </w:rPr>
        <w:t>גבוה להישנות התנהגות אלימה מצד המערער</w:t>
      </w:r>
      <w:r>
        <w:rPr>
          <w:rtl w:val="true"/>
        </w:rPr>
        <w:t xml:space="preserve">; </w:t>
      </w:r>
      <w:r>
        <w:rPr>
          <w:rtl w:val="true"/>
        </w:rPr>
        <w:t>ואת עברו הפלילי</w:t>
      </w:r>
      <w:r>
        <w:rPr>
          <w:rtl w:val="true"/>
        </w:rPr>
        <w:t xml:space="preserve">, </w:t>
      </w:r>
      <w:r>
        <w:rPr>
          <w:rtl w:val="true"/>
        </w:rPr>
        <w:t>הכולל חמש הרשעות קודמות</w:t>
      </w:r>
      <w:r>
        <w:rPr>
          <w:rtl w:val="true"/>
        </w:rPr>
        <w:t xml:space="preserve">, </w:t>
      </w:r>
      <w:r>
        <w:rPr>
          <w:rtl w:val="true"/>
        </w:rPr>
        <w:t>האחרונה שבהן בגין עבירת אלימות כלפי בת זוג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מכלול שיקולים אלו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יש לגזור את עונשו של המערער ברף התחתון של המתחם</w:t>
      </w:r>
      <w:r>
        <w:rPr>
          <w:rtl w:val="true"/>
        </w:rPr>
        <w:t xml:space="preserve">, </w:t>
      </w:r>
      <w:r>
        <w:rPr>
          <w:rtl w:val="true"/>
        </w:rPr>
        <w:t xml:space="preserve">והשית עליו עונשים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אלימות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 xml:space="preserve">עבירה בנשק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 xml:space="preserve">או עבירה של ירי מנשק חם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העונשין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אלימות מסוג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", </w:t>
      </w:r>
      <w:r>
        <w:rPr>
          <w:rtl w:val="true"/>
        </w:rPr>
        <w:t>מלבד עבירת 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עבירת נשק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מסוג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 xml:space="preserve">או עבירה של ירי מנשק חם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העונשין מסוג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החמיר בעונשו יתר על המידה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בהתחשב בעונשיהם של יתר המעורבים בתיק</w:t>
      </w:r>
      <w:r>
        <w:rPr>
          <w:rtl w:val="true"/>
        </w:rPr>
        <w:t xml:space="preserve">, </w:t>
      </w:r>
      <w:r>
        <w:rPr>
          <w:rtl w:val="true"/>
        </w:rPr>
        <w:t>אף שהמעשים מושא כתב האישום בוצעו בצוותא</w:t>
      </w:r>
      <w:r>
        <w:rPr>
          <w:rtl w:val="true"/>
        </w:rPr>
        <w:t xml:space="preserve">; </w:t>
      </w:r>
      <w:r>
        <w:rPr>
          <w:rtl w:val="true"/>
        </w:rPr>
        <w:t>וכן לנוכח העובדה כי המתלונן לא הועמד לדין בגין חלקו באירוע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בדיון לפנינו טענה באת כוח המשיבה כי יש לדחות את הערעור לנוכח היותו דומיננטי באירוע</w:t>
      </w:r>
      <w:r>
        <w:rPr>
          <w:rtl w:val="true"/>
        </w:rPr>
        <w:t xml:space="preserve">, </w:t>
      </w:r>
      <w:r>
        <w:rPr>
          <w:rtl w:val="true"/>
        </w:rPr>
        <w:t>באופן המצדיק לשיטתה אף ענישה חמורה מזו שנגזרה עליו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הקל באופן משמעותי עם המערער בשל נסיבותיו האישיות ובשים לב להחלטה שלא להעמיד לדין את המתלונן בשל חלקו באירוע </w:t>
      </w:r>
      <w:r>
        <w:rPr>
          <w:rtl w:val="true"/>
        </w:rPr>
        <w:softHyphen/>
        <w:t>–</w:t>
      </w:r>
      <w:r>
        <w:rPr>
          <w:rtl w:val="true"/>
        </w:rPr>
        <w:t xml:space="preserve"> </w:t>
      </w:r>
      <w:r>
        <w:rPr>
          <w:rtl w:val="true"/>
        </w:rPr>
        <w:t>וממילא אין מקום להקלה נוספת 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להסלמתו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לשותפיו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יוער כי ביום </w:t>
      </w:r>
      <w:r>
        <w:rPr/>
        <w:t>8.12.2020</w:t>
      </w:r>
      <w:r>
        <w:rPr>
          <w:rtl w:val="true"/>
        </w:rPr>
        <w:t xml:space="preserve">, </w:t>
      </w:r>
      <w:r>
        <w:rPr>
          <w:rtl w:val="true"/>
        </w:rPr>
        <w:t>הוגש לעיוננו תסקיר משלים מטעם שירות המבחן בעניינו של המערער</w:t>
      </w:r>
      <w:r>
        <w:rPr>
          <w:rtl w:val="true"/>
        </w:rPr>
        <w:t xml:space="preserve">. </w:t>
      </w:r>
      <w:r>
        <w:rPr>
          <w:rtl w:val="true"/>
        </w:rPr>
        <w:t>כעולה מהתסקיר המשלים</w:t>
      </w:r>
      <w:r>
        <w:rPr>
          <w:rtl w:val="true"/>
        </w:rPr>
        <w:t xml:space="preserve">, </w:t>
      </w:r>
      <w:r>
        <w:rPr>
          <w:rtl w:val="true"/>
        </w:rPr>
        <w:t>המערער שולב בטיפול במסגרת מאסרו</w:t>
      </w:r>
      <w:r>
        <w:rPr>
          <w:rtl w:val="true"/>
        </w:rPr>
        <w:t xml:space="preserve">, </w:t>
      </w:r>
      <w:r>
        <w:rPr>
          <w:rtl w:val="true"/>
        </w:rPr>
        <w:t>בו הוא משתף פעולה ונמצא בשלב התחלתי של הטיפול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שירות המבחן התרשם כי המערער מבטא עמדות </w:t>
      </w:r>
      <w:r>
        <w:rPr>
          <w:rtl w:val="true"/>
        </w:rPr>
        <w:t>"</w:t>
      </w:r>
      <w:r>
        <w:rPr>
          <w:rtl w:val="true"/>
        </w:rPr>
        <w:t>קורבניות</w:t>
      </w:r>
      <w:r>
        <w:rPr>
          <w:rtl w:val="true"/>
        </w:rPr>
        <w:t xml:space="preserve">" </w:t>
      </w:r>
      <w:r>
        <w:rPr>
          <w:rtl w:val="true"/>
        </w:rPr>
        <w:t>ונוטל אחריות חלקית בלבד למעשיו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לא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חר שעיי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נתי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בגזר דינו של בית משפט קמא ושקל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תי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את טיעוני הצדדים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בא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תי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לכלל מסקנה כי דין הערעור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 בנקל תתערב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12.7.2018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החריגים</w:t>
      </w:r>
      <w:r>
        <w:rPr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אחת עמד בית משפט זה על החומרה היתרה שבעבירות אלימות בכלל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ובעבירה</w:t>
      </w:r>
      <w:r>
        <w:rPr>
          <w:rtl w:val="true"/>
        </w:rPr>
        <w:t xml:space="preserve"> של חבלה בכוונה מחמירה בפרט</w:t>
      </w:r>
      <w:r>
        <w:rPr>
          <w:rtl w:val="true"/>
        </w:rPr>
        <w:t xml:space="preserve">, </w:t>
      </w:r>
      <w:r>
        <w:rPr>
          <w:rtl w:val="true"/>
        </w:rPr>
        <w:t>לאור הפגיעה הקשה בזכותו של אדם לשלמות גופו</w:t>
      </w:r>
      <w:r>
        <w:rPr>
          <w:rtl w:val="true"/>
        </w:rPr>
        <w:t xml:space="preserve">, </w:t>
      </w:r>
      <w:r>
        <w:rPr>
          <w:rtl w:val="true"/>
        </w:rPr>
        <w:t>בכבודו העצמי</w:t>
      </w:r>
      <w:r>
        <w:rPr>
          <w:rtl w:val="true"/>
        </w:rPr>
        <w:t xml:space="preserve">, </w:t>
      </w:r>
      <w:r>
        <w:rPr>
          <w:rtl w:val="true"/>
        </w:rPr>
        <w:t xml:space="preserve">ובתחושת הביטחון האישי שלו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בורגרקאר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18.2.2020</w:t>
      </w:r>
      <w:r>
        <w:rPr>
          <w:rtl w:val="true"/>
        </w:rPr>
        <w:t xml:space="preserve">)). </w:t>
      </w:r>
      <w:r>
        <w:rPr>
          <w:rtl w:val="true"/>
        </w:rPr>
        <w:t>לא זו בלבד</w:t>
      </w:r>
      <w:r>
        <w:rPr>
          <w:rtl w:val="true"/>
        </w:rPr>
        <w:t xml:space="preserve">, </w:t>
      </w:r>
      <w:r>
        <w:rPr>
          <w:rtl w:val="true"/>
        </w:rPr>
        <w:t>אלא יש ליתן ביטוי לחומרה שיש לראות בהתנהגות אלימה אשר באה כניסיון לפתירת סכסוכים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ראוי להטיל ענישה ממשית ומוחשית</w:t>
      </w:r>
      <w:r>
        <w:rPr>
          <w:rtl w:val="true"/>
        </w:rPr>
        <w:t xml:space="preserve">, </w:t>
      </w:r>
      <w:r>
        <w:rPr>
          <w:rtl w:val="true"/>
        </w:rPr>
        <w:t>המרתיעה את הציבור מפני נקיטת אמצעים בדרכים אלימות על פני ההליכה בדרך הנועם והשלום</w:t>
      </w:r>
      <w:r>
        <w:rPr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hyperlink r:id="rId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4454/19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color w:val="000000"/>
          <w:sz w:val="28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sz w:val="28"/>
          <w:rtl w:val="true"/>
        </w:rPr>
        <w:t xml:space="preserve">בפסקה </w:t>
      </w:r>
      <w:r>
        <w:rPr>
          <w:color w:val="000000"/>
          <w:sz w:val="28"/>
        </w:rPr>
        <w:t>26</w:t>
      </w:r>
      <w:r>
        <w:rPr>
          <w:color w:val="000000"/>
          <w:sz w:val="28"/>
          <w:rtl w:val="true"/>
        </w:rPr>
        <w:t xml:space="preserve"> (</w:t>
      </w:r>
      <w:r>
        <w:rPr>
          <w:color w:val="000000"/>
          <w:sz w:val="28"/>
        </w:rPr>
        <w:t>30.7.2020</w:t>
      </w:r>
      <w:r>
        <w:rPr>
          <w:color w:val="000000"/>
          <w:sz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המערער נטל חלק משמעותי במסכת אלימה</w:t>
      </w:r>
      <w:r>
        <w:rPr>
          <w:rtl w:val="true"/>
        </w:rPr>
        <w:t xml:space="preserve">, </w:t>
      </w:r>
      <w:r>
        <w:rPr>
          <w:rtl w:val="true"/>
        </w:rPr>
        <w:t>בה ארב עם אחרים למתלונן על מנת לתוקפו ואשר סופה בחילופי יריות ברחובה של עיר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על רקע סכסוך משפחתי בין משפחת המערער לבין המתלונן</w:t>
      </w:r>
      <w:r>
        <w:rPr>
          <w:rtl w:val="true"/>
        </w:rPr>
        <w:t xml:space="preserve">. </w:t>
      </w:r>
      <w:r>
        <w:rPr>
          <w:rtl w:val="true"/>
        </w:rPr>
        <w:t>המערער לא רק השתתף ב</w:t>
      </w:r>
      <w:r>
        <w:rPr>
          <w:rtl w:val="true"/>
        </w:rPr>
        <w:t>"</w:t>
      </w:r>
      <w:r>
        <w:rPr>
          <w:rtl w:val="true"/>
        </w:rPr>
        <w:t>מצוד</w:t>
      </w:r>
      <w:r>
        <w:rPr>
          <w:rtl w:val="true"/>
        </w:rPr>
        <w:t xml:space="preserve">" </w:t>
      </w:r>
      <w:r>
        <w:rPr>
          <w:rtl w:val="true"/>
        </w:rPr>
        <w:t>אחר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אלא אף הצטייד מבעוד מועד בנשק </w:t>
      </w:r>
      <w:r>
        <w:rPr>
          <w:rtl w:val="true"/>
        </w:rPr>
        <w:t>–</w:t>
      </w:r>
      <w:r>
        <w:rPr>
          <w:rtl w:val="true"/>
        </w:rPr>
        <w:t xml:space="preserve"> באופן שהביא להסלמת האירוע </w:t>
      </w:r>
      <w:r>
        <w:rPr>
          <w:rtl w:val="true"/>
        </w:rPr>
        <w:t>–</w:t>
      </w:r>
      <w:r>
        <w:rPr>
          <w:rtl w:val="true"/>
        </w:rPr>
        <w:t xml:space="preserve"> בלי ששותפיו לעבירה ידעו על כך</w:t>
      </w:r>
      <w:r>
        <w:rPr>
          <w:rtl w:val="true"/>
        </w:rPr>
        <w:t xml:space="preserve">, </w:t>
      </w:r>
      <w:r>
        <w:rPr>
          <w:rtl w:val="true"/>
        </w:rPr>
        <w:t>תוך שגרם לחבלות קשות למתלונן</w:t>
      </w:r>
      <w:r>
        <w:rPr>
          <w:rtl w:val="true"/>
        </w:rPr>
        <w:t xml:space="preserve">. </w:t>
      </w:r>
      <w:r>
        <w:rPr>
          <w:rtl w:val="true"/>
        </w:rPr>
        <w:t>יודגש כי</w:t>
      </w:r>
      <w:r>
        <w:rPr>
          <w:rtl w:val="true"/>
        </w:rPr>
        <w:t xml:space="preserve">, </w:t>
      </w:r>
      <w:r>
        <w:rPr>
          <w:rtl w:val="true"/>
        </w:rPr>
        <w:t>פוטנציאל הנזק שיכול היה להיגרם גדול אף יותר ומעשי המערער עלולים היו בנקל אף לגבות את חייהם של עוברי אורח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>לא מצאתי כי יש להקל בעונשו של המערער</w:t>
      </w:r>
      <w:r>
        <w:rPr>
          <w:rtl w:val="true"/>
        </w:rPr>
        <w:t xml:space="preserve">, </w:t>
      </w:r>
      <w:r>
        <w:rPr>
          <w:rtl w:val="true"/>
        </w:rPr>
        <w:t>באופן המשווה בין עונשו לבין עונשיהם של יתר המעורבים</w:t>
      </w:r>
      <w:r>
        <w:rPr>
          <w:rtl w:val="true"/>
        </w:rPr>
        <w:t xml:space="preserve">. </w:t>
      </w:r>
      <w:r>
        <w:rPr>
          <w:rtl w:val="true"/>
        </w:rPr>
        <w:t>אמנם רקמו המערער ושותפיו לעבירה תכנית אחת לארוב למתלונן ולחבול בו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חולק כי חלקו של המערער במעשים היה רב יותר</w:t>
      </w:r>
      <w:r>
        <w:rPr>
          <w:rtl w:val="true"/>
        </w:rPr>
        <w:t xml:space="preserve">, </w:t>
      </w:r>
      <w:r>
        <w:rPr>
          <w:rtl w:val="true"/>
        </w:rPr>
        <w:t>בפרט לנוכח העובדה כי הוא נשא עמו נשק</w:t>
      </w:r>
      <w:r>
        <w:rPr>
          <w:rtl w:val="true"/>
        </w:rPr>
        <w:t xml:space="preserve">, </w:t>
      </w:r>
      <w:r>
        <w:rPr>
          <w:rtl w:val="true"/>
        </w:rPr>
        <w:t>מבלי שיתר המעורבים ידעו על כך</w:t>
      </w:r>
      <w:r>
        <w:rPr>
          <w:rtl w:val="true"/>
        </w:rPr>
        <w:t xml:space="preserve">, </w:t>
      </w:r>
      <w:r>
        <w:rPr>
          <w:rtl w:val="true"/>
        </w:rPr>
        <w:t>וכי המארב בוצע בסמוך לביתו של המערער</w:t>
      </w:r>
      <w:r>
        <w:rPr>
          <w:rtl w:val="true"/>
        </w:rPr>
        <w:t xml:space="preserve">. </w:t>
      </w:r>
      <w:r>
        <w:rPr>
          <w:rtl w:val="true"/>
        </w:rPr>
        <w:t>הפער בין חלקו של המערער באירועים לבין יתר הנאשמים אף בא לידי ביטוי בעובדה כי הורשע בעבירות נשק ובעבירת אלימות חמורה יותר</w:t>
      </w:r>
      <w:r>
        <w:rPr>
          <w:rtl w:val="true"/>
        </w:rPr>
        <w:t xml:space="preserve">, </w:t>
      </w:r>
      <w:r>
        <w:rPr>
          <w:rtl w:val="true"/>
        </w:rPr>
        <w:t xml:space="preserve">נתון המצדיק בפני עצמו פער בענישה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16</w:t>
      </w:r>
      <w:r>
        <w:rPr>
          <w:rtl w:val="true"/>
        </w:rPr>
        <w:t xml:space="preserve"> (</w:t>
      </w:r>
      <w:r>
        <w:rPr/>
        <w:t>24.1.2018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יוער כי לא מצאתי ממש בטענה שלפיה בית המשפט המחוזי חרג מסמכותו עת הורה על עריכת תסקיר מטעם שירות המבחן מבלי שהתבקש לכך על ידי המערער</w:t>
      </w:r>
      <w:r>
        <w:rPr>
          <w:rtl w:val="true"/>
        </w:rPr>
        <w:t xml:space="preserve">, </w:t>
      </w:r>
      <w:r>
        <w:rPr>
          <w:rtl w:val="true"/>
        </w:rPr>
        <w:t>ואציין רק כי בית המשפט היה רשאי לעשות כן ונהג כדין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משנקבע עונשו של המערער ברף התחתון של מתחם העונש ההולם</w:t>
      </w:r>
      <w:r>
        <w:rPr>
          <w:rtl w:val="true"/>
        </w:rPr>
        <w:t xml:space="preserve">, </w:t>
      </w:r>
      <w:r>
        <w:rPr>
          <w:rtl w:val="true"/>
        </w:rPr>
        <w:t>לא ניתן לומר כי ניתן משקל מופרז לתסקיר שירות המבחן שהוגש בעניינו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11.2.2021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20070690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2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הנדל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54678313-7069/20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7069/20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יוסף אבו חדיר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56798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40.b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case/25567988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40.b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case/22797351" TargetMode="External"/><Relationship Id="rId22" Type="http://schemas.openxmlformats.org/officeDocument/2006/relationships/hyperlink" Target="http://www.nevo.co.il/case/26287879" TargetMode="External"/><Relationship Id="rId23" Type="http://schemas.openxmlformats.org/officeDocument/2006/relationships/hyperlink" Target="http://www.nevo.co.il/case/25824995" TargetMode="External"/><Relationship Id="rId24" Type="http://schemas.openxmlformats.org/officeDocument/2006/relationships/hyperlink" Target="http://www.nevo.co.il/case/22812281" TargetMode="External"/><Relationship Id="rId25" Type="http://schemas.openxmlformats.org/officeDocument/2006/relationships/hyperlink" Target="http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2021-02-14T08:28:00Z</dcterms:created>
  <dc:creator>h4</dc:creator>
  <dc:description/>
  <cp:keywords/>
  <dc:language>en-IL</dc:language>
  <cp:lastModifiedBy>orly</cp:lastModifiedBy>
  <cp:lastPrinted>2021-02-11T09:08:00Z</cp:lastPrinted>
  <dcterms:modified xsi:type="dcterms:W3CDTF">2021-02-14T08:28:00Z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אבו חדיר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25567988:2;22797351;26287879;25824995;22812281</vt:lpwstr>
  </property>
  <property fmtid="{D5CDD505-2E9C-101B-9397-08002B2CF9AE}" pid="9" name="CITY">
    <vt:lpwstr/>
  </property>
  <property fmtid="{D5CDD505-2E9C-101B-9397-08002B2CF9AE}" pid="10" name="DATE">
    <vt:lpwstr>20210211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ברק ארז;י' אלרון</vt:lpwstr>
  </property>
  <property fmtid="{D5CDD505-2E9C-101B-9397-08002B2CF9AE}" pid="14" name="LAWLISTTMP1">
    <vt:lpwstr>70301/329.a.1;329.a.2;144.b;340.b;144:2;340a:2</vt:lpwstr>
  </property>
  <property fmtid="{D5CDD505-2E9C-101B-9397-08002B2CF9AE}" pid="15" name="LAWYER">
    <vt:lpwstr>הילה גורני;עבד ג'יג'יני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התערבות ערכאת ערעור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>מדיניות ענישה: עבירות אלימות</vt:lpwstr>
  </property>
  <property fmtid="{D5CDD505-2E9C-101B-9397-08002B2CF9AE}" pid="52" name="NOSE34">
    <vt:lpwstr>אחדות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8982;13800;8984;12547</vt:lpwstr>
  </property>
  <property fmtid="{D5CDD505-2E9C-101B-9397-08002B2CF9AE}" pid="59" name="PADIDATE">
    <vt:lpwstr>20210214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7069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410120210211</vt:lpwstr>
  </property>
  <property fmtid="{D5CDD505-2E9C-101B-9397-08002B2CF9AE}" pid="69" name="TYPE_N_DATE">
    <vt:lpwstr>41020210211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