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7162/19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ראש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26.9.2019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59285-08-16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ארז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בכסלו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19.11.20</w:t>
            </w:r>
            <w:r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;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;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תמי</w:t>
            </w:r>
            <w:r>
              <w:rPr>
                <w:rFonts w:cs="Times New Roman;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אולמן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;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שאדי</w:t>
            </w:r>
            <w:r>
              <w:rPr>
                <w:rFonts w:cs="Times New Roman;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סרוגיה</w:t>
            </w:r>
          </w:p>
        </w:tc>
      </w:tr>
    </w:tbl>
    <w:p>
      <w:pPr>
        <w:pStyle w:val="Ruller31"/>
        <w:ind w:end="0"/>
        <w:jc w:val="start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bookmarkStart w:id="4" w:name="FirstLawyer"/>
            <w:bookmarkEnd w:id="4"/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;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המשיב</w:t>
            </w:r>
            <w:r>
              <w:rPr>
                <w:sz w:val="28"/>
                <w:sz w:val="28"/>
                <w:rtl w:val="true"/>
              </w:rPr>
              <w:t>ה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;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אושרה</w:t>
            </w:r>
            <w:r>
              <w:rPr>
                <w:rFonts w:cs="Times New Roman;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פטאל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39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68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חיפוש בגוף ונטילת אמצעי זיהוי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סדר הדין האזרחי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148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460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סדר הדין האזרחי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2018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כניסתן לתוקף </w:t>
        </w:r>
        <w:r>
          <w:rPr>
            <w:rStyle w:val="Hyperlink"/>
            <w:rFonts w:cs="FrankRuehl" w:ascii="FrankRuehl" w:hAnsi="FrankRuehl"/>
            <w:sz w:val="24"/>
            <w:u w:val="none"/>
          </w:rPr>
          <w:t>01/01/2021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148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;Times New Roman" w:hAnsi="Times New Roman;Times New Roman" w:cs="FrankRuehl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/>
      </w:pP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הריגה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ונהיגה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בשכרות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בממצאי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וקביעות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>,</w:t>
      </w:r>
      <w:r>
        <w:rPr>
          <w:rFonts w:cs="FrankRuehl" w:ascii="Times New Roman;Times New Roman" w:hAnsi="Times New Roman;Times New Roman"/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דחה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טענות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הגנתו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בהליך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נפגעה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עקב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מחדלי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חקירה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וכשלים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בגיבוש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המסכת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הראייתית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ואת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טענותיו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לעניין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ניתוק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הקשר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הסיבתי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בין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נהיגתו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לתוצאות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התאונה</w:t>
      </w:r>
      <w:r>
        <w:rPr>
          <w:rFonts w:cs="FrankRuehl" w:ascii="Times New Roman;Times New Roman" w:hAnsi="Times New Roman;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וקבע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הוכח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היסוד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הנפשי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שדרוש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לצורך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הרשעה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בהריגה</w:t>
      </w:r>
      <w:r>
        <w:rPr>
          <w:rFonts w:cs="FrankRuehl" w:ascii="Times New Roman;Times New Roman" w:hAnsi="Times New Roman;Times New Roman"/>
          <w:spacing w:val="0"/>
          <w:sz w:val="24"/>
          <w:szCs w:val="26"/>
          <w:shd w:fill="FFFFFF" w:val="clear"/>
          <w:rtl w:val="true"/>
        </w:rPr>
        <w:t xml:space="preserve">;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shd w:fill="FFFFFF" w:val="clear"/>
          <w:rtl w:val="true"/>
        </w:rPr>
        <w:t>בנוסף</w:t>
      </w:r>
      <w:r>
        <w:rPr>
          <w:rFonts w:cs="FrankRuehl" w:ascii="Times New Roman;Times New Roman" w:hAnsi="Times New Roman;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קיימת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להפחתת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;Times New Roman" w:hAnsi="Times New Roman;Times New Roman"/>
          <w:spacing w:val="0"/>
          <w:sz w:val="24"/>
          <w:szCs w:val="26"/>
        </w:rPr>
        <w:t>4.5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;Times New Roman" w:hAnsi="Times New Roman;Times New Roman"/>
          <w:spacing w:val="0"/>
          <w:sz w:val="24"/>
          <w:szCs w:val="26"/>
        </w:rPr>
      </w:pP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תעבורה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הריגה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;Times New Roman" w:hAnsi="Times New Roman;Times New Roman"/>
          <w:spacing w:val="0"/>
          <w:sz w:val="24"/>
          <w:szCs w:val="26"/>
        </w:rPr>
      </w:pP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תעבורה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בשכרות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;Times New Roman" w:hAnsi="Times New Roman;Times New Roman"/>
          <w:spacing w:val="0"/>
          <w:sz w:val="24"/>
          <w:szCs w:val="26"/>
        </w:rPr>
      </w:pP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הריגה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;Times New Roman" w:hAnsi="Times New Roman;Times New Roman"/>
          <w:spacing w:val="0"/>
          <w:sz w:val="24"/>
          <w:szCs w:val="26"/>
        </w:rPr>
      </w:pP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הריגה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;Times New Roman" w:hAnsi="Times New Roman;Times New Roman"/>
          <w:spacing w:val="0"/>
          <w:sz w:val="24"/>
          <w:szCs w:val="26"/>
        </w:rPr>
      </w:pP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;Times New Roman" w:hAnsi="Times New Roman;Times New Roman"/>
          <w:spacing w:val="0"/>
          <w:sz w:val="24"/>
          <w:szCs w:val="26"/>
        </w:rPr>
      </w:pP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במשטרה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מחדלי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חקירה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;Times New Roman" w:hAnsi="Times New Roman;Times New Roman" w:cs="FrankRuehl"/>
          <w:spacing w:val="0"/>
          <w:sz w:val="24"/>
          <w:szCs w:val="26"/>
        </w:rPr>
      </w:pP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בממצאים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עובדתיים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;Times New Roman" w:hAnsi="Times New Roman;Times New Roman" w:cs="FrankRuehl"/>
          <w:spacing w:val="0"/>
          <w:sz w:val="24"/>
          <w:szCs w:val="26"/>
        </w:rPr>
      </w:pP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;Times New Roman" w:hAnsi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וגזר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במסגרתם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הריגה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ונהיגה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בשכרות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ונגזר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;Times New Roman" w:hAnsi="Times New Roman;Times New Roman"/>
          <w:spacing w:val="0"/>
          <w:sz w:val="24"/>
          <w:szCs w:val="26"/>
        </w:rPr>
        <w:t>4.5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;Times New Roman" w:hAnsi="Times New Roman;Times New Roman" w:cs="FrankRuehl"/>
          <w:spacing w:val="0"/>
          <w:sz w:val="24"/>
          <w:szCs w:val="26"/>
        </w:rPr>
      </w:pPr>
      <w:r>
        <w:rPr>
          <w:rFonts w:cs="FrankRuehl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גרוסקופף ובהסכמת השופטים הנדל ועמית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בעיקרו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עיקר טענות המערער ביחס להכרעת הדין מכוונות נגד ממצאי עובדה וקביעות מהימנות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ועניינו של המערער לא נמנה בגדר המקרים החריגים שמצדיקים התערבות בממצאים אלה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טענות המערער כי הגנתו בהליך נפגעה עקב מחדלי חקירה וכשלים שנפלו בגיבוש המסכת הראייתית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נדחו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מחדלי חקירה כשלעצמם אינם מספיקים לשם זיכוי נאשם ואין מדובר במחדלי חקירה מהותיים המקפחים את הגנת המערער והיורדים לשורש העניין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אשר לטענות המערער לעניין ניתוק הקשר הסיבתי בין נהיגתו לתוצאות התאונה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העיקר לענייננו הוא שאלמלא אופן נהיגתו של המערער לא הייתה נגרמת התאונה בה נפצע המנוח באופן אנוש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קרי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נהיגת המערער בגילופין מהווה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סיבה בלעדיה אין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להתרחשות התאונה ולמות המנוח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המנוח היה חגור ולא היה שתוי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ולכן לא ניתן לומר כי התנהגותו ניתקה את הקשר הסיבתי בין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אופן נהיגתו של המערער להתרחשות התאונה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ולא נפל פגם בחקירת המשטרה ביחס לבדיקת המנוח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אשר לטענה כי לא הוכח היסוד הנפשי שדרוש לצורך הרשעתו בעבירת ההריגה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וכי יש להרשיעו לכל היותר בעבירה של גרימת מוות ברשלנות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חזקה על המערער כי בעת שתיית האלכוהול היה מודע להשלכות שתהיינה לכך על יכולתו המנטאלית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משהחליט לנהוג ברכבו חרף כמות האלכוהול ששתה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יש לראות במערער כמי שנטל על עצמו ביודעין את הסיכון של אפשרות ממשית של פגיעה בשלמות גופו או בחייו של אחר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תוך גילוי קלות דעת או אדישות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אין זה מקרה חריג המצדיק התערבות של ערכאת הערעור בעונש שהשיתה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לבתי המשפט תרומה חשובה למלאכת המאבק בתאונות הדרכים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באמצעות הטלת ענישה מחמירה על הנוהגים בגילופין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בחן היטב את מכלול השיקולים הרלוונטיים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לרבות שיקולים לקולה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איזון ראוי ביניהם ולא קיימת הצדקה להפחתת עונש המאסר שהושת על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מאידך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התערב בתקופת פסילת רישיון הנהיגה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לאור הסכמת המשיבה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1"/>
        <w:shd w:fill="FFFFFF" w:val="clear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1"/>
        <w:shd w:fill="FFFFFF" w:val="clear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לפנינו ערעור על הכרעת הדין וגזר הדין של בית המשפט המחוזי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השופט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ארז פורת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</w:rPr>
        <w:t>.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</w:rPr>
        <w:t>.2019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ומיום </w:t>
      </w:r>
      <w:r>
        <w:rPr>
          <w:rFonts w:cs="FrankRuehl" w:ascii="FrankRuehl" w:hAnsi="FrankRuehl"/>
          <w:sz w:val="28"/>
          <w:szCs w:val="28"/>
        </w:rPr>
        <w:t>26.9</w:t>
      </w:r>
      <w:r>
        <w:rPr>
          <w:rFonts w:cs="FrankRuehl" w:ascii="FrankRuehl" w:hAnsi="FrankRuehl"/>
          <w:sz w:val="28"/>
          <w:szCs w:val="28"/>
        </w:rPr>
        <w:t>.2019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59285-08-16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במסגרתם הורשע המערער בביצוע עבירות 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הריגה ונהיגה בשכרות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ונגזר עליו עונש של </w:t>
      </w:r>
      <w:r>
        <w:rPr>
          <w:rFonts w:cs="FrankRuehl" w:ascii="FrankRuehl" w:hAnsi="FrankRuehl"/>
          <w:sz w:val="28"/>
          <w:szCs w:val="28"/>
        </w:rPr>
        <w:t>4.5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11"/>
        <w:shd w:fill="FFFFFF" w:val="clear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1"/>
        <w:shd w:fill="FFFFFF" w:val="clear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עובדות כתב האישום</w:t>
      </w:r>
    </w:p>
    <w:p>
      <w:pPr>
        <w:pStyle w:val="ruller411"/>
        <w:shd w:fill="FFFFFF" w:val="clear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sz w:val="28"/>
          <w:sz w:val="28"/>
          <w:rtl w:val="true"/>
        </w:rPr>
        <w:t xml:space="preserve">על פי </w:t>
      </w:r>
      <w:r>
        <w:rPr>
          <w:rFonts w:ascii="FrankRuehl" w:hAnsi="FrankRuehl" w:cs="FrankRuehl"/>
          <w:sz w:val="28"/>
          <w:sz w:val="28"/>
          <w:rtl w:val="true"/>
        </w:rPr>
        <w:t>המתואר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</w:t>
      </w:r>
      <w:r>
        <w:rPr>
          <w:rFonts w:ascii="FrankRuehl" w:hAnsi="FrankRuehl" w:cs="FrankRuehl"/>
          <w:sz w:val="28"/>
          <w:sz w:val="28"/>
          <w:rtl w:val="true"/>
        </w:rPr>
        <w:t>כתב האישום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22.1.2016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06:45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נהג המערער מחיפה לכיוון טבריה ברכב מסוג טויוטה</w:t>
      </w:r>
      <w:r>
        <w:rPr>
          <w:rtl w:val="true"/>
        </w:rPr>
        <w:t xml:space="preserve">, </w:t>
      </w:r>
      <w:r>
        <w:rPr>
          <w:rtl w:val="true"/>
        </w:rPr>
        <w:t xml:space="preserve">כאשר בדמו ריכוז של </w:t>
      </w:r>
      <w:r>
        <w:rPr/>
        <w:t>210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ל אלכוהול</w:t>
      </w:r>
      <w:r>
        <w:rPr>
          <w:rtl w:val="true"/>
        </w:rPr>
        <w:t xml:space="preserve">. </w:t>
      </w:r>
      <w:r>
        <w:rPr>
          <w:rtl w:val="true"/>
        </w:rPr>
        <w:t xml:space="preserve">בהגיעו לצומת שדרות ההסתדרות עם כביש </w:t>
      </w:r>
      <w:r>
        <w:rPr/>
        <w:t>75</w:t>
      </w:r>
      <w:r>
        <w:rPr>
          <w:rtl w:val="true"/>
        </w:rPr>
        <w:t xml:space="preserve">, </w:t>
      </w:r>
      <w:r>
        <w:rPr>
          <w:rtl w:val="true"/>
        </w:rPr>
        <w:t>פנה המערער ימינה לכיוון יגור</w:t>
      </w:r>
      <w:r>
        <w:rPr>
          <w:rtl w:val="true"/>
        </w:rPr>
        <w:t xml:space="preserve">, </w:t>
      </w:r>
      <w:r>
        <w:rPr>
          <w:rtl w:val="true"/>
        </w:rPr>
        <w:t xml:space="preserve">ונסע בנתיב התנועה הנגדי שמיועד לכלי רכב הנוסעים על כביש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לכיוון חיפה</w:t>
      </w:r>
      <w:r>
        <w:rPr>
          <w:rtl w:val="true"/>
        </w:rPr>
        <w:t xml:space="preserve">. </w:t>
      </w:r>
      <w:r>
        <w:rPr>
          <w:rtl w:val="true"/>
        </w:rPr>
        <w:t>באותה עת נסעו בכביש רכבים רבים מכיוון יגור לחיפה</w:t>
      </w:r>
      <w:r>
        <w:rPr>
          <w:rtl w:val="true"/>
        </w:rPr>
        <w:t xml:space="preserve">. </w:t>
      </w:r>
      <w:r>
        <w:rPr>
          <w:rtl w:val="true"/>
        </w:rPr>
        <w:t>לא עבר זמן רב עד שהגיע המערער לקילומטר ה</w:t>
      </w:r>
      <w:r>
        <w:rPr>
          <w:rtl w:val="true"/>
        </w:rPr>
        <w:t>-</w:t>
      </w:r>
      <w:r>
        <w:rPr/>
        <w:t>47.9</w:t>
      </w:r>
      <w:r>
        <w:rPr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ופגע עם חזית רכבו ברכב מסוג סקודה</w:t>
      </w:r>
      <w:r>
        <w:rPr>
          <w:rtl w:val="true"/>
        </w:rPr>
        <w:t xml:space="preserve">, </w:t>
      </w:r>
      <w:r>
        <w:rPr>
          <w:rtl w:val="true"/>
        </w:rPr>
        <w:t>בו נהג מר נידאל חמזה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pacing w:val="0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שנסע בכיוון התנועה הנכון</w:t>
      </w:r>
      <w:r>
        <w:rPr>
          <w:rtl w:val="true"/>
        </w:rPr>
        <w:t xml:space="preserve">. </w:t>
      </w:r>
      <w:r>
        <w:rPr>
          <w:rtl w:val="true"/>
        </w:rPr>
        <w:t>כתוצאה מהתאונה</w:t>
      </w:r>
      <w:r>
        <w:rPr>
          <w:rtl w:val="true"/>
        </w:rPr>
        <w:t xml:space="preserve">, </w:t>
      </w:r>
      <w:r>
        <w:rPr>
          <w:rtl w:val="true"/>
        </w:rPr>
        <w:t>נפצע המנוח באורח אנוש</w:t>
      </w:r>
      <w:r>
        <w:rPr>
          <w:rtl w:val="true"/>
        </w:rPr>
        <w:t xml:space="preserve">, </w:t>
      </w:r>
      <w:r>
        <w:rPr>
          <w:rtl w:val="true"/>
        </w:rPr>
        <w:t>ומותו נקבע במקום</w:t>
      </w:r>
      <w:r>
        <w:rPr>
          <w:rtl w:val="true"/>
        </w:rPr>
        <w:t xml:space="preserve">. </w:t>
      </w:r>
      <w:r>
        <w:rPr>
          <w:rtl w:val="true"/>
        </w:rPr>
        <w:t>המערער נפצע אף הוא</w:t>
      </w:r>
      <w:r>
        <w:rPr>
          <w:rtl w:val="true"/>
        </w:rPr>
        <w:t xml:space="preserve">, </w:t>
      </w:r>
      <w:r>
        <w:rPr>
          <w:rtl w:val="true"/>
        </w:rPr>
        <w:t>וכן נגרמו נזקים לשני כלי הרכב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הואשם המערער ב</w:t>
      </w:r>
      <w:r>
        <w:rPr>
          <w:rtl w:val="true"/>
        </w:rPr>
        <w:t>ב</w:t>
      </w:r>
      <w:r>
        <w:rPr>
          <w:rtl w:val="true"/>
        </w:rPr>
        <w:t xml:space="preserve">יצוע </w:t>
      </w:r>
      <w:r>
        <w:rPr>
          <w:rtl w:val="true"/>
        </w:rPr>
        <w:t>עבירת 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7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298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עבירת נהיגה פזיזה ופוחזת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9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338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לחוק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עבירת נהיגה תחת השפעת משקה משכר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1"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),</w:t>
        </w:r>
      </w:hyperlink>
      <w:r>
        <w:rPr>
          <w:rtl w:val="true"/>
        </w:rPr>
        <w:t xml:space="preserve"> </w:t>
      </w:r>
      <w:hyperlink r:id="rId32"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</w:rPr>
          <w:t>39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tl w:val="true"/>
        </w:rPr>
        <w:t xml:space="preserve">), </w:t>
      </w:r>
      <w:r>
        <w:rPr>
          <w:rtl w:val="true"/>
        </w:rPr>
        <w:t xml:space="preserve">עבירה של נהיגה בשכרות לפי </w:t>
      </w:r>
      <w:hyperlink r:id="rId3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6"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7"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</w:rPr>
          <w:t>39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לפקודה</w:t>
      </w:r>
      <w:r>
        <w:rPr>
          <w:rtl w:val="true"/>
        </w:rPr>
        <w:t xml:space="preserve">; </w:t>
      </w:r>
      <w:r>
        <w:rPr>
          <w:rtl w:val="true"/>
        </w:rPr>
        <w:t>עבירת נסיעה נגד כיוון התנועה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9">
        <w:r>
          <w:rPr>
            <w:rStyle w:val="Hyperlink"/>
            <w:rtl w:val="true"/>
          </w:rPr>
          <w:t>תקנות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0"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, </w:t>
      </w:r>
      <w:hyperlink r:id="rId42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r>
        <w:rPr>
          <w:rtl w:val="true"/>
        </w:rPr>
        <w:t>ועבירה של גרימת חבלה של ממש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פסק דינו של בית המשפט המחוזי</w:t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Century" w:cs="Century" w:ascii="Century" w:hAnsi="Century"/>
          <w:b/>
          <w:bCs/>
          <w:spacing w:val="0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בהכרעת הדין מ</w:t>
      </w:r>
      <w:r>
        <w:rPr>
          <w:rtl w:val="true"/>
        </w:rPr>
        <w:t xml:space="preserve">יום </w:t>
      </w:r>
      <w:r>
        <w:rPr/>
        <w:t>8.4</w:t>
      </w:r>
      <w:r>
        <w:rPr/>
        <w:t>.2019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הורשע המערער </w:t>
      </w:r>
      <w:r>
        <w:rPr>
          <w:rFonts w:ascii="FrankRuehl" w:hAnsi="FrankRuehl" w:cs="FrankRuehl"/>
          <w:sz w:val="28"/>
          <w:sz w:val="28"/>
          <w:rtl w:val="true"/>
        </w:rPr>
        <w:t>ב</w:t>
      </w:r>
      <w:r>
        <w:rPr>
          <w:rFonts w:ascii="FrankRuehl" w:hAnsi="FrankRuehl" w:cs="FrankRuehl"/>
          <w:sz w:val="28"/>
          <w:sz w:val="28"/>
          <w:rtl w:val="true"/>
        </w:rPr>
        <w:t>ב</w:t>
      </w:r>
      <w:r>
        <w:rPr>
          <w:rFonts w:ascii="FrankRuehl" w:hAnsi="FrankRuehl" w:cs="FrankRuehl"/>
          <w:sz w:val="28"/>
          <w:sz w:val="28"/>
          <w:rtl w:val="true"/>
        </w:rPr>
        <w:t xml:space="preserve">יצוע </w:t>
      </w:r>
      <w:r>
        <w:rPr>
          <w:rFonts w:ascii="FrankRuehl" w:hAnsi="FrankRuehl" w:cs="FrankRuehl"/>
          <w:sz w:val="28"/>
          <w:sz w:val="28"/>
          <w:rtl w:val="true"/>
        </w:rPr>
        <w:t>עבירת הריגה ועבירה של נהיגה בשכרות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וזוכה מהאישומים ביתר העבירות בשל כפילות והשתלבות יסודותיהם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קמא קבע כי המסכת הראייתית מבססת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כי לפני ובסמוך להתרחשות התאונה נהג המערער בהיותו שיכור לפי הגדרת הדין</w:t>
      </w:r>
      <w:r>
        <w:rPr>
          <w:rtl w:val="true"/>
        </w:rPr>
        <w:t xml:space="preserve">, </w:t>
      </w:r>
      <w:r>
        <w:rPr>
          <w:rtl w:val="true"/>
        </w:rPr>
        <w:t>וזאת בהסתמך על הממצאים הבאים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tl w:val="true"/>
        </w:rPr>
        <w:t>יהם של מספר עדים שהבחינו במערער כשהוא נוהג נגד כיוון התנועה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במהירות רבה</w:t>
      </w:r>
      <w:r>
        <w:rPr>
          <w:rtl w:val="true"/>
        </w:rPr>
        <w:t xml:space="preserve">, </w:t>
      </w:r>
      <w:r>
        <w:rPr>
          <w:rtl w:val="true"/>
        </w:rPr>
        <w:t>על פני כברת דרך בלתי מבוטלת</w:t>
      </w:r>
      <w:r>
        <w:rPr>
          <w:rtl w:val="true"/>
        </w:rPr>
        <w:t xml:space="preserve">, </w:t>
      </w:r>
      <w:r>
        <w:rPr>
          <w:rtl w:val="true"/>
        </w:rPr>
        <w:t>ובלי לנקוט כל פעולה למניעת התנגשות עם רכבים שנסעו מולו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עדויותיהם של אנשי הצוות הרפואי שטיפלו במערער לאחר התאונה לפיהן נדף מפיו של המערער ריח אלכוהול</w:t>
      </w:r>
      <w:r>
        <w:rPr>
          <w:rtl w:val="true"/>
        </w:rPr>
        <w:t xml:space="preserve">, </w:t>
      </w:r>
      <w:r>
        <w:rPr>
          <w:rtl w:val="true"/>
        </w:rPr>
        <w:t>לרבות עדותה של פרמדיקית שהגיעה לזירת התאונה ועדותו של אח בבית החולים אליו פונה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לפיהן המערער מסר כי חזר ממסיבה ואף אמר לפרמדיקית כי הוא שיכור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הפרמדיקית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העובדה שהפרמדיק הנוסף שטיפל במערער העיד כי לא חש בריח אלכוהול שנדף ממנו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הפרמדיק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הנוסף</w:t>
      </w:r>
      <w:r>
        <w:rPr>
          <w:rtl w:val="true"/>
        </w:rPr>
        <w:t xml:space="preserve">), </w:t>
      </w:r>
      <w:r>
        <w:rPr>
          <w:rtl w:val="true"/>
        </w:rPr>
        <w:t>אינה מפחיתה ממשקל עדות הפרמדיקית</w:t>
      </w:r>
      <w:r>
        <w:rPr>
          <w:rtl w:val="true"/>
        </w:rPr>
        <w:t xml:space="preserve">, </w:t>
      </w:r>
      <w:r>
        <w:rPr>
          <w:rtl w:val="true"/>
        </w:rPr>
        <w:t>שכן התרשמות מעין זו תלויה בהיקף הקרבה בין המטפל למטופל</w:t>
      </w:r>
      <w:r>
        <w:rPr>
          <w:rtl w:val="true"/>
        </w:rPr>
        <w:t xml:space="preserve">, </w:t>
      </w:r>
      <w:r>
        <w:rPr>
          <w:rtl w:val="true"/>
        </w:rPr>
        <w:t>משכה ומידת האינטנסיביות שלה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העדר הסבר המניח את הדעת מצד המערער להימצאותו של מכשיר נשיפון ברכבו</w:t>
      </w:r>
      <w:r>
        <w:rPr>
          <w:rtl w:val="true"/>
        </w:rPr>
        <w:t xml:space="preserve">. </w:t>
      </w:r>
      <w:r>
        <w:rPr>
          <w:rtl w:val="true"/>
        </w:rPr>
        <w:t>עוד נקבע כי די באמור לבסס מעל ומעבר לכל ספק סביר גם את מודעותו של המערער לאפשרות הממשית כי כתוצאה מנהיגתו עלולה להיגרם פגיעה קטלנית וטראגית למשתמשי דרך אחרים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דחה בית המשפט קמא את טענותיו של המערער כי נפלו פגמים בנטילת דגימת הדם ממנו בבית החולים</w:t>
      </w:r>
      <w:r>
        <w:rPr>
          <w:rtl w:val="true"/>
        </w:rPr>
        <w:t xml:space="preserve">, </w:t>
      </w:r>
      <w:r>
        <w:rPr>
          <w:rtl w:val="true"/>
        </w:rPr>
        <w:t>בשרשרת העברתה ובטיפול המעבדתי בה</w:t>
      </w:r>
      <w:r>
        <w:rPr>
          <w:rtl w:val="true"/>
        </w:rPr>
        <w:t xml:space="preserve">. </w:t>
      </w:r>
      <w:r>
        <w:rPr>
          <w:rtl w:val="true"/>
        </w:rPr>
        <w:t>נקבע כי דגימת הדם ניטלה מהמערער כדין ובסמכות</w:t>
      </w:r>
      <w:r>
        <w:rPr>
          <w:rtl w:val="true"/>
        </w:rPr>
        <w:t xml:space="preserve">, </w:t>
      </w:r>
      <w:r>
        <w:rPr>
          <w:rtl w:val="true"/>
        </w:rPr>
        <w:t xml:space="preserve">וכי תוצאות המעבדה לתרעלה שלימדו על הימצאות ריכוז של </w:t>
      </w:r>
      <w:r>
        <w:rPr/>
        <w:t>210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ג בדמו של המערער </w:t>
      </w:r>
      <w:r>
        <w:rPr>
          <w:rtl w:val="true"/>
        </w:rPr>
        <w:t>(</w:t>
      </w:r>
      <w:r>
        <w:rPr>
          <w:rtl w:val="true"/>
        </w:rPr>
        <w:t>הגבוה פי למעלה 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מהשיעור המותר שנקבע בדין</w:t>
      </w:r>
      <w:r>
        <w:rPr>
          <w:rtl w:val="true"/>
        </w:rPr>
        <w:t xml:space="preserve">) </w:t>
      </w:r>
      <w:r>
        <w:rPr>
          <w:rtl w:val="true"/>
        </w:rPr>
        <w:t>הינן מדויקות ומהימנות</w:t>
      </w:r>
      <w:r>
        <w:rPr>
          <w:rtl w:val="true"/>
        </w:rPr>
        <w:t xml:space="preserve">. </w:t>
      </w:r>
      <w:r>
        <w:rPr>
          <w:rtl w:val="true"/>
        </w:rPr>
        <w:t>באופן יותר ספציפי</w:t>
      </w:r>
      <w:r>
        <w:rPr>
          <w:rtl w:val="true"/>
        </w:rPr>
        <w:t xml:space="preserve">, </w:t>
      </w:r>
      <w:r>
        <w:rPr>
          <w:rtl w:val="true"/>
        </w:rPr>
        <w:t>נקבע כי אין יסוד לטענה בדבר חיטוי מקום הדגימה בחומר אלכוהולי או שלמערער ניתנו תרופות שיכולות להשפיע על הדגימה ותוצאותיה</w:t>
      </w:r>
      <w:r>
        <w:rPr>
          <w:rtl w:val="true"/>
        </w:rPr>
        <w:t xml:space="preserve">; </w:t>
      </w:r>
      <w:r>
        <w:rPr>
          <w:rtl w:val="true"/>
        </w:rPr>
        <w:t xml:space="preserve">כי נטילת דגימת הדם לבקשת חוקר משטרתי מתיישבת עם הדין הקבוע </w:t>
      </w:r>
      <w:hyperlink r:id="rId4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 באשר לנטילת דגימת דם מנהג החשוד בנהיגה בשכרות</w:t>
      </w:r>
      <w:r>
        <w:rPr>
          <w:rtl w:val="true"/>
        </w:rPr>
        <w:t xml:space="preserve">; </w:t>
      </w:r>
      <w:r>
        <w:rPr>
          <w:rtl w:val="true"/>
        </w:rPr>
        <w:t>כי מכל מקום לא נסתרה טענת החוקר המשטרתי שהתקבל אף אישור רפואי לנטילת הדגימה בהתאם 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  <w:rtl w:val="true"/>
          </w:rPr>
          <w:t>חיפוש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בגוף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ונטילת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אמצעי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זיהוי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למרות שאין תיעוד לשם הרופא המאשר</w:t>
      </w:r>
      <w:r>
        <w:rPr>
          <w:rtl w:val="true"/>
        </w:rPr>
        <w:t xml:space="preserve">; </w:t>
      </w:r>
      <w:r>
        <w:rPr>
          <w:rtl w:val="true"/>
        </w:rPr>
        <w:t>כי לא נפל פגם בשיוך דגימת הדם למערער באמצעות שתי תמונות שלו או בשרשרת העברתה למעבדה</w:t>
      </w:r>
      <w:r>
        <w:rPr>
          <w:rtl w:val="true"/>
        </w:rPr>
        <w:t xml:space="preserve">; </w:t>
      </w:r>
      <w:r>
        <w:rPr>
          <w:rtl w:val="true"/>
        </w:rPr>
        <w:t>וכי אין פסול בעצם העובדה שחוות דעתה של המומחית ד</w:t>
      </w:r>
      <w:r>
        <w:rPr>
          <w:rtl w:val="true"/>
        </w:rPr>
        <w:t>"</w:t>
      </w:r>
      <w:r>
        <w:rPr>
          <w:rtl w:val="true"/>
        </w:rPr>
        <w:t xml:space="preserve">ר שלמך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המומחית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שלמך</w:t>
      </w:r>
      <w:r>
        <w:rPr>
          <w:rtl w:val="true"/>
        </w:rPr>
        <w:t xml:space="preserve">) </w:t>
      </w:r>
      <w:r>
        <w:rPr>
          <w:rtl w:val="true"/>
        </w:rPr>
        <w:t>נסמכת על תוצאות בדיקות שערכה עובדת מעבדה אחרת</w:t>
      </w:r>
      <w:r>
        <w:rPr>
          <w:rtl w:val="true"/>
        </w:rPr>
        <w:t xml:space="preserve">, </w:t>
      </w:r>
      <w:r>
        <w:rPr>
          <w:rtl w:val="true"/>
        </w:rPr>
        <w:t>הכפופה לה</w:t>
      </w:r>
      <w:r>
        <w:rPr>
          <w:rtl w:val="true"/>
        </w:rPr>
        <w:t xml:space="preserve">, </w:t>
      </w:r>
      <w:r>
        <w:rPr>
          <w:rtl w:val="true"/>
        </w:rPr>
        <w:t xml:space="preserve">בפרט בהינתן שתוצאות הבדיקה הראשונית שערכה המומחית שלמך תואמות </w:t>
      </w:r>
      <w:r>
        <w:rPr>
          <w:rtl w:val="true"/>
        </w:rPr>
        <w:t>(</w:t>
      </w:r>
      <w:r>
        <w:rPr>
          <w:rtl w:val="true"/>
        </w:rPr>
        <w:t>בסטייה המקובלת</w:t>
      </w:r>
      <w:r>
        <w:rPr>
          <w:rtl w:val="true"/>
        </w:rPr>
        <w:t xml:space="preserve">) </w:t>
      </w:r>
      <w:r>
        <w:rPr>
          <w:rtl w:val="true"/>
        </w:rPr>
        <w:t>את תוצאת הבדיקה הסופית</w:t>
      </w:r>
      <w:r>
        <w:rPr>
          <w:rtl w:val="true"/>
        </w:rPr>
        <w:t>.</w:t>
      </w:r>
    </w:p>
    <w:p>
      <w:pPr>
        <w:pStyle w:val="ruller411"/>
        <w:shd w:fill="FFFFFF" w:val="clear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בית המשפט קמא קבע כי אין ליתן אמון בגרסת המערער בה הכחיש שנהג תחת השפעת אלכוהול</w:t>
      </w:r>
      <w:r>
        <w:rPr>
          <w:rtl w:val="true"/>
        </w:rPr>
        <w:t xml:space="preserve">, </w:t>
      </w:r>
      <w:r>
        <w:rPr>
          <w:rtl w:val="true"/>
        </w:rPr>
        <w:t>וטען שאינו זוכר את שאירע עובר לתאונה</w:t>
      </w:r>
      <w:r>
        <w:rPr>
          <w:rtl w:val="true"/>
        </w:rPr>
        <w:t xml:space="preserve">. </w:t>
      </w:r>
      <w:r>
        <w:rPr>
          <w:rtl w:val="true"/>
        </w:rPr>
        <w:t>הוטעם כי גרסה זו לא נתמכה בתשתית ראייתית מספקת</w:t>
      </w:r>
      <w:r>
        <w:rPr>
          <w:rtl w:val="true"/>
        </w:rPr>
        <w:t xml:space="preserve">, </w:t>
      </w:r>
      <w:r>
        <w:rPr>
          <w:rtl w:val="true"/>
        </w:rPr>
        <w:t>וכי היא לא מתיישבת עם מכלול הראיות בתיק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נדחתה הטענה לפיה העדר הוכחה לכך שהמנוח היה חגור עובר לתאונה מביא לניתוק הקשר הסיבתי בין אופן נהיגתו של המערער לבין מותו של המנוח</w:t>
      </w:r>
      <w:r>
        <w:rPr>
          <w:rtl w:val="true"/>
        </w:rPr>
        <w:t xml:space="preserve">. </w:t>
      </w:r>
      <w:r>
        <w:rPr>
          <w:rtl w:val="true"/>
        </w:rPr>
        <w:t>בפן העובדתי</w:t>
      </w:r>
      <w:r>
        <w:rPr>
          <w:rtl w:val="true"/>
        </w:rPr>
        <w:t xml:space="preserve">, </w:t>
      </w:r>
      <w:r>
        <w:rPr>
          <w:rtl w:val="true"/>
        </w:rPr>
        <w:t>צוין כי בוחן התנועה שהגיע לזירת התאונה קבע שהמנוח היה חגור בזמן התאונה</w:t>
      </w:r>
      <w:r>
        <w:rPr>
          <w:rtl w:val="true"/>
        </w:rPr>
        <w:t xml:space="preserve">; </w:t>
      </w:r>
      <w:r>
        <w:rPr>
          <w:rtl w:val="true"/>
        </w:rPr>
        <w:t>ובפן המשפטי</w:t>
      </w:r>
      <w:r>
        <w:rPr>
          <w:rtl w:val="true"/>
        </w:rPr>
        <w:t xml:space="preserve">, </w:t>
      </w:r>
      <w:r>
        <w:rPr>
          <w:rtl w:val="true"/>
        </w:rPr>
        <w:t>נקבע כי די בכך שלאופן נהיגת המערער הייתה תרומה הכרחית להתרחשות התאונה הקטלנית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דחה בית המשפט קמא את טענות המערער למחדלי חקירה בעניינו</w:t>
      </w:r>
      <w:r>
        <w:rPr>
          <w:rtl w:val="true"/>
        </w:rPr>
        <w:t xml:space="preserve">. </w:t>
      </w:r>
      <w:r>
        <w:rPr>
          <w:rtl w:val="true"/>
        </w:rPr>
        <w:t xml:space="preserve">נקבע כי לא נפל פגם בהימנעות המשטרה מלחקור את החבר ששהה עם המערער עד זמן קצר לפני התאונה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</w:t>
      </w:r>
      <w:r>
        <w:rPr>
          <w:rtl w:val="true"/>
        </w:rPr>
        <w:t xml:space="preserve">), </w:t>
      </w:r>
      <w:r>
        <w:rPr>
          <w:rtl w:val="true"/>
        </w:rPr>
        <w:t>מכיוון שהשניים לא שהו ביחד באופן רצוף טרם התאונה</w:t>
      </w:r>
      <w:r>
        <w:rPr>
          <w:rtl w:val="true"/>
        </w:rPr>
        <w:t xml:space="preserve">, </w:t>
      </w:r>
      <w:r>
        <w:rPr>
          <w:rtl w:val="true"/>
        </w:rPr>
        <w:t>ומאחר שמכל מקום החבר העיד מטעם ההגנה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26.9.2019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קמא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בעיניי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שלפתע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תגובה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נקלע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נהיגת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נקבע כי הערכים המוגנים בעבירות בהן הורשע המערער הם קדושת החיים</w:t>
      </w:r>
      <w:r>
        <w:rPr>
          <w:rtl w:val="true"/>
        </w:rPr>
        <w:t xml:space="preserve">, </w:t>
      </w:r>
      <w:r>
        <w:rPr>
          <w:rtl w:val="true"/>
        </w:rPr>
        <w:t>הגנה על שלמות הגוף והביטחון האישי של נהגים והולכי רגל</w:t>
      </w:r>
      <w:r>
        <w:rPr>
          <w:rtl w:val="true"/>
        </w:rPr>
        <w:t xml:space="preserve">, </w:t>
      </w:r>
      <w:r>
        <w:rPr>
          <w:rtl w:val="true"/>
        </w:rPr>
        <w:t>וכן הודגש כי בנסיבות המקרה דנן פגע המערער בערכים אלה באורח ממשי</w:t>
      </w:r>
      <w:r>
        <w:rPr>
          <w:rtl w:val="true"/>
        </w:rPr>
        <w:t xml:space="preserve">. </w:t>
      </w:r>
      <w:r>
        <w:rPr>
          <w:rtl w:val="true"/>
        </w:rPr>
        <w:t>בית המשפט קמא הוסיף והפנה לפסיקה שהדגישה כי על מנת להתמודד עם תופעת הקטל בכבישים עקב נהיגה בגילופין יש לנקוט בענישה מחמירה</w:t>
      </w:r>
      <w:r>
        <w:rPr>
          <w:rtl w:val="true"/>
        </w:rPr>
        <w:t xml:space="preserve">. </w:t>
      </w:r>
      <w:r>
        <w:rPr>
          <w:rtl w:val="true"/>
        </w:rPr>
        <w:t>ביישום הדברים על המקרה דנן</w:t>
      </w:r>
      <w:r>
        <w:rPr>
          <w:rtl w:val="true"/>
        </w:rPr>
        <w:t xml:space="preserve">, </w:t>
      </w:r>
      <w:r>
        <w:rPr>
          <w:rtl w:val="true"/>
        </w:rPr>
        <w:t>נקבע כי התוצאות הטראגיות של התאונה נגרמו ישירות מנטילת סיכון בוטה ובלתי מוצדקת מצד המערער</w:t>
      </w:r>
      <w:r>
        <w:rPr>
          <w:rtl w:val="true"/>
        </w:rPr>
        <w:t xml:space="preserve">, </w:t>
      </w:r>
      <w:r>
        <w:rPr>
          <w:rtl w:val="true"/>
        </w:rPr>
        <w:t>שעה שראה חירות לנהוג תחת השפעת אלכוהול ולאחר שעות רבות ללא שינה</w:t>
      </w:r>
      <w:r>
        <w:rPr>
          <w:rtl w:val="true"/>
        </w:rPr>
        <w:t xml:space="preserve">, </w:t>
      </w:r>
      <w:r>
        <w:rPr>
          <w:rtl w:val="true"/>
        </w:rPr>
        <w:t>ועל כן נסיבותיו האישיות ראויות להידחות מפני אינטרס ההרתעה והגמול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 לגזור את דינו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קמא מתחם ענישה אחד לעבירות בהן הורשע המערער אשר נע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 xml:space="preserve">. </w:t>
      </w:r>
      <w:r>
        <w:rPr>
          <w:rtl w:val="true"/>
        </w:rPr>
        <w:t>במסגרת קביעת העונש הראוי בתוך מתחם הענישה</w:t>
      </w:r>
      <w:r>
        <w:rPr>
          <w:rtl w:val="true"/>
        </w:rPr>
        <w:t xml:space="preserve">, </w:t>
      </w:r>
      <w:r>
        <w:rPr>
          <w:rtl w:val="true"/>
        </w:rPr>
        <w:t>צוינו כשיקולים לחומרה העדר נטילת אחריות מצד המערער למעשיו</w:t>
      </w:r>
      <w:r>
        <w:rPr>
          <w:rtl w:val="true"/>
        </w:rPr>
        <w:t xml:space="preserve">, </w:t>
      </w:r>
      <w:r>
        <w:rPr>
          <w:rtl w:val="true"/>
        </w:rPr>
        <w:t>היאחזותו הבלתי מבוססת בחוסר זיכרון כטענת מגן</w:t>
      </w:r>
      <w:r>
        <w:rPr>
          <w:rtl w:val="true"/>
        </w:rPr>
        <w:t xml:space="preserve">, </w:t>
      </w:r>
      <w:r>
        <w:rPr>
          <w:rtl w:val="true"/>
        </w:rPr>
        <w:t>עמידתו הדווקנית על חקירת כלל העדים בתיק והעובדה שתסקיר שירות המבחן בעניינו אינו כולל המלצה שיקומית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השיקולים לקולה בעניינו של המערער </w:t>
      </w:r>
      <w:r>
        <w:rPr>
          <w:rtl w:val="true"/>
        </w:rPr>
        <w:t>–</w:t>
      </w:r>
      <w:r>
        <w:rPr>
          <w:rtl w:val="true"/>
        </w:rPr>
        <w:t xml:space="preserve"> מצבו הרפואי והכלכלי והחשש שכליאתו תפגע קרוב לוודאי באשתו ובבתו התינוקת </w:t>
      </w:r>
      <w:r>
        <w:rPr>
          <w:rtl w:val="true"/>
        </w:rPr>
        <w:t>–</w:t>
      </w:r>
      <w:r>
        <w:rPr>
          <w:rtl w:val="true"/>
        </w:rPr>
        <w:t xml:space="preserve"> מצדיקים למתן את הענישה בתוככי המתחם שנקבע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קיבל בית המשפט את טענת המערער לפיה עניינו נכנס בגדר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כפי שתוקן לאחרונה לגבי עבירה שעניינה המתה בקלות דעת</w:t>
      </w:r>
      <w:r>
        <w:rPr>
          <w:rtl w:val="true"/>
        </w:rPr>
        <w:t xml:space="preserve">. </w:t>
      </w:r>
      <w:r>
        <w:rPr>
          <w:rtl w:val="true"/>
        </w:rPr>
        <w:t>נקבע כי גם אם היה המערער פזיז כלפי יצירת הסיכון</w:t>
      </w:r>
      <w:r>
        <w:rPr>
          <w:rtl w:val="true"/>
        </w:rPr>
        <w:t xml:space="preserve">, </w:t>
      </w:r>
      <w:r>
        <w:rPr>
          <w:rtl w:val="true"/>
        </w:rPr>
        <w:t>סביר כי קיווה שהסיכון לא יתרחש</w:t>
      </w:r>
      <w:r>
        <w:rPr>
          <w:rtl w:val="true"/>
        </w:rPr>
        <w:t xml:space="preserve">, </w:t>
      </w:r>
      <w:r>
        <w:rPr>
          <w:rtl w:val="true"/>
        </w:rPr>
        <w:t>אך בה בעת הובהר כי היקף הפזיזות בנסיבות דנן מצדיק ענישה הכוללת רכיב משמעותי של מאסר בפועל</w:t>
      </w:r>
      <w:r>
        <w:rPr>
          <w:rtl w:val="true"/>
        </w:rPr>
        <w:t xml:space="preserve">. </w:t>
      </w:r>
      <w:r>
        <w:rPr>
          <w:rtl w:val="true"/>
        </w:rPr>
        <w:t>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השית בית המשפט על המערער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שנתיים מאסר על</w:t>
      </w:r>
      <w:r>
        <w:rPr>
          <w:rtl w:val="true"/>
        </w:rPr>
        <w:t>-</w:t>
      </w:r>
      <w:r>
        <w:rPr>
          <w:rtl w:val="true"/>
        </w:rPr>
        <w:t xml:space="preserve">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פסילת המערער מקבלה או החזקה של רישיון נהיגה למשך </w:t>
      </w:r>
      <w:r>
        <w:rPr>
          <w:rFonts w:cs="FrankRuehl" w:ascii="FrankRuehl" w:hAnsi="FrankRuehl"/>
          <w:sz w:val="28"/>
        </w:rPr>
        <w:t>20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שנים ממועד מתן גזר הדין</w:t>
      </w:r>
      <w:r>
        <w:rPr>
          <w:rtl w:val="true"/>
        </w:rPr>
        <w:t xml:space="preserve"> ותשלום פיצוי כספי להורי המנוח </w:t>
      </w:r>
      <w:r>
        <w:rPr>
          <w:rFonts w:ascii="FrankRuehl" w:hAnsi="FrankRuehl" w:cs="FrankRuehl"/>
          <w:sz w:val="28"/>
          <w:sz w:val="28"/>
          <w:rtl w:val="true"/>
        </w:rPr>
        <w:t>בסך</w:t>
      </w:r>
      <w:r>
        <w:rPr>
          <w:rFonts w:ascii="FrankRuehl" w:hAnsi="FrankRuehl" w:cs="FrankRuehl"/>
          <w:sz w:val="28"/>
          <w:sz w:val="28"/>
          <w:rtl w:val="true"/>
        </w:rPr>
        <w:t xml:space="preserve"> של </w:t>
      </w:r>
      <w:r>
        <w:rPr>
          <w:rFonts w:cs="FrankRuehl" w:ascii="FrankRuehl" w:hAnsi="FrankRuehl"/>
          <w:sz w:val="28"/>
        </w:rPr>
        <w:t>25</w:t>
      </w:r>
      <w:r>
        <w:rPr>
          <w:rFonts w:cs="FrankRuehl" w:ascii="FrankRuehl" w:hAnsi="FrankRuehl"/>
          <w:sz w:val="28"/>
        </w:rPr>
        <w:t>,000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ח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1"/>
        <w:shd w:fill="FFFFFF" w:val="clear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1"/>
        <w:shd w:fill="FFFFFF" w:val="clear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מכאן ערעורו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הנסוב הן על הכרעת הדין והן על גזר הדין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11"/>
        <w:shd w:fill="FFFFFF" w:val="clear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1"/>
        <w:shd w:fill="FFFFFF" w:val="clear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טענות ה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צדדים</w:t>
      </w:r>
    </w:p>
    <w:p>
      <w:pPr>
        <w:pStyle w:val="ruller411"/>
        <w:shd w:fill="FFFFFF" w:val="clear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בהכרעת הדין נפלו שגיאות מהותיות</w:t>
      </w:r>
      <w:r>
        <w:rPr>
          <w:rtl w:val="true"/>
        </w:rPr>
        <w:t xml:space="preserve">, </w:t>
      </w:r>
      <w:r>
        <w:rPr>
          <w:rtl w:val="true"/>
        </w:rPr>
        <w:t>וממקד את עיקר טענותיו בקביעה שנהג בהיותו שיכור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 כי בית המשפט קמא לא נתן משקל ראוי לראיות סותרות</w:t>
      </w:r>
      <w:r>
        <w:rPr>
          <w:rtl w:val="true"/>
        </w:rPr>
        <w:t xml:space="preserve">, </w:t>
      </w:r>
      <w:r>
        <w:rPr>
          <w:rtl w:val="true"/>
        </w:rPr>
        <w:t>כגון הפער בין עדות הפרמדיקית לבין עדות הפרמדיק הנוסף לעניין ריח האלכוהול שלכאורה נדף ממנו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גורס המערער כי לא ניתן משקל הולם למחדלי חקירה חמורים ומהותיים בעניינו ולפגמים במסכת הראייתית</w:t>
      </w:r>
      <w:r>
        <w:rPr>
          <w:rtl w:val="true"/>
        </w:rPr>
        <w:t xml:space="preserve">, </w:t>
      </w:r>
      <w:r>
        <w:rPr>
          <w:rtl w:val="true"/>
        </w:rPr>
        <w:t>שפגעו ביכולתו להוכיח את חפותו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נטען כי המשטרה לא חקרה עדים רבים שיכלו לשפוך אור על מצבו של המערער בסמוך להתרחשות התאונה</w:t>
      </w:r>
      <w:r>
        <w:rPr>
          <w:rtl w:val="true"/>
        </w:rPr>
        <w:t xml:space="preserve">; </w:t>
      </w:r>
      <w:r>
        <w:rPr>
          <w:rtl w:val="true"/>
        </w:rPr>
        <w:t>כי דגימת הדם ניטלה מהמערער ללא הסכמתו</w:t>
      </w:r>
      <w:r>
        <w:rPr>
          <w:rtl w:val="true"/>
        </w:rPr>
        <w:t xml:space="preserve">, </w:t>
      </w:r>
      <w:r>
        <w:rPr>
          <w:rtl w:val="true"/>
        </w:rPr>
        <w:t>בלי אישור מקדים של רופא</w:t>
      </w:r>
      <w:r>
        <w:rPr>
          <w:rtl w:val="true"/>
        </w:rPr>
        <w:t xml:space="preserve">, </w:t>
      </w:r>
      <w:r>
        <w:rPr>
          <w:rtl w:val="true"/>
        </w:rPr>
        <w:t>בלא שנעשה לו זיהוי ואימות כדין</w:t>
      </w:r>
      <w:r>
        <w:rPr>
          <w:rtl w:val="true"/>
        </w:rPr>
        <w:t xml:space="preserve">; </w:t>
      </w:r>
      <w:r>
        <w:rPr>
          <w:rtl w:val="true"/>
        </w:rPr>
        <w:t>כי לא נפסלה האפשרות שדגימת הדם הושפעה מחומר החיטוי והתרופות שניתנו למערער</w:t>
      </w:r>
      <w:r>
        <w:rPr>
          <w:rtl w:val="true"/>
        </w:rPr>
        <w:t xml:space="preserve">; </w:t>
      </w:r>
      <w:r>
        <w:rPr>
          <w:rtl w:val="true"/>
        </w:rPr>
        <w:t>כי הדגימה הועברה מבית החולים למעבדה ללא השגחה ורישום מספקים</w:t>
      </w:r>
      <w:r>
        <w:rPr>
          <w:rtl w:val="true"/>
        </w:rPr>
        <w:t xml:space="preserve">; </w:t>
      </w:r>
      <w:r>
        <w:rPr>
          <w:rtl w:val="true"/>
        </w:rPr>
        <w:t>וכי המומחית שלמך הסתמכה בעדותה על התרשמותה של עובדת אחרת במעבדתה</w:t>
      </w:r>
      <w:r>
        <w:rPr>
          <w:rtl w:val="true"/>
        </w:rPr>
        <w:t>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שב המערער על טענתו להעדר קשר סיבתי בין אופן נהיגתו לבין מותו של המנוח</w:t>
      </w:r>
      <w:r>
        <w:rPr>
          <w:rtl w:val="true"/>
        </w:rPr>
        <w:t xml:space="preserve">, </w:t>
      </w:r>
      <w:r>
        <w:rPr>
          <w:rtl w:val="true"/>
        </w:rPr>
        <w:t>בשל כך שהמדינה לא שללה את האפשרות שהמנוח נסע ללא חגורת בטיחות או תחת השפעת אלכוהול או סמים</w:t>
      </w:r>
      <w:r>
        <w:rPr>
          <w:rtl w:val="true"/>
        </w:rPr>
        <w:t xml:space="preserve">, </w:t>
      </w:r>
      <w:r>
        <w:rPr>
          <w:rtl w:val="true"/>
        </w:rPr>
        <w:t>לא הוכיחה את מהירות נסיעתו של המנוח</w:t>
      </w:r>
      <w:r>
        <w:rPr>
          <w:rtl w:val="true"/>
        </w:rPr>
        <w:t xml:space="preserve">, </w:t>
      </w:r>
      <w:r>
        <w:rPr>
          <w:rtl w:val="true"/>
        </w:rPr>
        <w:t>ולא סיפקה הסבר מדוע המנוח לא הצליח</w:t>
      </w:r>
      <w:r>
        <w:rPr>
          <w:rtl w:val="true"/>
        </w:rPr>
        <w:t xml:space="preserve">, </w:t>
      </w:r>
      <w:r>
        <w:rPr>
          <w:rtl w:val="true"/>
        </w:rPr>
        <w:t>בשונה מנהגים אחרים</w:t>
      </w:r>
      <w:r>
        <w:rPr>
          <w:rtl w:val="true"/>
        </w:rPr>
        <w:t xml:space="preserve">, </w:t>
      </w:r>
      <w:r>
        <w:rPr>
          <w:rtl w:val="true"/>
        </w:rPr>
        <w:t>למנוע את התרחשות התאונה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גורס המערער כי שגה בית המשפט כשדחה את גרסתו לפיה נהג נגד כיוון התנועה בשל חוסר תשומת לב רגעי שבתום לב או עקב הירדמות פתאומית</w:t>
      </w:r>
      <w:r>
        <w:rPr>
          <w:rtl w:val="true"/>
        </w:rPr>
        <w:t xml:space="preserve">, </w:t>
      </w:r>
      <w:r>
        <w:rPr>
          <w:rtl w:val="true"/>
        </w:rPr>
        <w:t>וכן כי כתוצאה מהתאונה נפגע זיכרונו</w:t>
      </w:r>
      <w:r>
        <w:rPr>
          <w:rtl w:val="true"/>
        </w:rPr>
        <w:t xml:space="preserve">. </w:t>
      </w: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>סבור המערער כי לא הייתה הצדקה להרשעתו וכי לכל היותר היה על בית המשפט להרשיעו בעבירות קלות 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טוען המערער כי העונש שהושת עליו חמור יתר על המידה מאחר שהוא אינו מבוסס על מתן משקל ראוי לסוגיות הבאות</w:t>
      </w:r>
      <w:r>
        <w:rPr>
          <w:rtl w:val="true"/>
        </w:rPr>
        <w:t xml:space="preserve">: </w:t>
      </w:r>
      <w:r>
        <w:rPr>
          <w:rtl w:val="true"/>
        </w:rPr>
        <w:t>הגדרת המתה בקלות דעת כעבירה קלה יותר מהמתה באדישות במסגרת 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פציעתו של המערער באורח קשה בתאונה</w:t>
      </w:r>
      <w:r>
        <w:rPr>
          <w:rtl w:val="true"/>
        </w:rPr>
        <w:t xml:space="preserve">, </w:t>
      </w:r>
      <w:r>
        <w:rPr>
          <w:rtl w:val="true"/>
        </w:rPr>
        <w:t>הן פיזית והן נפשית</w:t>
      </w:r>
      <w:r>
        <w:rPr>
          <w:rtl w:val="true"/>
        </w:rPr>
        <w:t xml:space="preserve">, </w:t>
      </w:r>
      <w:r>
        <w:rPr>
          <w:rtl w:val="true"/>
        </w:rPr>
        <w:t>והעובדה שנותר בגינה נכה בשיעור גבוה</w:t>
      </w:r>
      <w:r>
        <w:rPr>
          <w:rtl w:val="true"/>
        </w:rPr>
        <w:t xml:space="preserve">; </w:t>
      </w:r>
      <w:r>
        <w:rPr>
          <w:rtl w:val="true"/>
        </w:rPr>
        <w:t>הטענה כי עד לכניסתו למאסר לקח המערער חלק בהליך שיקומי</w:t>
      </w:r>
      <w:r>
        <w:rPr>
          <w:rtl w:val="true"/>
        </w:rPr>
        <w:t xml:space="preserve">; </w:t>
      </w:r>
      <w:r>
        <w:rPr>
          <w:rtl w:val="true"/>
        </w:rPr>
        <w:t>והדגשת תסקיר שירות המבחן את היותו נעדר עבר פלילי</w:t>
      </w:r>
      <w:r>
        <w:rPr>
          <w:rtl w:val="true"/>
        </w:rPr>
        <w:t xml:space="preserve">, </w:t>
      </w:r>
      <w:r>
        <w:rPr>
          <w:rtl w:val="true"/>
        </w:rPr>
        <w:t>קשייו להשתלב מחדש בתעסוקה ובחברה</w:t>
      </w:r>
      <w:r>
        <w:rPr>
          <w:rtl w:val="true"/>
        </w:rPr>
        <w:t xml:space="preserve">, </w:t>
      </w:r>
      <w:r>
        <w:rPr>
          <w:rtl w:val="true"/>
        </w:rPr>
        <w:t>לקיחת אחריות על מעשיו והבעת אמפתיה כלפי משפחת המנוח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מבקש המערער כי נקל בעונש שנגזר עליו ככל שנדחה את ערעורו על הכרעת הדין</w:t>
      </w:r>
      <w:r>
        <w:rPr>
          <w:rtl w:val="true"/>
        </w:rPr>
        <w:t xml:space="preserve">, </w:t>
      </w:r>
      <w:r>
        <w:rPr>
          <w:rtl w:val="true"/>
        </w:rPr>
        <w:t>ובנוסף הוא מבקש כי נורה שמניין ימי פסילת רישיונו יחול מיום התרחשות התאונה</w:t>
      </w:r>
      <w:r>
        <w:rPr>
          <w:rtl w:val="true"/>
        </w:rPr>
        <w:t>.</w:t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מצדה סומכת ידה על פסק דינו של בית המשפט קמא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הכרעת הדין נשענת על ממצאי עובדה ומהימנות שאינם מצדיקים התערבות של ערכאת הערעור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שבה המדינה על נימוקיו של בית המשפט קמא שפורטו לעיל</w:t>
      </w:r>
      <w:r>
        <w:rPr>
          <w:rtl w:val="true"/>
        </w:rPr>
        <w:t xml:space="preserve">, </w:t>
      </w:r>
      <w:r>
        <w:rPr>
          <w:rtl w:val="true"/>
        </w:rPr>
        <w:t>ועל הראיות שבבסיסם</w:t>
      </w:r>
      <w:r>
        <w:rPr>
          <w:rtl w:val="true"/>
        </w:rPr>
        <w:t xml:space="preserve">, </w:t>
      </w:r>
      <w:r>
        <w:rPr>
          <w:rtl w:val="true"/>
        </w:rPr>
        <w:t>אשר לשיטתה שומטים את הקרקע תחת כלל טענות המערער למחדלי חקירה ופגמים במסכת הראייתית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מדגישה המדינה כי בהתאם לעדויות השוטר ואח בית החולים</w:t>
      </w:r>
      <w:r>
        <w:rPr>
          <w:rtl w:val="true"/>
        </w:rPr>
        <w:t xml:space="preserve">, </w:t>
      </w:r>
      <w:r>
        <w:rPr>
          <w:rtl w:val="true"/>
        </w:rPr>
        <w:t>המערער היה מחוסר הכרה עם הגעתו לבית החולים</w:t>
      </w:r>
      <w:r>
        <w:rPr>
          <w:rtl w:val="true"/>
        </w:rPr>
        <w:t xml:space="preserve">, </w:t>
      </w:r>
      <w:r>
        <w:rPr>
          <w:rtl w:val="true"/>
        </w:rPr>
        <w:t>ולפיכך לא ניתן היה לקבל את הסכמתו לנטילת דגימת הדם ממנו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הראיות בתיק מבטלות את חששו של המערער לפיו דגימת הדם שנבדקה ניטלה מאדם אחר</w:t>
      </w:r>
      <w:r>
        <w:rPr>
          <w:rtl w:val="true"/>
        </w:rPr>
        <w:t xml:space="preserve">, </w:t>
      </w:r>
      <w:r>
        <w:rPr>
          <w:rtl w:val="true"/>
        </w:rPr>
        <w:t>וכן כי דו</w:t>
      </w:r>
      <w:r>
        <w:rPr>
          <w:rtl w:val="true"/>
        </w:rPr>
        <w:t>"</w:t>
      </w:r>
      <w:r>
        <w:rPr>
          <w:rtl w:val="true"/>
        </w:rPr>
        <w:t>ח נטילת הדם מהמערער נערך באופן מלא ומפורט בהתאם לדרישות הדין</w:t>
      </w:r>
      <w:r>
        <w:rPr>
          <w:rtl w:val="true"/>
        </w:rPr>
        <w:t xml:space="preserve">. </w:t>
      </w:r>
      <w:r>
        <w:rPr>
          <w:rtl w:val="true"/>
        </w:rPr>
        <w:t>עוד נטען כי בהתאם לדו</w:t>
      </w:r>
      <w:r>
        <w:rPr>
          <w:rtl w:val="true"/>
        </w:rPr>
        <w:t>"</w:t>
      </w:r>
      <w:r>
        <w:rPr>
          <w:rtl w:val="true"/>
        </w:rPr>
        <w:t>ח האמור חומר החיטוי בו השתמש אח בית החולים טרם נטילת בדיקת הדם מהמערער אינו אלכוהולי</w:t>
      </w:r>
      <w:r>
        <w:rPr>
          <w:rtl w:val="true"/>
        </w:rPr>
        <w:t xml:space="preserve">, </w:t>
      </w:r>
      <w:r>
        <w:rPr>
          <w:rtl w:val="true"/>
        </w:rPr>
        <w:t xml:space="preserve">וממילא כמות האלכוהול שנמצאה בדמו של המערער גבוהה בערך פי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מהשיעור שנקבע בדין</w:t>
      </w:r>
      <w:r>
        <w:rPr>
          <w:rtl w:val="true"/>
        </w:rPr>
        <w:t xml:space="preserve">. </w:t>
      </w:r>
      <w:r>
        <w:rPr>
          <w:rtl w:val="true"/>
        </w:rPr>
        <w:t xml:space="preserve">המדינה מוסיפה וטוענת כי החלטת המשטרה שלא לחקור את האנשים עמם שוחח המערער בטלפון הנייד בדקות שלפני התאונה או את החבר ששהה עמו בבילוי הלילי שקדם לתאונה </w:t>
      </w:r>
      <w:r>
        <w:rPr>
          <w:rtl w:val="true"/>
        </w:rPr>
        <w:t>–</w:t>
      </w:r>
      <w:r>
        <w:rPr>
          <w:rtl w:val="true"/>
        </w:rPr>
        <w:t xml:space="preserve"> לא פגעה בהגנת המערער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הודגש כי אותו חבר נחקר כעד מטעם ההגנה</w:t>
      </w:r>
      <w:r>
        <w:rPr>
          <w:rtl w:val="true"/>
        </w:rPr>
        <w:t xml:space="preserve">, </w:t>
      </w:r>
      <w:r>
        <w:rPr>
          <w:rtl w:val="true"/>
        </w:rPr>
        <w:t>וכי בית המשפט התרשם שאין בכוחה של גרסתו לתרום להגנת המערער מאחר שלא שהו יחד ברציפות טרם התאונה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טוענת המדינה כי העונש שהוטל על המערער הינו עונש ראוי בהתחשב בחומרת מעשיו</w:t>
      </w:r>
      <w:r>
        <w:rPr>
          <w:rtl w:val="true"/>
        </w:rPr>
        <w:t xml:space="preserve">, </w:t>
      </w:r>
      <w:r>
        <w:rPr>
          <w:rtl w:val="true"/>
        </w:rPr>
        <w:t>וכי הוא מביא בחשבון את כלל השיקולים לקולה הנוגעים לעניין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סבורה המדינה שאין בענייננו הצדקה להתערבות בגזר 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שהתקיים לפנינו הגיש שירות המבחן תסקיר משלים</w:t>
      </w:r>
      <w:r>
        <w:rPr>
          <w:rtl w:val="true"/>
        </w:rPr>
        <w:t xml:space="preserve">, </w:t>
      </w:r>
      <w:r>
        <w:rPr>
          <w:rtl w:val="true"/>
        </w:rPr>
        <w:t xml:space="preserve">בו צוין כי המערער החל ביום </w:t>
      </w:r>
      <w:r>
        <w:rPr/>
        <w:t>25.11.2019</w:t>
      </w:r>
      <w:r>
        <w:rPr>
          <w:rtl w:val="true"/>
        </w:rPr>
        <w:t xml:space="preserve"> </w:t>
      </w:r>
      <w:r>
        <w:rPr>
          <w:rtl w:val="true"/>
        </w:rPr>
        <w:t>בריצוי עונשו</w:t>
      </w:r>
      <w:r>
        <w:rPr>
          <w:rtl w:val="true"/>
        </w:rPr>
        <w:t xml:space="preserve">, </w:t>
      </w:r>
      <w:r>
        <w:rPr>
          <w:rtl w:val="true"/>
        </w:rPr>
        <w:t>כי מלבד שתי הפרות משמעת תפקודו של המערער בבית האסורים תקין</w:t>
      </w:r>
      <w:r>
        <w:rPr>
          <w:rtl w:val="true"/>
        </w:rPr>
        <w:t xml:space="preserve">, </w:t>
      </w:r>
      <w:r>
        <w:rPr>
          <w:rtl w:val="true"/>
        </w:rPr>
        <w:t>וכי הוא שיתף פעולה בהליך הטיפולי במחלקת התעבורה בה שובץ תחילה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במהלך הדיון שהתקיים ביום </w:t>
      </w:r>
      <w:r>
        <w:rPr/>
        <w:t>19.11.2020</w:t>
      </w:r>
      <w:r>
        <w:rPr>
          <w:rtl w:val="true"/>
        </w:rPr>
        <w:t xml:space="preserve"> </w:t>
      </w:r>
      <w:r>
        <w:rPr>
          <w:rtl w:val="true"/>
        </w:rPr>
        <w:t>חזרו באי כוח הצדדים על עיקר טענותיהם</w:t>
      </w:r>
      <w:r>
        <w:rPr>
          <w:rtl w:val="true"/>
        </w:rPr>
        <w:t xml:space="preserve">. </w:t>
      </w:r>
      <w:r>
        <w:rPr>
          <w:rtl w:val="true"/>
        </w:rPr>
        <w:t>באת כוח המערער הדגישה כי לשיטתה יש לפסול את כל שרשרת המוצג של דגימת הדם</w:t>
      </w:r>
      <w:r>
        <w:rPr>
          <w:rtl w:val="true"/>
        </w:rPr>
        <w:t xml:space="preserve">, </w:t>
      </w:r>
      <w:r>
        <w:rPr>
          <w:rtl w:val="true"/>
        </w:rPr>
        <w:t>מכיוון שעובדת המעבדה שטיפלה בדגימת הדם לא העידה בבית המשפט קמא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 כוח המדינה ציינה כי נערכו שיחות עם האנשים שהופיעו ברשימת פלט השיחות מהטלפון הנייד של המערער בסמוך לקרות התאונה</w:t>
      </w:r>
      <w:r>
        <w:rPr>
          <w:rtl w:val="true"/>
        </w:rPr>
        <w:t xml:space="preserve">, </w:t>
      </w:r>
      <w:r>
        <w:rPr>
          <w:rtl w:val="true"/>
        </w:rPr>
        <w:t>אך אף אחת מהן לא שפכה אור נוסף על מצבו של המערער טרם התאונה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הסכימה באת כוח המדינה כי פסילת רישיון המערער תחל ביום </w:t>
      </w:r>
      <w:r>
        <w:rPr/>
        <w:t>23.1.2016</w:t>
      </w:r>
      <w:r>
        <w:rPr>
          <w:rtl w:val="true"/>
        </w:rPr>
        <w:t xml:space="preserve"> (</w:t>
      </w:r>
      <w:r>
        <w:rPr>
          <w:rtl w:val="true"/>
        </w:rPr>
        <w:t>יממה לאחר התרחשות התאונה</w:t>
      </w:r>
      <w:r>
        <w:rPr>
          <w:rtl w:val="true"/>
        </w:rPr>
        <w:t>).</w:t>
      </w:r>
    </w:p>
    <w:p>
      <w:pPr>
        <w:pStyle w:val="ruller411"/>
        <w:shd w:fill="FFFFFF" w:val="clear"/>
        <w:ind w:end="0"/>
        <w:jc w:val="both"/>
        <w:rPr/>
      </w:pPr>
      <w:r>
        <w:rPr>
          <w:rtl w:val="true"/>
        </w:rPr>
      </w:r>
    </w:p>
    <w:p>
      <w:pPr>
        <w:pStyle w:val="ruller411"/>
        <w:shd w:fill="FFFFFF" w:val="clear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דיון והכרעה</w:t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לאחר </w:t>
      </w:r>
      <w:r>
        <w:rPr>
          <w:rtl w:val="true"/>
        </w:rPr>
        <w:t>עיון</w:t>
      </w:r>
      <w:r>
        <w:rPr>
          <w:rtl w:val="true"/>
        </w:rPr>
        <w:t xml:space="preserve"> בנימוקי הערעור ובתשובת המדינה</w:t>
      </w:r>
      <w:r>
        <w:rPr>
          <w:rtl w:val="true"/>
        </w:rPr>
        <w:t xml:space="preserve">, </w:t>
      </w:r>
      <w:r>
        <w:rPr>
          <w:rtl w:val="true"/>
        </w:rPr>
        <w:t>וכן בהכרעת הדין ו</w:t>
      </w:r>
      <w:r>
        <w:rPr>
          <w:rtl w:val="true"/>
        </w:rPr>
        <w:t>ב</w:t>
      </w:r>
      <w:r>
        <w:rPr>
          <w:rtl w:val="true"/>
        </w:rPr>
        <w:t>גזר הדין של בית המשפט קמא</w:t>
      </w:r>
      <w:r>
        <w:rPr>
          <w:rtl w:val="true"/>
        </w:rPr>
        <w:t xml:space="preserve">, </w:t>
      </w:r>
      <w:r>
        <w:rPr>
          <w:rtl w:val="true"/>
        </w:rPr>
        <w:t>ושמיעת</w:t>
      </w:r>
      <w:r>
        <w:rPr>
          <w:rtl w:val="true"/>
        </w:rPr>
        <w:t xml:space="preserve"> טענות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 xml:space="preserve">הגעתי </w:t>
      </w:r>
      <w:r>
        <w:rPr>
          <w:rtl w:val="true"/>
        </w:rPr>
        <w:t>ל</w:t>
      </w:r>
      <w:r>
        <w:rPr>
          <w:rtl w:val="true"/>
        </w:rPr>
        <w:t>מסקנה כי יש לדחות את הערעור על שני חלקיו</w:t>
      </w:r>
      <w:r>
        <w:rPr>
          <w:rtl w:val="true"/>
        </w:rPr>
        <w:t xml:space="preserve">, </w:t>
      </w:r>
      <w:r>
        <w:rPr>
          <w:rtl w:val="true"/>
        </w:rPr>
        <w:t>וזאת למעט לעניין התיקון המוסכם של מועד תחילת פסילת הרישיון</w:t>
      </w:r>
      <w:r>
        <w:rPr>
          <w:rtl w:val="true"/>
        </w:rPr>
        <w:t xml:space="preserve">, </w:t>
      </w:r>
      <w:r>
        <w:rPr>
          <w:rtl w:val="true"/>
        </w:rPr>
        <w:t>וכך אמליץ גם לחבריי לעשות</w:t>
      </w:r>
      <w:r>
        <w:rPr>
          <w:rtl w:val="true"/>
        </w:rPr>
        <w:t xml:space="preserve">. </w:t>
      </w:r>
      <w:r>
        <w:rPr>
          <w:rtl w:val="true"/>
        </w:rPr>
        <w:t>להלן נימוקיי</w:t>
      </w:r>
      <w:r>
        <w:rPr>
          <w:rtl w:val="true"/>
        </w:rPr>
        <w:t>.</w:t>
      </w:r>
    </w:p>
    <w:p>
      <w:pPr>
        <w:pStyle w:val="ruller411"/>
        <w:shd w:fill="FFFFFF" w:val="clear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ואומר</w:t>
      </w:r>
      <w:r>
        <w:rPr>
          <w:rtl w:val="true"/>
        </w:rPr>
        <w:t xml:space="preserve">: </w:t>
      </w:r>
      <w:r>
        <w:rPr>
          <w:rtl w:val="true"/>
        </w:rPr>
        <w:t>עיקר טענותיו של המערער ביחס להכרעת הדין מכוונות נגד ממצאי עובדה וקביעות מהימנות של בית המשפט קמא</w:t>
      </w:r>
      <w:r>
        <w:rPr>
          <w:rtl w:val="true"/>
        </w:rPr>
        <w:t xml:space="preserve">. </w:t>
      </w:r>
      <w:r>
        <w:rPr>
          <w:rtl w:val="true"/>
        </w:rPr>
        <w:t>הלכה פסוקה היא כי ערכאת הערעור אינה נוטה להתערב בממצאי עובדה ומהימנות של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 יכולת הערכאה הדיונית להתרשם באופן ישיר ובלתי אמצעי מהצדדים</w:t>
      </w:r>
      <w:r>
        <w:rPr>
          <w:rtl w:val="true"/>
        </w:rPr>
        <w:t xml:space="preserve">, </w:t>
      </w:r>
      <w:r>
        <w:rPr>
          <w:rtl w:val="true"/>
        </w:rPr>
        <w:t xml:space="preserve">ראיותיהם והעדויות מטעמם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 רבים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1193/16</w:t>
        </w:r>
      </w:hyperlink>
      <w:r>
        <w:rPr>
          <w:b/>
          <w:bCs/>
          <w:sz w:val="27"/>
          <w:szCs w:val="27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סונגו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17.5.2018</w:t>
      </w:r>
      <w:r>
        <w:rPr>
          <w:sz w:val="27"/>
          <w:szCs w:val="27"/>
          <w:rtl w:val="true"/>
        </w:rPr>
        <w:t>);</w:t>
      </w:r>
      <w:r>
        <w:rPr>
          <w:sz w:val="27"/>
          <w:szCs w:val="27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989/19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(</w:t>
      </w:r>
      <w:r>
        <w:rPr/>
        <w:t>19.12.2019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גבאי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26.2.2020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נמנה בגדר המקרים החריגים שמצדיקים התערבות כאמור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>הקו המקשר בין מרבית טענות המערער הוא שלשיטתו הגנתו בהליך נפגעה עקב מחדלי חקירה וכשלים שנפלו בגיבוש המסכת הראייתית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כידוע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מחדלי חקירה כשלעצמם </w:t>
      </w:r>
      <w:r>
        <w:rPr>
          <w:shd w:fill="FFFFFF" w:val="clear"/>
          <w:rtl w:val="true"/>
        </w:rPr>
        <w:t>אינם מספיקים לשם זיכוי</w:t>
      </w:r>
      <w:r>
        <w:rPr>
          <w:shd w:fill="FFFFFF" w:val="clear"/>
          <w:rtl w:val="true"/>
        </w:rPr>
        <w:t xml:space="preserve"> נאשם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 xml:space="preserve">על מנת לבסס ספק סביר ולהביא לזיכויו של המערער </w:t>
      </w:r>
      <w:r>
        <w:rPr>
          <w:shd w:fill="FFFFFF" w:val="clear"/>
          <w:rtl w:val="true"/>
        </w:rPr>
        <w:t xml:space="preserve">נדרש מחדל מהותי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 xml:space="preserve">מקפח את הגנתו והיורד לשורש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 xml:space="preserve">עניין </w:t>
      </w:r>
      <w:r>
        <w:rPr>
          <w:shd w:fill="FFFFFF" w:val="clear"/>
          <w:rtl w:val="true"/>
        </w:rPr>
        <w:t>(</w:t>
      </w:r>
      <w:hyperlink r:id="rId50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5073/11</w:t>
        </w:r>
      </w:hyperlink>
      <w:r>
        <w:rPr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חנוכה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22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12.11.201</w:t>
      </w:r>
      <w:r>
        <w:rPr>
          <w:shd w:fill="FFFFFF" w:val="clear"/>
        </w:rPr>
        <w:t>4</w:t>
      </w:r>
      <w:r>
        <w:rPr>
          <w:shd w:fill="FFFFFF" w:val="clear"/>
          <w:rtl w:val="true"/>
        </w:rPr>
        <w:t>) (</w:t>
      </w:r>
      <w:r>
        <w:rPr>
          <w:shd w:fill="FFFFFF" w:val="clear"/>
          <w:rtl w:val="true"/>
        </w:rPr>
        <w:t>להלן</w:t>
      </w:r>
      <w:r>
        <w:rPr>
          <w:shd w:fill="FFFFFF" w:val="clear"/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עניין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חנוכה</w:t>
      </w:r>
      <w:r>
        <w:rPr>
          <w:shd w:fill="FFFFFF" w:val="clear"/>
          <w:rtl w:val="true"/>
        </w:rPr>
        <w:t xml:space="preserve">); </w:t>
      </w:r>
      <w:hyperlink r:id="rId51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8965/18</w:t>
        </w:r>
      </w:hyperlink>
      <w:r>
        <w:rPr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מחאג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פסקאות </w:t>
      </w:r>
      <w:r>
        <w:rPr>
          <w:shd w:fill="FFFFFF" w:val="clear"/>
        </w:rPr>
        <w:t>35-33</w:t>
      </w:r>
      <w:r>
        <w:rPr>
          <w:shd w:fill="FFFFFF" w:val="clear"/>
          <w:rtl w:val="true"/>
        </w:rPr>
        <w:t xml:space="preserve"> </w:t>
      </w:r>
      <w:r>
        <w:rPr>
          <w:rFonts w:cs="FrankRuehl" w:ascii="FrankRuehl" w:hAnsi="FrankRuehl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sz w:val="28"/>
          <w:shd w:fill="FFFFFF" w:val="clear"/>
        </w:rPr>
        <w:t>3.11.2019</w:t>
      </w:r>
      <w:r>
        <w:rPr>
          <w:rFonts w:cs="FrankRuehl" w:ascii="FrankRuehl" w:hAnsi="FrankRuehl"/>
          <w:sz w:val="28"/>
          <w:shd w:fill="FFFFFF" w:val="clear"/>
          <w:rtl w:val="true"/>
        </w:rPr>
        <w:t>)</w:t>
      </w:r>
      <w:r>
        <w:rPr>
          <w:rFonts w:cs="FrankRuehl" w:ascii="FrankRuehl" w:hAnsi="FrankRuehl"/>
          <w:sz w:val="28"/>
          <w:shd w:fill="FFFFFF" w:val="clear"/>
          <w:rtl w:val="true"/>
        </w:rPr>
        <w:t xml:space="preserve">; </w:t>
      </w:r>
      <w:hyperlink r:id="rId52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517/19</w:t>
        </w:r>
      </w:hyperlink>
      <w:r>
        <w:rPr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אבו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עמאר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38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6.7.2020</w:t>
      </w:r>
      <w:r>
        <w:rPr>
          <w:shd w:fill="FFFFFF" w:val="clear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 המשפט קמא דחה את כלל טענותיו של המערער למחדלי חקירה ולכשלים במסכת הראייתית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shd w:fill="FFFFFF" w:val="clear"/>
          <w:rtl w:val="true"/>
        </w:rPr>
        <w:t>לא מצאתי פגם בקביע</w:t>
      </w:r>
      <w:r>
        <w:rPr>
          <w:shd w:fill="FFFFFF" w:val="clear"/>
          <w:rtl w:val="true"/>
        </w:rPr>
        <w:t>ו</w:t>
      </w:r>
      <w:r>
        <w:rPr>
          <w:shd w:fill="FFFFFF" w:val="clear"/>
          <w:rtl w:val="true"/>
        </w:rPr>
        <w:t>ת</w:t>
      </w:r>
      <w:r>
        <w:rPr>
          <w:shd w:fill="FFFFFF" w:val="clear"/>
          <w:rtl w:val="true"/>
        </w:rPr>
        <w:t>י</w:t>
      </w:r>
      <w:r>
        <w:rPr>
          <w:shd w:fill="FFFFFF" w:val="clear"/>
          <w:rtl w:val="true"/>
        </w:rPr>
        <w:t>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יתרה מכך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אף אם היה ממש בטענותיו של המערער בעניין זה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וכאמור אינני סבור 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אין מדובר במחדלי חקירה מהותיים המקפחים את הגנתו והיורדים לשורש העניין</w:t>
      </w:r>
      <w:r>
        <w:rPr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rFonts w:cs="Miriam"/>
          <w:b/>
          <w:b/>
          <w:spacing w:val="0"/>
          <w:szCs w:val="24"/>
          <w:rtl w:val="true"/>
        </w:rPr>
        <w:t>ראשית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ובכל הנוגע לטענות המערער בדבר הימנעות המשטרה מלחקור עדים נוספים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יודגש כי העובדה שהחבר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בו התמקד המערער בטענותיו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העיד בהליך מטעם ההגנה משככת את חששו של המערער כי גרסתו לא הוצגה בפני בית המשפט קמא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וודאי שומטת את הקרקע כי עניין לנו במחדל חקירה מהותי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לא כל שכן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שעה</w:t>
      </w:r>
      <w:r>
        <w:rPr>
          <w:shd w:fill="FFFFFF" w:val="clear"/>
          <w:rtl w:val="true"/>
        </w:rPr>
        <w:t xml:space="preserve"> שבית המשפט קמא התרשם </w:t>
      </w:r>
      <w:r>
        <w:rPr>
          <w:rtl w:val="true"/>
        </w:rPr>
        <w:t>שאין בעדות החבר כדי להועיל להגנת המערער</w:t>
      </w:r>
      <w:r>
        <w:rPr>
          <w:rtl w:val="true"/>
        </w:rPr>
        <w:t xml:space="preserve">, </w:t>
      </w:r>
      <w:r>
        <w:rPr>
          <w:rtl w:val="true"/>
        </w:rPr>
        <w:t>מהטעם שהשניים לא שהו יחד ברציפות עובר להתרחשות התאונה</w:t>
      </w:r>
      <w:r>
        <w:rPr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למעלה מכך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tl w:val="true"/>
        </w:rPr>
        <w:t>במסגרת הדיון שהתקיים לפנינו ציינה באת כוח המדינה כי המשטרה ערכה שיחות עם האנשים שהופיעו ברשימת פלט השיחות מהטלפון הנייד של המערער בסמוך לקרות התאונה</w:t>
      </w:r>
      <w:r>
        <w:rPr>
          <w:rtl w:val="true"/>
        </w:rPr>
        <w:t xml:space="preserve">, </w:t>
      </w:r>
      <w:r>
        <w:rPr>
          <w:rtl w:val="true"/>
        </w:rPr>
        <w:t>ונמצא כי אף לא אחד מהם שפך אור חדש על מצבו של המערער עובר לתאונה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אין לקבל את טענות המערער כי גביית העדויות בהליך על ידי המשטרה מקימה עילה להתערבות ערכאת הערעור בפסק דינו של בית </w:t>
      </w:r>
      <w:r>
        <w:rPr>
          <w:rtl w:val="true"/>
        </w:rPr>
        <w:t>המשפט קמ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hd w:fill="FFFFFF" w:val="clear"/>
        </w:rPr>
      </w:pPr>
      <w:r>
        <w:rPr>
          <w:rFonts w:eastAsia="Garamond"/>
          <w:shd w:fill="FFFFFF" w:val="clear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ובכל הנוגע לחצים שמפנה המערער כלפי </w:t>
      </w:r>
      <w:r>
        <w:rPr>
          <w:rtl w:val="true"/>
        </w:rPr>
        <w:t>אופן נטילת דגימת הדם ממנו בבית החולים</w:t>
      </w:r>
      <w:r>
        <w:rPr>
          <w:rtl w:val="true"/>
        </w:rPr>
        <w:t xml:space="preserve">, </w:t>
      </w:r>
      <w:r>
        <w:rPr>
          <w:rtl w:val="true"/>
        </w:rPr>
        <w:t xml:space="preserve">שרשרת העברתה והטיפול המעבדתי בה </w:t>
      </w:r>
      <w:r>
        <w:rPr>
          <w:rtl w:val="true"/>
        </w:rPr>
        <w:t>–</w:t>
      </w:r>
      <w:r>
        <w:rPr>
          <w:rtl w:val="true"/>
        </w:rPr>
        <w:t xml:space="preserve"> יצוין כי בית המשפט קמא </w:t>
      </w:r>
      <w:r>
        <w:rPr>
          <w:rFonts w:ascii="FrankRuehl" w:hAnsi="FrankRuehl" w:cs="FrankRuehl"/>
          <w:sz w:val="28"/>
          <w:sz w:val="28"/>
          <w:rtl w:val="true"/>
        </w:rPr>
        <w:t xml:space="preserve"> מצא שדי בעדויות בדבר אופן נהיגת המערער ובעדויות גורמי הטיפול בו כדי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לבסס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ומעבר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ספק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סביר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הנאשם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שיכור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להתרחשות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התאונה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להכרעת הדין</w:t>
      </w:r>
      <w:r>
        <w:rPr>
          <w:rFonts w:cs="FrankRuehl" w:ascii="FrankRuehl" w:hAnsi="FrankRuehl"/>
          <w:sz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rtl w:val="true"/>
        </w:rPr>
        <w:t>אשר על 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הרשעת המערער כאמור בהכרעת הדין נותרת על כנה אף ללא ממצאי בית המשפט קמא בכל הקשור לדגימת הדם שנלקחה ממנו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וניתן להסתפק בכך כדי לדחות את טענותיו של המערער בעניין זה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מכל מקום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במקרה שלפנינו קבע בית המשפט קמא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ובקביעות אלה לא ראיתי הצדקה להתערב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כי לא היה נדרש בנסיבות המקרה דנן אישור של רופא לנטילת הדגימה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>ראו</w:t>
      </w:r>
      <w:r>
        <w:rPr>
          <w:rFonts w:cs="FrankRuehl" w:ascii="FrankRuehl" w:hAnsi="FrankRuehl"/>
          <w:sz w:val="28"/>
          <w:rtl w:val="true"/>
        </w:rPr>
        <w:t xml:space="preserve">: </w:t>
      </w:r>
      <w:hyperlink r:id="rId53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64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לפקודה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rtl w:val="true"/>
        </w:rPr>
        <w:t>וכי אין בטענות המערער כדי להצביע על פגמים מהותיים בנטילת דגימת הדם ו</w:t>
      </w:r>
      <w:r>
        <w:rPr>
          <w:rFonts w:ascii="FrankRuehl" w:hAnsi="FrankRuehl" w:cs="FrankRuehl"/>
          <w:sz w:val="28"/>
          <w:sz w:val="28"/>
          <w:rtl w:val="true"/>
        </w:rPr>
        <w:t>שרשרת העברת</w:t>
      </w:r>
      <w:r>
        <w:rPr>
          <w:rFonts w:ascii="FrankRuehl" w:hAnsi="FrankRuehl" w:cs="FrankRuehl"/>
          <w:sz w:val="28"/>
          <w:sz w:val="28"/>
          <w:rtl w:val="true"/>
        </w:rPr>
        <w:t>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כמו 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tl w:val="true"/>
        </w:rPr>
        <w:t>גם הטענה לפיה עדות המומחית שלמך מהווה עדות מפי השמועה</w:t>
      </w:r>
      <w:r>
        <w:rPr>
          <w:rtl w:val="true"/>
        </w:rPr>
        <w:t xml:space="preserve">, </w:t>
      </w:r>
      <w:r>
        <w:rPr>
          <w:rtl w:val="true"/>
        </w:rPr>
        <w:t>אין לה על מה לסמוך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העובדה שמחברת דו</w:t>
      </w:r>
      <w:r>
        <w:rPr>
          <w:rtl w:val="true"/>
        </w:rPr>
        <w:t>"</w:t>
      </w:r>
      <w:r>
        <w:rPr>
          <w:rtl w:val="true"/>
        </w:rPr>
        <w:t>ח המוצג לפני בית המשפט מסתייעת בעבודתה בעזרת עובדים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אשר בקיאים בכללים ובנהלים לטיפול בדגימת הדם ופועלים בהתאם להם </w:t>
      </w:r>
      <w:r>
        <w:rPr>
          <w:rtl w:val="true"/>
        </w:rPr>
        <w:t>–</w:t>
      </w:r>
      <w:r>
        <w:rPr>
          <w:rtl w:val="true"/>
        </w:rPr>
        <w:t xml:space="preserve"> אינה הופכת את הדו</w:t>
      </w:r>
      <w:r>
        <w:rPr>
          <w:rtl w:val="true"/>
        </w:rPr>
        <w:t>"</w:t>
      </w:r>
      <w:r>
        <w:rPr>
          <w:rtl w:val="true"/>
        </w:rPr>
        <w:t xml:space="preserve">ח לבלתי קביל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חנוכה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דיאב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(</w:t>
      </w:r>
      <w:r>
        <w:rPr/>
        <w:t>1.3.2020</w:t>
      </w:r>
      <w:r>
        <w:rPr>
          <w:rtl w:val="true"/>
        </w:rPr>
        <w:t>)).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לפיכך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המערער לא הציג טעם לסתירת הקביעה לפיה נמצאה בדמו כמות אלכוהול הגבוהה בלמעלה מפי </w:t>
      </w: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מהשיעור הקבוע בדין </w:t>
      </w:r>
      <w:r>
        <w:rPr>
          <w:rFonts w:ascii="FrankRuehl" w:hAnsi="FrankRuehl" w:cs="FrankRuehl"/>
          <w:sz w:val="28"/>
          <w:sz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rtl w:val="true"/>
        </w:rPr>
        <w:t xml:space="preserve"> קביעה שדי בה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כשלעצמה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על מנת לבסס בנסיבות המקרה את היות המערער בגילופין בזמן התאונה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>זאת ועוד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יש </w:t>
      </w:r>
      <w:r>
        <w:rPr>
          <w:shd w:fill="FFFFFF" w:val="clear"/>
          <w:rtl w:val="true"/>
        </w:rPr>
        <w:t xml:space="preserve">לדחות גם את טענות המערער </w:t>
      </w:r>
      <w:r>
        <w:rPr>
          <w:shd w:fill="FFFFFF" w:val="clear"/>
          <w:rtl w:val="true"/>
        </w:rPr>
        <w:t>ל</w:t>
      </w:r>
      <w:r>
        <w:rPr>
          <w:shd w:fill="FFFFFF" w:val="clear"/>
          <w:rtl w:val="true"/>
        </w:rPr>
        <w:t xml:space="preserve">עניין </w:t>
      </w:r>
      <w:r>
        <w:rPr>
          <w:shd w:fill="FFFFFF" w:val="clear"/>
          <w:rtl w:val="true"/>
        </w:rPr>
        <w:t>ניתוק הקשר הסיבתי בין נהיגתו לתוצאות התאונה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העיקר לענייננו הוא ש</w:t>
      </w:r>
      <w:r>
        <w:rPr>
          <w:shd w:fill="FFFFFF" w:val="clear"/>
          <w:rtl w:val="true"/>
        </w:rPr>
        <w:t>אלמלא</w:t>
      </w:r>
      <w:r>
        <w:rPr>
          <w:shd w:fill="FFFFFF" w:val="clear"/>
          <w:rtl w:val="true"/>
        </w:rPr>
        <w:t xml:space="preserve"> אופן נהיגתו של המערער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לא הייתה</w:t>
      </w:r>
      <w:r>
        <w:rPr>
          <w:shd w:fill="FFFFFF" w:val="clear"/>
          <w:rtl w:val="true"/>
        </w:rPr>
        <w:t xml:space="preserve"> נגרמת הת</w:t>
      </w:r>
      <w:r>
        <w:rPr>
          <w:shd w:fill="FFFFFF" w:val="clear"/>
          <w:rtl w:val="true"/>
        </w:rPr>
        <w:t xml:space="preserve">אונה בה נפצע המנוח באופן אנוש </w:t>
      </w:r>
      <w:r>
        <w:rPr>
          <w:shd w:fill="FFFFFF" w:val="clear"/>
          <w:rtl w:val="true"/>
        </w:rPr>
        <w:t>(</w:t>
      </w:r>
      <w:hyperlink r:id="rId55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456/16</w:t>
        </w:r>
      </w:hyperlink>
      <w:r>
        <w:rPr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צ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ורני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36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4.3.2018</w:t>
      </w:r>
      <w:r>
        <w:rPr>
          <w:shd w:fill="FFFFFF" w:val="clear"/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8483/16</w:t>
        </w:r>
      </w:hyperlink>
      <w:r>
        <w:rPr>
          <w:rtl w:val="true"/>
        </w:rPr>
        <w:t xml:space="preserve">  </w:t>
      </w:r>
      <w:r>
        <w:rPr>
          <w:rFonts w:cs="Miriam"/>
          <w:b/>
          <w:b/>
          <w:spacing w:val="0"/>
          <w:szCs w:val="24"/>
          <w:rtl w:val="true"/>
        </w:rPr>
        <w:t>ועדיה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79</w:t>
      </w:r>
      <w:r>
        <w:rPr>
          <w:rtl w:val="true"/>
        </w:rPr>
        <w:t xml:space="preserve"> (</w:t>
      </w:r>
      <w:r>
        <w:rPr/>
        <w:t>25.10.2018</w:t>
      </w:r>
      <w:r>
        <w:rPr>
          <w:rtl w:val="true"/>
        </w:rPr>
        <w:t>)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קרי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נהיגת המערער בגילופין מהווה 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סיבה בלעדיה אין</w:t>
      </w:r>
      <w:r>
        <w:rPr>
          <w:shd w:fill="FFFFFF" w:val="clear"/>
          <w:rtl w:val="true"/>
        </w:rPr>
        <w:t xml:space="preserve">" </w:t>
      </w:r>
      <w:r>
        <w:rPr>
          <w:shd w:fill="FFFFFF" w:val="clear"/>
          <w:rtl w:val="true"/>
        </w:rPr>
        <w:t>להתרחשות התאונה ולמותו הטראגי של המנוח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באשר להתנהלות המנוח במועד התאונה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בוחן שהגיע לזירת התאונה בסמוך לאחר התרחשותה ציין כי חגורת הבטיחות של המנוח הייתה גזורה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דבר המלמד על כך שהמנוח היה חגור בעת התאונה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וכי החגורה נגזרה בניסיון לחלצו מהרכב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כמו 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במסגרת הדיון שהתקיים לפנינו טענה המדינה כי מבדיקה שנערכה עולה כי המנוח לא היה שתוי בעת התרחשות התאונה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אשר על 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לא ניתן לומר כי התנהגות המנוח ניתקה את הקשר הסיבתי בין </w:t>
      </w:r>
      <w:r>
        <w:rPr>
          <w:rtl w:val="true"/>
        </w:rPr>
        <w:t>אופן נהיגתו של המערער להתרחשות התאונה</w:t>
      </w:r>
      <w:r>
        <w:rPr>
          <w:rtl w:val="true"/>
        </w:rPr>
        <w:t xml:space="preserve">, </w:t>
      </w:r>
      <w:r>
        <w:rPr>
          <w:rtl w:val="true"/>
        </w:rPr>
        <w:t>וממילא יש לדחות את הטענה כי נפל פגם בחקירת המשטרה ביחס לבדיקת המנוח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rtl w:val="true"/>
        </w:rPr>
        <w:t>בשולי הדברים אעיר</w:t>
      </w:r>
      <w:r>
        <w:rPr>
          <w:rtl w:val="true"/>
        </w:rPr>
        <w:t xml:space="preserve">, </w:t>
      </w:r>
      <w:r>
        <w:rPr>
          <w:rtl w:val="true"/>
        </w:rPr>
        <w:t xml:space="preserve">כי לא כל השערה שמעלה ההגנה בדבר התקיימות נסיבה היפותטית העשויה להפחית מאחריותו של </w:t>
      </w:r>
      <w:r>
        <w:rPr>
          <w:shd w:fill="FFFFFF" w:val="clear"/>
          <w:rtl w:val="true"/>
        </w:rPr>
        <w:t>הנאשם צריכה להיבדק על ידי המשטרה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בענייננו אין כל בסיס בחומר הראיות לכך שהמנוח נהג שלא כדין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המנוח נסע לתומו בכיוון התנועה החוקי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ולא הצליח לחמוק מרכבו של המערער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שנסע באופן חריג מאד בניגוד לכיוון התנועה בכביש בין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עירוני מהיר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במצב דברים זה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אין כל סיבה להניח כי למנוח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אשר מצא עצמו לאסונו מול סכנה שהגיחה מכיוון בלתי צפוי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היה אשם כלשהו בתאונה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העובדה שנהגים אחרים הצליחו לחמוק מנתיב פגיעתו של המערער בוודאי שאינה מטילה כל דופי במנוח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שהרי בכל התרחשות טראגית מסוג זה יש מי שמשחק לו מזלו ויש מי שמזלו בוגד בו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בנסיבות אלו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סבורני כי לו היו הרשויות החוקרות מסרבות לשתף פעולה עם ניסיונו של המערער להטיח במנוח האשמות בעלמא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לא היה מקום לראות בכך מחדל חקירתי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אפס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כאמור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בענייננו בדקה המשטרה גם את הטענות האמורות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ומצאה כי לא היה אלכוהול בדמו של המנוח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וכי היה חגור בחגורת בטיחות בשעת התאונה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משכך הערה זו אינה דרושה להגנת זכרו של המנוח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אשר נבדק ונמצא באופן פוזיטיבי כי נהג כחוק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אלא במטרה למנוע פגיעה מיותרת בשמם הטוב של קורבנות במקרים עתידיים</w:t>
      </w:r>
      <w:r>
        <w:rPr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>טענה נוספת שהעלה המערער היא כי</w:t>
      </w:r>
      <w:r>
        <w:rPr>
          <w:shd w:fill="FFFFFF" w:val="clear"/>
          <w:rtl w:val="true"/>
        </w:rPr>
        <w:t xml:space="preserve"> לא הוכח בעניינו היסוד הנפשי </w:t>
      </w:r>
      <w:r>
        <w:rPr>
          <w:shd w:fill="FFFFFF" w:val="clear"/>
          <w:rtl w:val="true"/>
        </w:rPr>
        <w:t>ש</w:t>
      </w:r>
      <w:r>
        <w:rPr>
          <w:shd w:fill="FFFFFF" w:val="clear"/>
          <w:rtl w:val="true"/>
        </w:rPr>
        <w:t>דרוש ל</w:t>
      </w:r>
      <w:r>
        <w:rPr>
          <w:shd w:fill="FFFFFF" w:val="clear"/>
          <w:rtl w:val="true"/>
        </w:rPr>
        <w:t>צורך</w:t>
      </w:r>
      <w:r>
        <w:rPr>
          <w:shd w:fill="FFFFFF" w:val="clear"/>
          <w:rtl w:val="true"/>
        </w:rPr>
        <w:t xml:space="preserve"> הרשע</w:t>
      </w:r>
      <w:r>
        <w:rPr>
          <w:shd w:fill="FFFFFF" w:val="clear"/>
          <w:rtl w:val="true"/>
        </w:rPr>
        <w:t>תו</w:t>
      </w:r>
      <w:r>
        <w:rPr>
          <w:shd w:fill="FFFFFF" w:val="clear"/>
          <w:rtl w:val="true"/>
        </w:rPr>
        <w:t xml:space="preserve"> בעבירת ההריגה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וכי יש להרשיעו לכל היותר בעבירה של גרימת מוות ברשלנות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ואולם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חזקה על המערער כי בעת שתיית האלכוהול</w:t>
      </w:r>
      <w:r>
        <w:rPr>
          <w:shd w:fill="FFFFFF" w:val="clear"/>
          <w:rtl w:val="true"/>
        </w:rPr>
        <w:t xml:space="preserve"> היה מודע להשלכות שתהיינה לכך על יכולתו המנטאלית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משהחליט לנהוג ב</w:t>
      </w:r>
      <w:r>
        <w:rPr>
          <w:shd w:fill="FFFFFF" w:val="clear"/>
          <w:rtl w:val="true"/>
        </w:rPr>
        <w:t>רכבו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חרף</w:t>
      </w:r>
      <w:r>
        <w:rPr>
          <w:shd w:fill="FFFFFF" w:val="clear"/>
          <w:rtl w:val="true"/>
        </w:rPr>
        <w:t xml:space="preserve"> כמות האלכוהול ששתה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יש לראות</w:t>
      </w:r>
      <w:r>
        <w:rPr>
          <w:shd w:fill="FFFFFF" w:val="clear"/>
          <w:rtl w:val="true"/>
        </w:rPr>
        <w:t xml:space="preserve"> במערער</w:t>
      </w:r>
      <w:r>
        <w:rPr>
          <w:shd w:fill="FFFFFF" w:val="clear"/>
          <w:rtl w:val="true"/>
        </w:rPr>
        <w:t xml:space="preserve"> כמי שנטל על עצמו ביודעין </w:t>
      </w:r>
      <w:r>
        <w:rPr>
          <w:shd w:fill="FFFFFF" w:val="clear"/>
          <w:rtl w:val="true"/>
        </w:rPr>
        <w:t>את ה</w:t>
      </w:r>
      <w:r>
        <w:rPr>
          <w:shd w:fill="FFFFFF" w:val="clear"/>
          <w:rtl w:val="true"/>
        </w:rPr>
        <w:t>סיכון של אפשרות ממשית של פגיעה ב</w:t>
      </w:r>
      <w:r>
        <w:rPr>
          <w:shd w:fill="FFFFFF" w:val="clear"/>
          <w:rtl w:val="true"/>
        </w:rPr>
        <w:t>שלמות גופו או ב</w:t>
      </w:r>
      <w:r>
        <w:rPr>
          <w:shd w:fill="FFFFFF" w:val="clear"/>
          <w:rtl w:val="true"/>
        </w:rPr>
        <w:t>חייו של אחר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תוך גילוי קלות דעת</w:t>
      </w:r>
      <w:r>
        <w:rPr>
          <w:shd w:fill="FFFFFF" w:val="clear"/>
          <w:rtl w:val="true"/>
        </w:rPr>
        <w:t xml:space="preserve"> או </w:t>
      </w:r>
      <w:r>
        <w:rPr>
          <w:shd w:fill="FFFFFF" w:val="clear"/>
          <w:rtl w:val="true"/>
        </w:rPr>
        <w:t xml:space="preserve">אדישות </w:t>
      </w:r>
      <w:r>
        <w:rPr>
          <w:shd w:fill="FFFFFF" w:val="clear"/>
          <w:rtl w:val="true"/>
        </w:rPr>
        <w:t>(</w:t>
      </w:r>
      <w:hyperlink r:id="rId57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140/98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חוג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'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ה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נ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'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מדינת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ישראל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,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ד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נב</w:t>
        </w:r>
      </w:hyperlink>
      <w:r>
        <w:rPr>
          <w:shd w:fill="FFFFFF" w:val="clear"/>
          <w:rtl w:val="true"/>
        </w:rPr>
        <w:t>(</w:t>
      </w:r>
      <w:r>
        <w:rPr>
          <w:shd w:fill="FFFFFF" w:val="clear"/>
        </w:rPr>
        <w:t>3</w:t>
      </w:r>
      <w:r>
        <w:rPr>
          <w:shd w:fill="FFFFFF" w:val="clear"/>
          <w:rtl w:val="true"/>
        </w:rPr>
        <w:t xml:space="preserve">) </w:t>
      </w:r>
      <w:r>
        <w:rPr>
          <w:shd w:fill="FFFFFF" w:val="clear"/>
        </w:rPr>
        <w:t>225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</w:rPr>
        <w:t>238-237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1998</w:t>
      </w:r>
      <w:r>
        <w:rPr>
          <w:shd w:fill="FFFFFF" w:val="clear"/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4498/14</w:t>
        </w:r>
      </w:hyperlink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גרידיש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פסקאות </w:t>
      </w:r>
      <w:r>
        <w:rPr>
          <w:shd w:fill="FFFFFF" w:val="clear"/>
        </w:rPr>
        <w:t>59-58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13.5.2015</w:t>
      </w:r>
      <w:r>
        <w:rPr>
          <w:shd w:fill="FFFFFF" w:val="clear"/>
          <w:rtl w:val="true"/>
        </w:rPr>
        <w:t xml:space="preserve">)). </w:t>
      </w:r>
      <w:r>
        <w:rPr>
          <w:shd w:fill="FFFFFF" w:val="clear"/>
          <w:rtl w:val="true"/>
        </w:rPr>
        <w:t>בענייננו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קבע בית המשפט כי המערער ביצע את העבירה מתוך קלות דעת ולא אדישות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 xml:space="preserve">קביעה זו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בדין יסודה</w:t>
      </w:r>
      <w:r>
        <w:rPr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באשר לערעור על גזר הדין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הלכה פסוקה היא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</w:t>
      </w:r>
      <w:r>
        <w:rPr>
          <w:shd w:fill="FFFFFF" w:val="clear"/>
          <w:rtl w:val="true"/>
        </w:rPr>
        <w:t xml:space="preserve">ערכאת הערעור </w:t>
      </w:r>
      <w:r>
        <w:rPr>
          <w:shd w:fill="FFFFFF" w:val="clear"/>
          <w:rtl w:val="true"/>
        </w:rPr>
        <w:t xml:space="preserve">אינה נוטה </w:t>
      </w:r>
      <w:r>
        <w:rPr>
          <w:shd w:fill="FFFFFF" w:val="clear"/>
          <w:rtl w:val="true"/>
        </w:rPr>
        <w:t xml:space="preserve">להתערב בעונשים </w:t>
      </w:r>
      <w:r>
        <w:rPr>
          <w:shd w:fill="FFFFFF" w:val="clear"/>
          <w:rtl w:val="true"/>
        </w:rPr>
        <w:t>ש</w:t>
      </w:r>
      <w:r>
        <w:rPr>
          <w:shd w:fill="FFFFFF" w:val="clear"/>
          <w:rtl w:val="true"/>
        </w:rPr>
        <w:t>השיתה הערכאה הדיונית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למעט </w:t>
      </w:r>
      <w:r>
        <w:rPr>
          <w:shd w:fill="FFFFFF" w:val="clear"/>
          <w:rtl w:val="true"/>
        </w:rPr>
        <w:t>במקרים חריגים בהם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העונשים ש</w:t>
      </w:r>
      <w:r>
        <w:rPr>
          <w:shd w:fill="FFFFFF" w:val="clear"/>
          <w:rtl w:val="true"/>
        </w:rPr>
        <w:t>הושתו על המערער</w:t>
      </w:r>
      <w:r>
        <w:rPr>
          <w:shd w:fill="FFFFFF" w:val="clear"/>
          <w:rtl w:val="true"/>
        </w:rPr>
        <w:t xml:space="preserve"> חורגים באופן קיצוני ממדיניות הענישה הנהוגה</w:t>
      </w:r>
      <w:r>
        <w:rPr>
          <w:shd w:fill="FFFFFF" w:val="clear"/>
          <w:rtl w:val="true"/>
        </w:rPr>
        <w:t xml:space="preserve"> או כאשר</w:t>
      </w:r>
      <w:r>
        <w:rPr>
          <w:shd w:fill="FFFFFF" w:val="clear"/>
          <w:rtl w:val="true"/>
        </w:rPr>
        <w:t xml:space="preserve"> נפלה טעות מהותית בגזר הדין </w:t>
      </w:r>
      <w:r>
        <w:rPr>
          <w:shd w:fill="FFFFFF" w:val="clear"/>
          <w:rtl w:val="true"/>
        </w:rPr>
        <w:t>(</w:t>
      </w:r>
      <w:hyperlink r:id="rId59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9079/16</w:t>
        </w:r>
      </w:hyperlink>
      <w:r>
        <w:rPr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מיארה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פסקה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</w:rPr>
        <w:t>8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9.3.2017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; </w:t>
      </w:r>
      <w:hyperlink r:id="rId60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8805/15</w:t>
        </w:r>
      </w:hyperlink>
      <w:r>
        <w:rPr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25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2</w:t>
      </w:r>
      <w:r>
        <w:rPr>
          <w:shd w:fill="FFFFFF" w:val="clear"/>
        </w:rPr>
        <w:t>.</w:t>
      </w:r>
      <w:r>
        <w:rPr>
          <w:shd w:fill="FFFFFF" w:val="clear"/>
        </w:rPr>
        <w:t>4</w:t>
      </w:r>
      <w:r>
        <w:rPr>
          <w:shd w:fill="FFFFFF" w:val="clear"/>
        </w:rPr>
        <w:t>.2017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>).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לא מצאתי כי </w:t>
      </w:r>
      <w:r>
        <w:rPr>
          <w:shd w:fill="FFFFFF" w:val="clear"/>
          <w:rtl w:val="true"/>
        </w:rPr>
        <w:t>המקרה דנן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נמנה עם אותם מקרים חריגים המצדיקים</w:t>
      </w:r>
      <w:r>
        <w:rPr>
          <w:shd w:fill="FFFFFF" w:val="clear"/>
          <w:rtl w:val="true"/>
        </w:rPr>
        <w:t xml:space="preserve"> התערבות </w:t>
      </w:r>
      <w:r>
        <w:rPr>
          <w:shd w:fill="FFFFFF" w:val="clear"/>
          <w:rtl w:val="true"/>
        </w:rPr>
        <w:t>כאמור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כפי שפסק בית משפט זה פעמים רבות</w:t>
      </w:r>
      <w:r>
        <w:rPr>
          <w:shd w:fill="FFFFFF" w:val="clear"/>
          <w:rtl w:val="true"/>
        </w:rPr>
        <w:t>,</w:t>
      </w:r>
      <w:r>
        <w:rPr>
          <w:rFonts w:cs="FrankRuehl" w:ascii="FrankRuehl" w:hAnsi="FrankRuehl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hd w:fill="FFFFFF" w:val="clear"/>
          <w:rtl w:val="true"/>
        </w:rPr>
        <w:t>לבתי המשפט תרומה חשובה ל</w:t>
      </w:r>
      <w:r>
        <w:rPr>
          <w:rFonts w:ascii="FrankRuehl" w:hAnsi="FrankRuehl" w:cs="FrankRuehl"/>
          <w:sz w:val="28"/>
          <w:sz w:val="28"/>
          <w:shd w:fill="FFFFFF" w:val="clear"/>
          <w:rtl w:val="true"/>
        </w:rPr>
        <w:t>מלאכת המאבק בתאונות הדרכים</w:t>
      </w:r>
      <w:r>
        <w:rPr>
          <w:rFonts w:cs="FrankRuehl" w:ascii="FrankRuehl" w:hAnsi="FrankRuehl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hd w:fill="FFFFFF" w:val="clear"/>
          <w:rtl w:val="true"/>
        </w:rPr>
        <w:t>באמצעות הטלת ענישה מחמירה</w:t>
      </w:r>
      <w:r>
        <w:rPr>
          <w:rFonts w:ascii="FrankRuehl" w:hAnsi="FrankRuehl" w:cs="FrankRuehl"/>
          <w:sz w:val="28"/>
          <w:sz w:val="28"/>
          <w:shd w:fill="FFFFFF" w:val="clear"/>
          <w:rtl w:val="true"/>
        </w:rPr>
        <w:t xml:space="preserve"> על הנוהגים בגילופין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4441/13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14.8.2014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7066/13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אלמליח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22.12.2015</w:t>
      </w:r>
      <w:r>
        <w:rPr>
          <w:rtl w:val="true"/>
        </w:rPr>
        <w:t xml:space="preserve">);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4908/18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עסייוי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7.11.2019</w:t>
      </w:r>
      <w:r>
        <w:rPr>
          <w:rtl w:val="true"/>
        </w:rPr>
        <w:t xml:space="preserve">)).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 xml:space="preserve">התרשמתי כי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קמא</w:t>
      </w:r>
      <w:r>
        <w:rPr>
          <w:rtl w:val="true"/>
        </w:rPr>
        <w:t xml:space="preserve"> </w:t>
      </w:r>
      <w:r>
        <w:rPr>
          <w:rtl w:val="true"/>
        </w:rPr>
        <w:t>בחן</w:t>
      </w:r>
      <w:r>
        <w:rPr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מכלול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לקול</w:t>
      </w:r>
      <w:r>
        <w:rPr>
          <w:rtl w:val="true"/>
        </w:rPr>
        <w:t>ה שהצביע עליהם המערער בערעורו</w:t>
      </w:r>
      <w:r>
        <w:rPr>
          <w:rtl w:val="true"/>
        </w:rPr>
        <w:t xml:space="preserve">, </w:t>
      </w:r>
      <w:r>
        <w:rPr>
          <w:rtl w:val="true"/>
        </w:rPr>
        <w:t>תוך איזון ראוי ביניהם</w:t>
      </w:r>
      <w:r>
        <w:rPr>
          <w:rtl w:val="true"/>
        </w:rPr>
        <w:t xml:space="preserve">. </w:t>
      </w:r>
      <w:r>
        <w:rPr>
          <w:rtl w:val="true"/>
        </w:rPr>
        <w:t>אוסיף בעניין זה אך כי התנהלותו של המערער</w:t>
      </w:r>
      <w:r>
        <w:rPr>
          <w:rtl w:val="true"/>
        </w:rPr>
        <w:t xml:space="preserve">, </w:t>
      </w:r>
      <w:r>
        <w:rPr>
          <w:rtl w:val="true"/>
        </w:rPr>
        <w:t>אשר המשיך להתכחש לאחריותו הכבדה לתאונה גם בהליך הערעור</w:t>
      </w:r>
      <w:r>
        <w:rPr>
          <w:rtl w:val="true"/>
        </w:rPr>
        <w:t xml:space="preserve">, </w:t>
      </w:r>
      <w:r>
        <w:rPr>
          <w:rtl w:val="true"/>
        </w:rPr>
        <w:t xml:space="preserve">תוך הטחת האשמות בלתי מבוססות במנוח </w:t>
      </w:r>
      <w:r>
        <w:rPr>
          <w:rtl w:val="true"/>
        </w:rPr>
        <w:t>(</w:t>
      </w:r>
      <w:r>
        <w:rPr>
          <w:rtl w:val="true"/>
        </w:rPr>
        <w:t>בדבר אחריותו לגרימת התאונה</w:t>
      </w:r>
      <w:r>
        <w:rPr>
          <w:rtl w:val="true"/>
        </w:rPr>
        <w:t xml:space="preserve">) </w:t>
      </w:r>
      <w:r>
        <w:rPr>
          <w:rtl w:val="true"/>
        </w:rPr>
        <w:t xml:space="preserve">וברשויות החוקרות </w:t>
      </w:r>
      <w:r>
        <w:rPr>
          <w:rtl w:val="true"/>
        </w:rPr>
        <w:t>(</w:t>
      </w:r>
      <w:r>
        <w:rPr>
          <w:rtl w:val="true"/>
        </w:rPr>
        <w:t>בדבר מחדלי חקירה</w:t>
      </w:r>
      <w:r>
        <w:rPr>
          <w:rtl w:val="true"/>
        </w:rPr>
        <w:t xml:space="preserve">), </w:t>
      </w:r>
      <w:r>
        <w:rPr>
          <w:rtl w:val="true"/>
        </w:rPr>
        <w:t>מקשה עד מאד להקל בעונשו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 קיימת לטעמי הצדקה להפחתת עונש המאסר שהושת על המערער בידי בית המשפט קמא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בכל הנוגע לתקופת פסילת הרישיון </w:t>
      </w:r>
      <w:r>
        <w:rPr>
          <w:rtl w:val="true"/>
        </w:rPr>
        <w:t>–</w:t>
      </w:r>
      <w:r>
        <w:rPr>
          <w:rtl w:val="true"/>
        </w:rPr>
        <w:t xml:space="preserve"> המדינה הסכימה בנסיבות המקרה שיש להתערב באשר נקבע בפסק הדין</w:t>
      </w:r>
      <w:r>
        <w:rPr>
          <w:rtl w:val="true"/>
        </w:rPr>
        <w:t xml:space="preserve">, </w:t>
      </w:r>
      <w:r>
        <w:rPr>
          <w:rtl w:val="true"/>
        </w:rPr>
        <w:t xml:space="preserve">כך שתקופת פסילת רישיונו של המערער תמנה החל מיום </w:t>
      </w:r>
      <w:r>
        <w:rPr/>
        <w:t>23.1.2016</w:t>
      </w:r>
      <w:r>
        <w:rPr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ולמשך התקופה שנקבעה בפסק הדין</w:t>
      </w:r>
      <w:r>
        <w:rPr>
          <w:rtl w:val="true"/>
        </w:rPr>
        <w:t xml:space="preserve">. </w:t>
      </w:r>
      <w:r>
        <w:rPr>
          <w:rtl w:val="true"/>
        </w:rPr>
        <w:t>הסכמה זו מקובלת עלינו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לו תישמע דעתי</w:t>
      </w:r>
      <w:r>
        <w:rPr>
          <w:rtl w:val="true"/>
        </w:rPr>
        <w:t xml:space="preserve">, </w:t>
      </w:r>
      <w:r>
        <w:rPr>
          <w:rtl w:val="true"/>
        </w:rPr>
        <w:t>יידחה הערעור על שני חלקיו</w:t>
      </w:r>
      <w:r>
        <w:rPr>
          <w:rtl w:val="true"/>
        </w:rPr>
        <w:t xml:space="preserve">, </w:t>
      </w:r>
      <w:r>
        <w:rPr>
          <w:rtl w:val="true"/>
        </w:rPr>
        <w:t>למעט שינוי מועד תחילת מניין הימים לפסילת רישיון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כמפורט בפסקה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 xml:space="preserve">המערער נהג כברת דרך של ממש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כנגד</w:t>
      </w:r>
      <w:r>
        <w:rPr>
          <w:rtl w:val="true"/>
        </w:rPr>
        <w:t xml:space="preserve"> כיוון התנועה בכביש בין</w:t>
      </w:r>
      <w:r>
        <w:rPr>
          <w:rtl w:val="true"/>
        </w:rPr>
        <w:t>-</w:t>
      </w:r>
      <w:r>
        <w:rPr>
          <w:rtl w:val="true"/>
        </w:rPr>
        <w:t>עירוני וחלפו על פניו רכבים שהגיעו מולו</w:t>
      </w:r>
      <w:r>
        <w:rPr>
          <w:rtl w:val="true"/>
        </w:rPr>
        <w:t xml:space="preserve">; </w:t>
      </w:r>
      <w:r>
        <w:rPr>
          <w:rtl w:val="true"/>
        </w:rPr>
        <w:t>מהמערער נדף ריח של אלכוהול שבו הרגישו אנשי הצוות הרפואי</w:t>
      </w:r>
      <w:r>
        <w:rPr>
          <w:rtl w:val="true"/>
        </w:rPr>
        <w:t xml:space="preserve">; </w:t>
      </w:r>
      <w:r>
        <w:rPr>
          <w:rtl w:val="true"/>
        </w:rPr>
        <w:t xml:space="preserve">ובדמו של המערער נמצאה כמות העולה בהרבה על המותר על פי דין </w:t>
      </w:r>
      <w:r>
        <w:rPr>
          <w:rtl w:val="true"/>
        </w:rPr>
        <w:t>–</w:t>
      </w:r>
      <w:r>
        <w:rPr>
          <w:rtl w:val="true"/>
        </w:rPr>
        <w:t xml:space="preserve"> ואידך זיל גמור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הגנתו של המערער הייתה הגנת סרק ולא בכדי פסק דינו של בית המשפט קמא היה קצר וקולע</w:t>
      </w:r>
      <w:r>
        <w:rPr>
          <w:rtl w:val="true"/>
        </w:rPr>
        <w:t xml:space="preserve">. </w:t>
      </w:r>
      <w:r>
        <w:rPr>
          <w:rtl w:val="true"/>
        </w:rPr>
        <w:t xml:space="preserve">הערעור דנן הוא מסוג הערעורים שגורמים לשופט ערכאת הערעור בפלילים געגועים עזים להוראת </w:t>
      </w:r>
      <w:hyperlink r:id="rId64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460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rtl w:val="true"/>
          </w:rPr>
          <w:t>תקנות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האזרחי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 </w:t>
      </w:r>
      <w:r>
        <w:rPr>
          <w:rtl w:val="true"/>
        </w:rPr>
        <w:t xml:space="preserve">ולהוראת </w:t>
      </w:r>
      <w:hyperlink r:id="rId66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תקנות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האזרחי</w:t>
        </w:r>
      </w:hyperlink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תקנות המאפשרות לערכאת הערעור לאמץ בקצרה את פסק הדין של הערכאה הדיונית</w:t>
      </w:r>
      <w:r>
        <w:rPr>
          <w:rtl w:val="true"/>
        </w:rPr>
        <w:t xml:space="preserve">, </w:t>
      </w:r>
      <w:r>
        <w:rPr>
          <w:rtl w:val="true"/>
        </w:rPr>
        <w:t>על מנת לחסוך במשאבי שיפוט</w:t>
      </w:r>
      <w:r>
        <w:rPr>
          <w:rtl w:val="true"/>
        </w:rPr>
        <w:t xml:space="preserve">. </w:t>
      </w:r>
      <w:r>
        <w:rPr>
          <w:rtl w:val="true"/>
        </w:rPr>
        <w:t>ייתכן כי הגיעה העת לאמץ הוראה דומה ב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alibri;Times New Roman" w:hAnsi="Calibri;Times New Roman" w:cs="Calibri;Times New Roman"/>
          <w:szCs w:val="22"/>
        </w:rPr>
      </w:pPr>
      <w:r>
        <w:rPr>
          <w:rFonts w:eastAsia="Arial TUR;Arial" w:cs="Arial TUR;Arial"/>
          <w:sz w:val="28"/>
          <w:rtl w:val="true"/>
        </w:rPr>
        <w:t xml:space="preserve">          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גרוסקופף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;Times New Roman" w:hAnsi="Calibri;Times New Roman" w:cs="Times New Roman;Times New Roman"/>
          <w:sz w:val="28"/>
          <w:szCs w:val="22"/>
        </w:rPr>
      </w:pPr>
      <w:r>
        <w:rPr>
          <w:rFonts w:cs="Times New Roman;Times New Roman" w:ascii="Calibri;Times New Roman" w:hAnsi="Calibri;Times New Roman"/>
          <w:sz w:val="28"/>
          <w:szCs w:val="22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rFonts w:eastAsia="Arial TUR;Arial" w:cs="Arial TUR;Arial"/>
          <w:sz w:val="28"/>
          <w:rtl w:val="true"/>
        </w:rPr>
        <w:t xml:space="preserve">          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לאמץ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69">
        <w:r>
          <w:rPr>
            <w:rStyle w:val="Hyperlink"/>
            <w:sz w:val="28"/>
            <w:sz w:val="28"/>
            <w:rtl w:val="true"/>
          </w:rPr>
          <w:t>תקנה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460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70">
        <w:r>
          <w:rPr>
            <w:rStyle w:val="Hyperlink"/>
            <w:sz w:val="28"/>
            <w:sz w:val="28"/>
            <w:rtl w:val="true"/>
          </w:rPr>
          <w:t>תקנות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סדר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הדין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האזרחי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>-</w:t>
      </w:r>
      <w:r>
        <w:rPr>
          <w:sz w:val="28"/>
        </w:rPr>
        <w:t>1984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וחליפתה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71">
        <w:r>
          <w:rPr>
            <w:rStyle w:val="Hyperlink"/>
            <w:sz w:val="28"/>
            <w:sz w:val="28"/>
            <w:rtl w:val="true"/>
          </w:rPr>
          <w:t>תקנה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148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hyperlink r:id="rId72">
        <w:r>
          <w:rPr>
            <w:rStyle w:val="Hyperlink"/>
            <w:sz w:val="28"/>
            <w:sz w:val="28"/>
            <w:rtl w:val="true"/>
          </w:rPr>
          <w:t>לתקנות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סדר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הדין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האזרחי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ט</w:t>
      </w:r>
      <w:r>
        <w:rPr>
          <w:sz w:val="28"/>
          <w:rtl w:val="true"/>
        </w:rPr>
        <w:t>-</w:t>
      </w:r>
      <w:r>
        <w:rPr>
          <w:sz w:val="28"/>
        </w:rPr>
        <w:t>2018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לתחום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בנושא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התייחסות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להבדלים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האזרחי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להרחיב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בנושא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3.1.2021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19071620</w:t>
      </w:r>
      <w:r>
        <w:rPr>
          <w:sz w:val="16"/>
          <w:rtl w:val="true"/>
        </w:rPr>
        <w:t>_</w:t>
      </w:r>
      <w:r>
        <w:rPr>
          <w:sz w:val="16"/>
        </w:rPr>
        <w:t>Y06.docx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54678313-7162/19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5"/>
      <w:footerReference w:type="default" r:id="rId7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alibri">
    <w:altName w:val="Times New Roman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7162/19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דוד ראש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ascii="FrankRuehl" w:hAnsi="FrankRuehl" w:cs="FrankRuehl"/>
        <w:color w:val="000000"/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color w:val="000000"/>
      <w:sz w:val="28"/>
      <w:szCs w:val="28"/>
      <w:lang w:val="en-US"/>
    </w:rPr>
  </w:style>
  <w:style w:type="character" w:styleId="WW8Num12z0">
    <w:name w:val="WW8Num12z0"/>
    <w:qFormat/>
    <w:rPr>
      <w:color w:val="000000"/>
      <w:lang w:val="en-US"/>
    </w:rPr>
  </w:style>
  <w:style w:type="character" w:styleId="WW8Num13z0">
    <w:name w:val="WW8Num13z0"/>
    <w:qFormat/>
    <w:rPr>
      <w:rFonts w:ascii="Symbol" w:hAnsi="Symbol" w:cs="Symbol"/>
      <w:color w:val="C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listparagraph">
    <w:name w:val="listparagraph"/>
    <w:basedOn w:val="Normal"/>
    <w:qFormat/>
    <w:pPr>
      <w:overflowPunct w:val="true"/>
      <w:autoSpaceDE w:val="true"/>
      <w:ind w:hanging="0" w:start="720" w:end="0"/>
      <w:textAlignment w:val="auto"/>
    </w:pPr>
    <w:rPr>
      <w:rFonts w:ascii="Calibri;Times New Roman" w:hAnsi="Calibri;Times New Roman" w:cs="Calibri;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5337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01c" TargetMode="External"/><Relationship Id="rId6" Type="http://schemas.openxmlformats.org/officeDocument/2006/relationships/hyperlink" Target="http://www.nevo.co.il/law/70301/338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38.3" TargetMode="External"/><Relationship Id="rId9" Type="http://schemas.openxmlformats.org/officeDocument/2006/relationships/hyperlink" Target="http://www.nevo.co.il/law/5227/39a" TargetMode="External"/><Relationship Id="rId10" Type="http://schemas.openxmlformats.org/officeDocument/2006/relationships/hyperlink" Target="http://www.nevo.co.il/law/5227/62.3" TargetMode="External"/><Relationship Id="rId11" Type="http://schemas.openxmlformats.org/officeDocument/2006/relationships/hyperlink" Target="http://www.nevo.co.il/law/5227/64b.4" TargetMode="External"/><Relationship Id="rId12" Type="http://schemas.openxmlformats.org/officeDocument/2006/relationships/hyperlink" Target="http://www.nevo.co.il/law/5227/64b.a.3" TargetMode="External"/><Relationship Id="rId13" Type="http://schemas.openxmlformats.org/officeDocument/2006/relationships/hyperlink" Target="http://www.nevo.co.il/law/5227/64b.a.3a" TargetMode="External"/><Relationship Id="rId14" Type="http://schemas.openxmlformats.org/officeDocument/2006/relationships/hyperlink" Target="http://www.nevo.co.il/law/5227/64b.b" TargetMode="External"/><Relationship Id="rId15" Type="http://schemas.openxmlformats.org/officeDocument/2006/relationships/hyperlink" Target="http://www.nevo.co.il/law/5227/68" TargetMode="External"/><Relationship Id="rId16" Type="http://schemas.openxmlformats.org/officeDocument/2006/relationships/hyperlink" Target="http://www.nevo.co.il/law/74274" TargetMode="External"/><Relationship Id="rId17" Type="http://schemas.openxmlformats.org/officeDocument/2006/relationships/hyperlink" Target="http://www.nevo.co.il/law/74274/35" TargetMode="External"/><Relationship Id="rId18" Type="http://schemas.openxmlformats.org/officeDocument/2006/relationships/hyperlink" Target="http://www.nevo.co.il/law/74274/37" TargetMode="External"/><Relationship Id="rId19" Type="http://schemas.openxmlformats.org/officeDocument/2006/relationships/hyperlink" Target="http://www.nevo.co.il/law/74904" TargetMode="External"/><Relationship Id="rId20" Type="http://schemas.openxmlformats.org/officeDocument/2006/relationships/hyperlink" Target="http://www.nevo.co.il/law/74880" TargetMode="External"/><Relationship Id="rId21" Type="http://schemas.openxmlformats.org/officeDocument/2006/relationships/hyperlink" Target="http://www.nevo.co.il/law/74880/148.b" TargetMode="External"/><Relationship Id="rId22" Type="http://schemas.openxmlformats.org/officeDocument/2006/relationships/hyperlink" Target="http://www.nevo.co.il/law/74880/460.b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157751" TargetMode="External"/><Relationship Id="rId25" Type="http://schemas.openxmlformats.org/officeDocument/2006/relationships/hyperlink" Target="http://www.nevo.co.il/law/157751/148.b" TargetMode="External"/><Relationship Id="rId26" Type="http://schemas.openxmlformats.org/officeDocument/2006/relationships/hyperlink" Target="http://www.nevo.co.il/case/21553374" TargetMode="External"/><Relationship Id="rId27" Type="http://schemas.openxmlformats.org/officeDocument/2006/relationships/hyperlink" Target="http://www.nevo.co.il/law/70301/29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38" TargetMode="External"/><Relationship Id="rId30" Type="http://schemas.openxmlformats.org/officeDocument/2006/relationships/hyperlink" Target="http://www.nevo.co.il/law/5227/62.3" TargetMode="External"/><Relationship Id="rId31" Type="http://schemas.openxmlformats.org/officeDocument/2006/relationships/hyperlink" Target="http://www.nevo.co.il/law/5227/64b.a.3a" TargetMode="External"/><Relationship Id="rId32" Type="http://schemas.openxmlformats.org/officeDocument/2006/relationships/hyperlink" Target="http://www.nevo.co.il/law/5227/64b.4" TargetMode="External"/><Relationship Id="rId33" Type="http://schemas.openxmlformats.org/officeDocument/2006/relationships/hyperlink" Target="http://www.nevo.co.il/law/5227/39a" TargetMode="External"/><Relationship Id="rId34" Type="http://schemas.openxmlformats.org/officeDocument/2006/relationships/hyperlink" Target="http://www.nevo.co.il/law/5227" TargetMode="External"/><Relationship Id="rId35" Type="http://schemas.openxmlformats.org/officeDocument/2006/relationships/hyperlink" Target="http://www.nevo.co.il/law/5227/62.3" TargetMode="External"/><Relationship Id="rId36" Type="http://schemas.openxmlformats.org/officeDocument/2006/relationships/hyperlink" Target="http://www.nevo.co.il/law/5227/64b.a.3" TargetMode="External"/><Relationship Id="rId37" Type="http://schemas.openxmlformats.org/officeDocument/2006/relationships/hyperlink" Target="http://www.nevo.co.il/law/5227/64b.a.3a" TargetMode="External"/><Relationship Id="rId38" Type="http://schemas.openxmlformats.org/officeDocument/2006/relationships/hyperlink" Target="http://www.nevo.co.il/law/5227/39a" TargetMode="External"/><Relationship Id="rId39" Type="http://schemas.openxmlformats.org/officeDocument/2006/relationships/hyperlink" Target="http://www.nevo.co.il/law/74274/35" TargetMode="External"/><Relationship Id="rId40" Type="http://schemas.openxmlformats.org/officeDocument/2006/relationships/hyperlink" Target="http://www.nevo.co.il/law/74274/37" TargetMode="External"/><Relationship Id="rId41" Type="http://schemas.openxmlformats.org/officeDocument/2006/relationships/hyperlink" Target="http://www.nevo.co.il/law/74274" TargetMode="External"/><Relationship Id="rId42" Type="http://schemas.openxmlformats.org/officeDocument/2006/relationships/hyperlink" Target="http://www.nevo.co.il/law/5227/68" TargetMode="External"/><Relationship Id="rId43" Type="http://schemas.openxmlformats.org/officeDocument/2006/relationships/hyperlink" Target="http://www.nevo.co.il/law/5227/38.3" TargetMode="External"/><Relationship Id="rId44" Type="http://schemas.openxmlformats.org/officeDocument/2006/relationships/hyperlink" Target="http://www.nevo.co.il/law/5227/64b.b" TargetMode="External"/><Relationship Id="rId45" Type="http://schemas.openxmlformats.org/officeDocument/2006/relationships/hyperlink" Target="http://www.nevo.co.il/law/74904" TargetMode="External"/><Relationship Id="rId46" Type="http://schemas.openxmlformats.org/officeDocument/2006/relationships/hyperlink" Target="http://www.nevo.co.il/law/70301/301c" TargetMode="External"/><Relationship Id="rId47" Type="http://schemas.openxmlformats.org/officeDocument/2006/relationships/hyperlink" Target="http://www.nevo.co.il/case/20982179" TargetMode="External"/><Relationship Id="rId48" Type="http://schemas.openxmlformats.org/officeDocument/2006/relationships/hyperlink" Target="http://www.nevo.co.il/case/25430240" TargetMode="External"/><Relationship Id="rId49" Type="http://schemas.openxmlformats.org/officeDocument/2006/relationships/hyperlink" Target="http://www.nevo.co.il/case/25386195" TargetMode="External"/><Relationship Id="rId50" Type="http://schemas.openxmlformats.org/officeDocument/2006/relationships/hyperlink" Target="http://www.nevo.co.il/case/5712233" TargetMode="External"/><Relationship Id="rId51" Type="http://schemas.openxmlformats.org/officeDocument/2006/relationships/hyperlink" Target="http://www.nevo.co.il/case/25246134" TargetMode="External"/><Relationship Id="rId52" Type="http://schemas.openxmlformats.org/officeDocument/2006/relationships/hyperlink" Target="http://www.nevo.co.il/case/25349520" TargetMode="External"/><Relationship Id="rId53" Type="http://schemas.openxmlformats.org/officeDocument/2006/relationships/hyperlink" Target="http://www.nevo.co.il/law/5227/64b.b" TargetMode="External"/><Relationship Id="rId54" Type="http://schemas.openxmlformats.org/officeDocument/2006/relationships/hyperlink" Target="http://www.nevo.co.il/case/24280379" TargetMode="External"/><Relationship Id="rId55" Type="http://schemas.openxmlformats.org/officeDocument/2006/relationships/hyperlink" Target="http://www.nevo.co.il/case/20911393" TargetMode="External"/><Relationship Id="rId56" Type="http://schemas.openxmlformats.org/officeDocument/2006/relationships/hyperlink" Target="http://www.nevo.co.il/case/21535298" TargetMode="External"/><Relationship Id="rId57" Type="http://schemas.openxmlformats.org/officeDocument/2006/relationships/hyperlink" Target="http://www.nevo.co.il/case/5679389" TargetMode="External"/><Relationship Id="rId58" Type="http://schemas.openxmlformats.org/officeDocument/2006/relationships/hyperlink" Target="http://www.nevo.co.il/case/17016916" TargetMode="External"/><Relationship Id="rId59" Type="http://schemas.openxmlformats.org/officeDocument/2006/relationships/hyperlink" Target="http://www.nevo.co.il/case/21664419" TargetMode="External"/><Relationship Id="rId60" Type="http://schemas.openxmlformats.org/officeDocument/2006/relationships/hyperlink" Target="http://www.nevo.co.il/case/20991830" TargetMode="External"/><Relationship Id="rId61" Type="http://schemas.openxmlformats.org/officeDocument/2006/relationships/hyperlink" Target="http://www.nevo.co.il/case/7682823" TargetMode="External"/><Relationship Id="rId62" Type="http://schemas.openxmlformats.org/officeDocument/2006/relationships/hyperlink" Target="http://www.nevo.co.il/case/8429477" TargetMode="External"/><Relationship Id="rId63" Type="http://schemas.openxmlformats.org/officeDocument/2006/relationships/hyperlink" Target="http://www.nevo.co.il/case/24344713" TargetMode="External"/><Relationship Id="rId64" Type="http://schemas.openxmlformats.org/officeDocument/2006/relationships/hyperlink" Target="http://www.nevo.co.il/law/74880/460.b" TargetMode="External"/><Relationship Id="rId65" Type="http://schemas.openxmlformats.org/officeDocument/2006/relationships/hyperlink" Target="http://www.nevo.co.il/law/74880" TargetMode="External"/><Relationship Id="rId66" Type="http://schemas.openxmlformats.org/officeDocument/2006/relationships/hyperlink" Target="http://www.nevo.co.il/law/74880/148.b" TargetMode="External"/><Relationship Id="rId67" Type="http://schemas.openxmlformats.org/officeDocument/2006/relationships/hyperlink" Target="http://www.nevo.co.il/law/74880" TargetMode="External"/><Relationship Id="rId68" Type="http://schemas.openxmlformats.org/officeDocument/2006/relationships/hyperlink" Target="http://www.nevo.co.il/law/74903" TargetMode="External"/><Relationship Id="rId69" Type="http://schemas.openxmlformats.org/officeDocument/2006/relationships/hyperlink" Target="http://www.nevo.co.il/law/74880/460.b" TargetMode="External"/><Relationship Id="rId70" Type="http://schemas.openxmlformats.org/officeDocument/2006/relationships/hyperlink" Target="http://www.nevo.co.il/law/74880" TargetMode="External"/><Relationship Id="rId71" Type="http://schemas.openxmlformats.org/officeDocument/2006/relationships/hyperlink" Target="http://www.nevo.co.il/law/157751/148.b" TargetMode="External"/><Relationship Id="rId72" Type="http://schemas.openxmlformats.org/officeDocument/2006/relationships/hyperlink" Target="http://www.nevo.co.il/law/157751" TargetMode="External"/><Relationship Id="rId73" Type="http://schemas.openxmlformats.org/officeDocument/2006/relationships/hyperlink" Target="http://supreme.court.gov.il/" TargetMode="External"/><Relationship Id="rId74" Type="http://schemas.openxmlformats.org/officeDocument/2006/relationships/hyperlink" Target="http://www.nevo.co.il/advertisements/nevo-100.doc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2021-01-04T08:41:00Z</dcterms:created>
  <dc:creator>h4</dc:creator>
  <dc:description/>
  <cp:keywords/>
  <dc:language>en-IL</dc:language>
  <cp:lastModifiedBy>orly</cp:lastModifiedBy>
  <cp:lastPrinted>2021-01-03T09:08:00Z</cp:lastPrinted>
  <dcterms:modified xsi:type="dcterms:W3CDTF">2021-01-04T08:41:00Z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ראש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ProcID=213&amp;PartA=35&amp;PartC=33</vt:lpwstr>
  </property>
  <property fmtid="{D5CDD505-2E9C-101B-9397-08002B2CF9AE}" pid="9" name="CASENOTES2">
    <vt:lpwstr>ProcID=213&amp;PartA=59&amp;PartC=58</vt:lpwstr>
  </property>
  <property fmtid="{D5CDD505-2E9C-101B-9397-08002B2CF9AE}" pid="10" name="CASESLISTTMP1">
    <vt:lpwstr>21553374:2;20982179;25430240;25386195;5712233;25246134;25349520;24280379;20911393;21535298;5679389;17016916;21664419;20991830;7682823;8429477;24344713</vt:lpwstr>
  </property>
  <property fmtid="{D5CDD505-2E9C-101B-9397-08002B2CF9AE}" pid="11" name="CITY">
    <vt:lpwstr/>
  </property>
  <property fmtid="{D5CDD505-2E9C-101B-9397-08002B2CF9AE}" pid="12" name="DATE">
    <vt:lpwstr>20210103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הנדל;י' עמית;ע' גרוסקופף</vt:lpwstr>
  </property>
  <property fmtid="{D5CDD505-2E9C-101B-9397-08002B2CF9AE}" pid="16" name="LAWLISTTMP1">
    <vt:lpwstr>70301/298;338;301c</vt:lpwstr>
  </property>
  <property fmtid="{D5CDD505-2E9C-101B-9397-08002B2CF9AE}" pid="17" name="LAWLISTTMP2">
    <vt:lpwstr>5227/062.3:2;064b.a.3a:2;064b.4;039a:2;064b.a.3;068;038.3;064b.b:2</vt:lpwstr>
  </property>
  <property fmtid="{D5CDD505-2E9C-101B-9397-08002B2CF9AE}" pid="18" name="LAWLISTTMP3">
    <vt:lpwstr>74274/035;037</vt:lpwstr>
  </property>
  <property fmtid="{D5CDD505-2E9C-101B-9397-08002B2CF9AE}" pid="19" name="LAWLISTTMP4">
    <vt:lpwstr>74904</vt:lpwstr>
  </property>
  <property fmtid="{D5CDD505-2E9C-101B-9397-08002B2CF9AE}" pid="20" name="LAWLISTTMP5">
    <vt:lpwstr>74880/460.b:2;148.b</vt:lpwstr>
  </property>
  <property fmtid="{D5CDD505-2E9C-101B-9397-08002B2CF9AE}" pid="21" name="LAWLISTTMP6">
    <vt:lpwstr>74903</vt:lpwstr>
  </property>
  <property fmtid="{D5CDD505-2E9C-101B-9397-08002B2CF9AE}" pid="22" name="LAWLISTTMP7">
    <vt:lpwstr>157751/148.b</vt:lpwstr>
  </property>
  <property fmtid="{D5CDD505-2E9C-101B-9397-08002B2CF9AE}" pid="23" name="LAWYER">
    <vt:lpwstr>אושרה פטאל;תמי אולמן;שאדי סרוגיה</vt:lpwstr>
  </property>
  <property fmtid="{D5CDD505-2E9C-101B-9397-08002B2CF9AE}" pid="24" name="LINKK1">
    <vt:lpwstr/>
  </property>
  <property fmtid="{D5CDD505-2E9C-101B-9397-08002B2CF9AE}" pid="25" name="LINKK2">
    <vt:lpwstr/>
  </property>
  <property fmtid="{D5CDD505-2E9C-101B-9397-08002B2CF9AE}" pid="26" name="LINKK3">
    <vt:lpwstr/>
  </property>
  <property fmtid="{D5CDD505-2E9C-101B-9397-08002B2CF9AE}" pid="27" name="LINKK4">
    <vt:lpwstr/>
  </property>
  <property fmtid="{D5CDD505-2E9C-101B-9397-08002B2CF9AE}" pid="28" name="LINKK5">
    <vt:lpwstr/>
  </property>
  <property fmtid="{D5CDD505-2E9C-101B-9397-08002B2CF9AE}" pid="29" name="METAKZER">
    <vt:lpwstr>פאני</vt:lpwstr>
  </property>
  <property fmtid="{D5CDD505-2E9C-101B-9397-08002B2CF9AE}" pid="30" name="NEWPARTA">
    <vt:lpwstr/>
  </property>
  <property fmtid="{D5CDD505-2E9C-101B-9397-08002B2CF9AE}" pid="31" name="NEWPARTB">
    <vt:lpwstr/>
  </property>
  <property fmtid="{D5CDD505-2E9C-101B-9397-08002B2CF9AE}" pid="32" name="NEWPARTC">
    <vt:lpwstr/>
  </property>
  <property fmtid="{D5CDD505-2E9C-101B-9397-08002B2CF9AE}" pid="33" name="NEWPROC">
    <vt:lpwstr/>
  </property>
  <property fmtid="{D5CDD505-2E9C-101B-9397-08002B2CF9AE}" pid="34" name="NOSE11">
    <vt:lpwstr>תעבורה</vt:lpwstr>
  </property>
  <property fmtid="{D5CDD505-2E9C-101B-9397-08002B2CF9AE}" pid="35" name="NOSE110">
    <vt:lpwstr/>
  </property>
  <property fmtid="{D5CDD505-2E9C-101B-9397-08002B2CF9AE}" pid="36" name="NOSE12">
    <vt:lpwstr>תעבורה</vt:lpwstr>
  </property>
  <property fmtid="{D5CDD505-2E9C-101B-9397-08002B2CF9AE}" pid="37" name="NOSE13">
    <vt:lpwstr>עונשין</vt:lpwstr>
  </property>
  <property fmtid="{D5CDD505-2E9C-101B-9397-08002B2CF9AE}" pid="38" name="NOSE14">
    <vt:lpwstr>עונשין</vt:lpwstr>
  </property>
  <property fmtid="{D5CDD505-2E9C-101B-9397-08002B2CF9AE}" pid="39" name="NOSE15">
    <vt:lpwstr>עונשין</vt:lpwstr>
  </property>
  <property fmtid="{D5CDD505-2E9C-101B-9397-08002B2CF9AE}" pid="40" name="NOSE16">
    <vt:lpwstr>דיון פלילי</vt:lpwstr>
  </property>
  <property fmtid="{D5CDD505-2E9C-101B-9397-08002B2CF9AE}" pid="41" name="NOSE17">
    <vt:lpwstr>דיון פלילי</vt:lpwstr>
  </property>
  <property fmtid="{D5CDD505-2E9C-101B-9397-08002B2CF9AE}" pid="42" name="NOSE18">
    <vt:lpwstr/>
  </property>
  <property fmtid="{D5CDD505-2E9C-101B-9397-08002B2CF9AE}" pid="43" name="NOSE19">
    <vt:lpwstr/>
  </property>
  <property fmtid="{D5CDD505-2E9C-101B-9397-08002B2CF9AE}" pid="44" name="NOSE1ID">
    <vt:lpwstr>104;104;77;77;77;18;18</vt:lpwstr>
  </property>
  <property fmtid="{D5CDD505-2E9C-101B-9397-08002B2CF9AE}" pid="45" name="NOSE21">
    <vt:lpwstr>עבירות</vt:lpwstr>
  </property>
  <property fmtid="{D5CDD505-2E9C-101B-9397-08002B2CF9AE}" pid="46" name="NOSE210">
    <vt:lpwstr/>
  </property>
  <property fmtid="{D5CDD505-2E9C-101B-9397-08002B2CF9AE}" pid="47" name="NOSE22">
    <vt:lpwstr>עבירות</vt:lpwstr>
  </property>
  <property fmtid="{D5CDD505-2E9C-101B-9397-08002B2CF9AE}" pid="48" name="NOSE23">
    <vt:lpwstr>קשר סיבתי</vt:lpwstr>
  </property>
  <property fmtid="{D5CDD505-2E9C-101B-9397-08002B2CF9AE}" pid="49" name="NOSE24">
    <vt:lpwstr>ענישה</vt:lpwstr>
  </property>
  <property fmtid="{D5CDD505-2E9C-101B-9397-08002B2CF9AE}" pid="50" name="NOSE25">
    <vt:lpwstr>ענישה</vt:lpwstr>
  </property>
  <property fmtid="{D5CDD505-2E9C-101B-9397-08002B2CF9AE}" pid="51" name="NOSE26">
    <vt:lpwstr>חקירה במשטרה</vt:lpwstr>
  </property>
  <property fmtid="{D5CDD505-2E9C-101B-9397-08002B2CF9AE}" pid="52" name="NOSE27">
    <vt:lpwstr>ערעור</vt:lpwstr>
  </property>
  <property fmtid="{D5CDD505-2E9C-101B-9397-08002B2CF9AE}" pid="53" name="NOSE28">
    <vt:lpwstr/>
  </property>
  <property fmtid="{D5CDD505-2E9C-101B-9397-08002B2CF9AE}" pid="54" name="NOSE29">
    <vt:lpwstr/>
  </property>
  <property fmtid="{D5CDD505-2E9C-101B-9397-08002B2CF9AE}" pid="55" name="NOSE2ID">
    <vt:lpwstr>1830;1830;1448;1446;1446;475;504</vt:lpwstr>
  </property>
  <property fmtid="{D5CDD505-2E9C-101B-9397-08002B2CF9AE}" pid="56" name="NOSE31">
    <vt:lpwstr>הריגה</vt:lpwstr>
  </property>
  <property fmtid="{D5CDD505-2E9C-101B-9397-08002B2CF9AE}" pid="57" name="NOSE310">
    <vt:lpwstr/>
  </property>
  <property fmtid="{D5CDD505-2E9C-101B-9397-08002B2CF9AE}" pid="58" name="NOSE32">
    <vt:lpwstr>נהיגה בשכרות</vt:lpwstr>
  </property>
  <property fmtid="{D5CDD505-2E9C-101B-9397-08002B2CF9AE}" pid="59" name="NOSE33">
    <vt:lpwstr>הריגה</vt:lpwstr>
  </property>
  <property fmtid="{D5CDD505-2E9C-101B-9397-08002B2CF9AE}" pid="60" name="NOSE34">
    <vt:lpwstr>מדיניות ענישה: הריגה</vt:lpwstr>
  </property>
  <property fmtid="{D5CDD505-2E9C-101B-9397-08002B2CF9AE}" pid="61" name="NOSE35">
    <vt:lpwstr>מדיניות ענישה: התערבות ערכאת ערעור</vt:lpwstr>
  </property>
  <property fmtid="{D5CDD505-2E9C-101B-9397-08002B2CF9AE}" pid="62" name="NOSE36">
    <vt:lpwstr>מחדלי חקירה</vt:lpwstr>
  </property>
  <property fmtid="{D5CDD505-2E9C-101B-9397-08002B2CF9AE}" pid="63" name="NOSE37">
    <vt:lpwstr>אי-התערבות בממצאים עובדתיים</vt:lpwstr>
  </property>
  <property fmtid="{D5CDD505-2E9C-101B-9397-08002B2CF9AE}" pid="64" name="NOSE38">
    <vt:lpwstr/>
  </property>
  <property fmtid="{D5CDD505-2E9C-101B-9397-08002B2CF9AE}" pid="65" name="NOSE39">
    <vt:lpwstr/>
  </property>
  <property fmtid="{D5CDD505-2E9C-101B-9397-08002B2CF9AE}" pid="66" name="NOSE3ID">
    <vt:lpwstr>11234;11243;9018;14739;8982;3672;3849</vt:lpwstr>
  </property>
  <property fmtid="{D5CDD505-2E9C-101B-9397-08002B2CF9AE}" pid="67" name="PADIDATE">
    <vt:lpwstr>20210104</vt:lpwstr>
  </property>
  <property fmtid="{D5CDD505-2E9C-101B-9397-08002B2CF9AE}" pid="68" name="PADIMAIL">
    <vt:lpwstr>YES</vt:lpwstr>
  </property>
  <property fmtid="{D5CDD505-2E9C-101B-9397-08002B2CF9AE}" pid="69" name="PAGE">
    <vt:lpwstr/>
  </property>
  <property fmtid="{D5CDD505-2E9C-101B-9397-08002B2CF9AE}" pid="70" name="PART">
    <vt:lpwstr/>
  </property>
  <property fmtid="{D5CDD505-2E9C-101B-9397-08002B2CF9AE}" pid="71" name="PROCESS">
    <vt:lpwstr>עפ</vt:lpwstr>
  </property>
  <property fmtid="{D5CDD505-2E9C-101B-9397-08002B2CF9AE}" pid="72" name="PROCNUM">
    <vt:lpwstr>7162</vt:lpwstr>
  </property>
  <property fmtid="{D5CDD505-2E9C-101B-9397-08002B2CF9AE}" pid="73" name="PROCYEAR">
    <vt:lpwstr>19</vt:lpwstr>
  </property>
  <property fmtid="{D5CDD505-2E9C-101B-9397-08002B2CF9AE}" pid="74" name="PSAKDIN">
    <vt:lpwstr>פסק-דין</vt:lpwstr>
  </property>
  <property fmtid="{D5CDD505-2E9C-101B-9397-08002B2CF9AE}" pid="75" name="TYPE">
    <vt:lpwstr>1</vt:lpwstr>
  </property>
  <property fmtid="{D5CDD505-2E9C-101B-9397-08002B2CF9AE}" pid="76" name="TYPE_ABS_DATE">
    <vt:lpwstr>410120210103</vt:lpwstr>
  </property>
  <property fmtid="{D5CDD505-2E9C-101B-9397-08002B2CF9AE}" pid="77" name="TYPE_N_DATE">
    <vt:lpwstr>41020210103</vt:lpwstr>
  </property>
  <property fmtid="{D5CDD505-2E9C-101B-9397-08002B2CF9AE}" pid="78" name="VOLUME">
    <vt:lpwstr/>
  </property>
  <property fmtid="{D5CDD505-2E9C-101B-9397-08002B2CF9AE}" pid="79" name="WORDNUMPAGES">
    <vt:lpwstr>13</vt:lpwstr>
  </property>
</Properties>
</file>