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7172/21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0"/>
        </w:rPr>
      </w:pPr>
      <w:r>
        <w:rPr>
          <w:rFonts w:cs="Miriam"/>
          <w:b/>
          <w:bCs/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דאהר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14165-06-16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.12.</w:t>
            </w:r>
            <w:r>
              <w:rPr>
                <w:sz w:val="24"/>
                <w:szCs w:val="24"/>
              </w:rPr>
              <w:t>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lawyers_a_title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tl w:val="true"/>
              </w:rPr>
              <w:tab/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6" w:name="Links_Kitvei_Start"/>
      <w:bookmarkStart w:id="7" w:name="Links_Kitvei_Start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Kitvei_Start"/>
      <w:bookmarkEnd w:id="8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הצעת חוק העונשין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חלק מקדמי וחלק כללי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"/>
      <w:bookmarkStart w:id="10" w:name="Links_Kitvei_End"/>
      <w:bookmarkStart w:id="11" w:name="LawTable"/>
      <w:bookmarkStart w:id="12" w:name="Links_Kitvei_End"/>
      <w:bookmarkEnd w:id="11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287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454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5" w:name="ABSTRACT_START"/>
      <w:bookmarkEnd w:id="15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שחרגו מהתכנית המקורית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שסוכמה בינו לבין אדם נוסף לפגיעה במתלוננים אותם ייצג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היזק בחומר נפיץ ונשיאת נשק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הן </w:t>
      </w:r>
      <w:r>
        <w:rPr>
          <w:rFonts w:ascii="Times New Roman" w:hAnsi="Times New Roman" w:cs="Times New Roman"/>
          <w:spacing w:val="0"/>
          <w:szCs w:val="26"/>
          <w:rtl w:val="true"/>
        </w:rPr>
        <w:t>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אמנם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לא הורה מפורשות ל</w:t>
      </w:r>
      <w:r>
        <w:rPr>
          <w:rFonts w:ascii="Times New Roman" w:hAnsi="Times New Roman" w:cs="Times New Roman"/>
          <w:spacing w:val="0"/>
          <w:szCs w:val="26"/>
          <w:rtl w:val="true"/>
        </w:rPr>
        <w:t>אותו 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ליידות רימון על בית המתלוננים ולא העביר לו את הרימון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>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התעלם מהאפשרות המסתברת של סטייה מהתכנית העבריינית שהגה ולמצער אדם מן היישוב היה מודע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מקום להתערב בעונש שהושת על המערער –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שותפים לעבירה – עבירה שונה או נוספת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בעבירה שונה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הכרעת די</w:t>
      </w:r>
      <w:r>
        <w:rPr>
          <w:rFonts w:ascii="Times New Roman" w:hAnsi="Times New Roman" w:cs="Times New Roman"/>
          <w:spacing w:val="0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וגזר די</w:t>
      </w:r>
      <w:r>
        <w:rPr>
          <w:rFonts w:ascii="Times New Roman" w:hAnsi="Times New Roman" w:cs="Times New Roman"/>
          <w:spacing w:val="0"/>
          <w:szCs w:val="26"/>
          <w:rtl w:val="true"/>
        </w:rPr>
        <w:t>ן ש</w:t>
      </w:r>
      <w:r>
        <w:rPr>
          <w:rFonts w:ascii="Times New Roman" w:hAnsi="Times New Roman" w:cs="Times New Roman"/>
          <w:spacing w:val="0"/>
          <w:szCs w:val="26"/>
          <w:rtl w:val="true"/>
        </w:rPr>
        <w:t>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בגדרם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עורך דין במקצועו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של נשיאת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היזק בחומר נפיץ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 הוראה חוקית ושיבוש מהלכי משפט ונדון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ועונשים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ייצג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ואת אביו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פנה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Cs w:val="26"/>
          <w:rtl w:val="true"/>
        </w:rPr>
        <w:t>אדם בשם בהג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ascii="Times New Roman" w:hAnsi="Times New Roman" w:cs="Times New Roman"/>
          <w:spacing w:val="0"/>
          <w:szCs w:val="26"/>
          <w:rtl w:val="true"/>
        </w:rPr>
        <w:t>מנדו וביקש ממנו לאיים על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ובני משפחתו בפגיעה שלא כדין בגופם בתמורה לתגמול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אך על הרשעת המערער בעבירות של נשיאת נשק והיזק בחומר נפיץ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 בקשר לזריקת רימון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החורגות מהתכנית העבריינית המקורית שנרקמה בינו לבין מנדו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מינץ ובהסכמת השופטות 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 החוק והפסיקה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בוצעה עבירה החורגת מהתכנית המקורית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העבריינים היו מודעים לאפשרות עשייתה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האחריות בגינה תיקבע 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; 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לא הייתה לעבריינים מודעות בדבר אפשרות עשייתה אולם אדם מן היישוב יכול היה להיות מודע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תיבחן האחריות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>; 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 שבו לא הייתה מודעות לאפשרות עשייתה וגם אדם מן היישוב לא יכול היה להיות מודע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תוטל אחריות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קבע כי ניתן להרשיע את המערער בעבירות שחרגו מהתכנית המקורית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היזק בחומר נפיץ ונשיאת נשק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הן 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29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והן מכוח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Cs w:val="26"/>
        </w:rPr>
        <w:t>34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 לא הורה למנדו ליידות רימון רסס על ביתו של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ובני משפחתו ולא מסר לו את הרימון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ביקש ממנו לשרוף את כלי הרכב שעמדו בחנייה או לבצע ירי באזור הבית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</w:t>
      </w:r>
      <w:r>
        <w:rPr>
          <w:rFonts w:ascii="Times New Roman" w:hAnsi="Times New Roman" w:cs="Times New Roman"/>
          <w:spacing w:val="0"/>
          <w:szCs w:val="26"/>
          <w:rtl w:val="true"/>
        </w:rPr>
        <w:t>מקובלת קביעת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 לפיה למערער הייתה מודעות סובייקטיבית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ולכל הפחות הוא עצם את עיניו באשר לאפשרות ביצוע העבירות החורגות מהוראותיו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אמנם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מנדו סטה </w:t>
      </w:r>
      <w:r>
        <w:rPr>
          <w:rFonts w:ascii="Times New Roman" w:hAnsi="Times New Roman" w:cs="Times New Roman"/>
          <w:spacing w:val="0"/>
          <w:szCs w:val="26"/>
          <w:rtl w:val="true"/>
        </w:rPr>
        <w:t>מהסיכום עם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במובן זה שהוא פגע ברכוש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המתלוננים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באמצעות השלכת רימון לעבר ביתם ולא באמצעות שריפת כלי הרכב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ברם 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ולכל הפחות עצם עיניו כלפי האפשרות שהפחדת המתלוננים באמצעות ההיזק לרכושם לא תיעשה בהצתה כי אם גם באמצעות כלי נשק נפיץ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רימון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בהינתן כלל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קשה לקבל את הטענה כי המערער לא היה מודע לאפשרות שמנדו יפעל להשיג אמצעים לרבות כלי נשק וחומרים נפיצים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ויעשה בהם שימוש לפגיעה ברכוש המתלוננים לצורך השגת המטרה העיקרית שלשמה נשלח על ידי המערער ולהגברת שביעות רצונו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לכל הפחות ניתן לומר כי המערער חשד באפשרות זו וחרף זאת נמנע מלוודא מול מנדו שהוא נצמד להסכמות שגובשו ביניהם ואינו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מגדיל 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שנהג לעשות קודם 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גם בהינתן ששימוש ברימון מהווה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העלאת מדרגה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משימוש בכלי 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האמור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תייתר הצורך לדון בשאלה האם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אדם מן היישוב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מודע לאפשרות ביצוע העבירות של נשיאת נשק והיזק בחומר נפיץ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המערער מתון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מתמקדת בתוצאה העונשית הסופית של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וטענות לפגמים באופן יישום מנגנון הבניית שיקול הדעת הקבוע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בחוק העונשין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מצדיקות התערבות ב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מדובר בהליך שיקומי משמעותי המצדיק סטייה ממתחם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 אינה מגלה כל עילה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יתרה גלומה במעשי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נובעת לא רק מטיב העבירות בהן 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</w:t>
      </w:r>
      <w:r>
        <w:rPr>
          <w:rFonts w:ascii="Times New Roman" w:hAnsi="Times New Roman" w:cs="Times New Roman"/>
          <w:spacing w:val="0"/>
          <w:szCs w:val="26"/>
          <w:rtl w:val="true"/>
        </w:rPr>
        <w:t>לא בעיקר מהאופן שבו בוצעו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בתכנית עבריינית מתפתחת שתוכננה על ידי אדם שלא שלט ביצריו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והורה לאדם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המתפרנס מתוך ידו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 מעשים חמורים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שרק במזל לא גרמו לנפגעים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הורה מפורשות למנדו ליידות רימון על ביתם של המתלוננים ולא העביר לו את הרימון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ascii="Times New Roman" w:hAnsi="Times New Roman" w:cs="Times New Roman"/>
          <w:spacing w:val="0"/>
          <w:szCs w:val="26"/>
          <w:rtl w:val="true"/>
        </w:rPr>
        <w:t>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הוא התעלם מהאפשרות המסתברת של סטייה מהתכנית העבריינית שהגה ולמצער אדם מן היישוב היה מודע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חומרתם הרבה של המעשים באה לביטוי גם בכך שהמערער ניצל את מעמדו כעורך דין לביצוע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מצדיקה הטלת ענישה מחמירה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הביא בחשבון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לקולא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ואין די בטענה בעלמא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ניתן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להם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 מספק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</w:t>
      </w:r>
      <w:r>
        <w:rPr>
          <w:rFonts w:ascii="Times New Roman" w:hAnsi="Times New Roman" w:cs="Times New Roman"/>
          <w:spacing w:val="0"/>
          <w:szCs w:val="26"/>
          <w:rtl w:val="true"/>
        </w:rPr>
        <w:t>י להצדיק התערבות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[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>]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2" w:name="Start_Write"/>
      <w:bookmarkStart w:id="23" w:name="Start_Write"/>
      <w:bookmarkEnd w:id="23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7.7.2020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14.9.2021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14165-06-16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המערער ואדם נוסף בשם בהג</w:t>
      </w:r>
      <w:r>
        <w:rPr>
          <w:rtl w:val="true"/>
        </w:rPr>
        <w:t>'</w:t>
      </w:r>
      <w:r>
        <w:rPr>
          <w:rtl w:val="true"/>
        </w:rPr>
        <w:t xml:space="preserve">את מנדו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מנדו</w:t>
      </w:r>
      <w:r>
        <w:rPr>
          <w:rtl w:val="true"/>
        </w:rPr>
        <w:t xml:space="preserve">), </w:t>
      </w:r>
      <w:r>
        <w:rPr>
          <w:rtl w:val="true"/>
        </w:rPr>
        <w:t xml:space="preserve">הוגש לבית המשפט המחוזי כתב אישום המייחס להם עבירות של נשיאת נשק 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היזק בחומר נפיץ לפי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454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ואיומים 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לאחר שמיעת חלק מפרשת התביעה הגיעה המשיבה להסכם עד מדינה עם מנדו</w:t>
      </w:r>
      <w:r>
        <w:rPr>
          <w:rtl w:val="true"/>
        </w:rPr>
        <w:t xml:space="preserve">. </w:t>
      </w:r>
      <w:r>
        <w:rPr>
          <w:rtl w:val="true"/>
        </w:rPr>
        <w:t>על רקע זה הופרדו ההליכים בין השניים והוגש נגד המערער כתב אישום מתוקן</w:t>
      </w:r>
      <w:r>
        <w:rPr>
          <w:rtl w:val="true"/>
        </w:rPr>
        <w:t xml:space="preserve">, </w:t>
      </w:r>
      <w:r>
        <w:rPr>
          <w:rtl w:val="true"/>
        </w:rPr>
        <w:t>אשר תוקן מספר פעמים נוספות לאחר מכן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פי עובדות האישום הראשון שבכתב האישום </w:t>
      </w:r>
      <w:r>
        <w:rPr>
          <w:rtl w:val="true"/>
        </w:rPr>
        <w:t>(</w:t>
      </w:r>
      <w:r>
        <w:rPr>
          <w:rtl w:val="true"/>
        </w:rPr>
        <w:t>המתוקן בחמישית</w:t>
      </w:r>
      <w:r>
        <w:rPr>
          <w:rtl w:val="true"/>
        </w:rPr>
        <w:t xml:space="preserve">), </w:t>
      </w:r>
      <w:r>
        <w:rPr>
          <w:rtl w:val="true"/>
        </w:rPr>
        <w:t xml:space="preserve">החל משנת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ייצג המערער</w:t>
      </w:r>
      <w:r>
        <w:rPr>
          <w:rtl w:val="true"/>
        </w:rPr>
        <w:t xml:space="preserve">, </w:t>
      </w:r>
      <w:r>
        <w:rPr>
          <w:rtl w:val="true"/>
        </w:rPr>
        <w:t>עורך דין במקצועו</w:t>
      </w:r>
      <w:r>
        <w:rPr>
          <w:rtl w:val="true"/>
        </w:rPr>
        <w:t xml:space="preserve">, </w:t>
      </w:r>
      <w:r>
        <w:rPr>
          <w:rtl w:val="true"/>
        </w:rPr>
        <w:t>את ע</w:t>
      </w:r>
      <w:r>
        <w:rPr>
          <w:rtl w:val="true"/>
        </w:rPr>
        <w:t xml:space="preserve">' </w:t>
      </w:r>
      <w:r>
        <w:rPr>
          <w:rtl w:val="true"/>
        </w:rPr>
        <w:t xml:space="preserve">ואת אביו </w:t>
      </w:r>
      <w:r>
        <w:rPr>
          <w:rtl w:val="true"/>
        </w:rPr>
        <w:t>(</w:t>
      </w:r>
      <w:r>
        <w:rPr>
          <w:rtl w:val="true"/>
        </w:rPr>
        <w:t>להלן 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המתלוננים</w:t>
      </w:r>
      <w:r>
        <w:rPr>
          <w:rtl w:val="true"/>
        </w:rPr>
        <w:t xml:space="preserve">) </w:t>
      </w:r>
      <w:r>
        <w:rPr>
          <w:rtl w:val="true"/>
        </w:rPr>
        <w:t>בעניינים שונים</w:t>
      </w:r>
      <w:r>
        <w:rPr>
          <w:rtl w:val="true"/>
        </w:rPr>
        <w:t xml:space="preserve">. [...] </w:t>
      </w:r>
      <w:r>
        <w:rPr>
          <w:rtl w:val="true"/>
        </w:rPr>
        <w:t>במועד שאינו ידוע למשיבה</w:t>
      </w:r>
      <w:r>
        <w:rPr>
          <w:rtl w:val="true"/>
        </w:rPr>
        <w:t xml:space="preserve">, </w:t>
      </w:r>
      <w:r>
        <w:rPr>
          <w:rtl w:val="true"/>
        </w:rPr>
        <w:t>פנה המערער למנדו</w:t>
      </w:r>
      <w:r>
        <w:rPr>
          <w:rtl w:val="true"/>
        </w:rPr>
        <w:t xml:space="preserve">, </w:t>
      </w:r>
      <w:r>
        <w:rPr>
          <w:rtl w:val="true"/>
        </w:rPr>
        <w:t>עמו הייתה לו היכרות קודמת</w:t>
      </w:r>
      <w:r>
        <w:rPr>
          <w:rtl w:val="true"/>
        </w:rPr>
        <w:t xml:space="preserve">, </w:t>
      </w:r>
      <w:r>
        <w:rPr>
          <w:rtl w:val="true"/>
        </w:rPr>
        <w:t>וביקש ממנו לאיים על ע</w:t>
      </w:r>
      <w:r>
        <w:rPr>
          <w:rtl w:val="true"/>
        </w:rPr>
        <w:t xml:space="preserve">' </w:t>
      </w:r>
      <w:r>
        <w:rPr>
          <w:rtl w:val="true"/>
        </w:rPr>
        <w:t>ובני משפחתו בפגיעה שלא כדין בגופם בתמורה לתגמול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במספר הזדמנויות שונות בחודש מאי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בהנחיית המערער ובהוראתו</w:t>
      </w:r>
      <w:r>
        <w:rPr>
          <w:rtl w:val="true"/>
        </w:rPr>
        <w:t xml:space="preserve">, </w:t>
      </w:r>
      <w:r>
        <w:rPr>
          <w:rtl w:val="true"/>
        </w:rPr>
        <w:t>התקשר מנדו למתלוננים ואיים עליהם בפגיעה בילדיהם ובעסקיהם</w:t>
      </w:r>
      <w:r>
        <w:rPr>
          <w:rtl w:val="true"/>
        </w:rPr>
        <w:t xml:space="preserve">. </w:t>
      </w:r>
      <w:r>
        <w:rPr>
          <w:rtl w:val="true"/>
        </w:rPr>
        <w:t xml:space="preserve">השיחות בוצעו בטלפון באמצעות כרטיס </w:t>
      </w:r>
      <w:r>
        <w:rPr/>
        <w:t>SIM</w:t>
      </w:r>
      <w:r>
        <w:rPr>
          <w:rtl w:val="true"/>
        </w:rPr>
        <w:t xml:space="preserve"> </w:t>
      </w:r>
      <w:r>
        <w:rPr>
          <w:rtl w:val="true"/>
        </w:rPr>
        <w:t>חדש שרכש מנדו בהנחיית המערער</w:t>
      </w:r>
      <w:r>
        <w:rPr>
          <w:rtl w:val="true"/>
        </w:rPr>
        <w:t xml:space="preserve">. </w:t>
      </w:r>
      <w:r>
        <w:rPr>
          <w:rtl w:val="true"/>
        </w:rPr>
        <w:t>בשלב מסוים הנחה המערער את מנדו לחדול מהשיחות</w:t>
      </w:r>
      <w:r>
        <w:rPr>
          <w:rtl w:val="true"/>
        </w:rPr>
        <w:t xml:space="preserve">, </w:t>
      </w:r>
      <w:r>
        <w:rPr>
          <w:rtl w:val="true"/>
        </w:rPr>
        <w:t>והורה לו ליידות רימון רסס לעבר ביתו של ע</w:t>
      </w:r>
      <w:r>
        <w:rPr>
          <w:rtl w:val="true"/>
        </w:rPr>
        <w:t xml:space="preserve">' </w:t>
      </w:r>
      <w:r>
        <w:rPr>
          <w:rtl w:val="true"/>
        </w:rPr>
        <w:t>ובני משפחתו בירושלים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21.5.2015</w:t>
      </w:r>
      <w:r>
        <w:rPr>
          <w:rtl w:val="true"/>
        </w:rPr>
        <w:t xml:space="preserve"> </w:t>
      </w:r>
      <w:r>
        <w:rPr>
          <w:rtl w:val="true"/>
        </w:rPr>
        <w:t>נסע מנדו בהנחיית הנאשם לאזור מגוריו של ע</w:t>
      </w:r>
      <w:r>
        <w:rPr>
          <w:rtl w:val="true"/>
        </w:rPr>
        <w:t xml:space="preserve">' </w:t>
      </w:r>
      <w:r>
        <w:rPr>
          <w:rtl w:val="true"/>
        </w:rPr>
        <w:t>על מנת להכיר את ביתו טרם יידוי הרימון</w:t>
      </w:r>
      <w:r>
        <w:rPr>
          <w:rtl w:val="true"/>
        </w:rPr>
        <w:t xml:space="preserve">. </w:t>
      </w:r>
      <w:r>
        <w:rPr>
          <w:rtl w:val="true"/>
        </w:rPr>
        <w:t>מספר ימים לאחר מכן נפגשו המערער ומנדו בתחנת דלק בבית ג</w:t>
      </w:r>
      <w:r>
        <w:rPr>
          <w:rtl w:val="true"/>
        </w:rPr>
        <w:t>'</w:t>
      </w:r>
      <w:r>
        <w:rPr>
          <w:rtl w:val="true"/>
        </w:rPr>
        <w:t>אן שם מסר המערער למנדו כי ברשותו רימון וברצונו שמנדו ישליכו לעבר חלון גדול בקומה בה מתגורר ע</w:t>
      </w:r>
      <w:r>
        <w:rPr>
          <w:rtl w:val="true"/>
        </w:rPr>
        <w:t xml:space="preserve">' </w:t>
      </w:r>
      <w:r>
        <w:rPr>
          <w:rtl w:val="true"/>
        </w:rPr>
        <w:t>וכן ישרוף את כלי הרכב במקום</w:t>
      </w:r>
      <w:r>
        <w:rPr>
          <w:rtl w:val="true"/>
        </w:rPr>
        <w:t xml:space="preserve">. </w:t>
      </w:r>
      <w:r>
        <w:rPr>
          <w:rtl w:val="true"/>
        </w:rPr>
        <w:t>בתוך כך הנחה המערער את מנדו להתרחק מרכב מסוים אשר שייך לס</w:t>
      </w:r>
      <w:r>
        <w:rPr>
          <w:rtl w:val="true"/>
        </w:rPr>
        <w:t xml:space="preserve">'.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24.5.2015</w:t>
      </w:r>
      <w:r>
        <w:rPr>
          <w:rtl w:val="true"/>
        </w:rPr>
        <w:t xml:space="preserve"> </w:t>
      </w:r>
      <w:r>
        <w:rPr>
          <w:rtl w:val="true"/>
        </w:rPr>
        <w:t>בשעות הערב נסע מנדו לביתו של המערער</w:t>
      </w:r>
      <w:r>
        <w:rPr>
          <w:rtl w:val="true"/>
        </w:rPr>
        <w:t xml:space="preserve">, </w:t>
      </w:r>
      <w:r>
        <w:rPr>
          <w:rtl w:val="true"/>
        </w:rPr>
        <w:t>שם המתינה עבורו קופסה ובה רימון רסס</w:t>
      </w:r>
      <w:r>
        <w:rPr>
          <w:rtl w:val="true"/>
        </w:rPr>
        <w:t xml:space="preserve">. </w:t>
      </w:r>
      <w:r>
        <w:rPr>
          <w:rtl w:val="true"/>
        </w:rPr>
        <w:t>משם נסע מנדו לירכא על מנת לאסוף רכב שהמתין לו לבקשת המערער</w:t>
      </w:r>
      <w:r>
        <w:rPr>
          <w:rtl w:val="true"/>
        </w:rPr>
        <w:t xml:space="preserve">, </w:t>
      </w:r>
      <w:r>
        <w:rPr>
          <w:rtl w:val="true"/>
        </w:rPr>
        <w:t>ובשעות הלילה הגיע עמו לביתו של ע</w:t>
      </w:r>
      <w:r>
        <w:rPr>
          <w:rtl w:val="true"/>
        </w:rPr>
        <w:t xml:space="preserve">'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מנדו עצר את רכבו בסמוך לבית ויידה את הרימון לעבר חלון בחזית הבית</w:t>
      </w:r>
      <w:r>
        <w:rPr>
          <w:rtl w:val="true"/>
        </w:rPr>
        <w:t xml:space="preserve">, </w:t>
      </w:r>
      <w:r>
        <w:rPr>
          <w:rtl w:val="true"/>
        </w:rPr>
        <w:t>כאשר באותה עת המתלוננים ובני משפחתם שהו בבית</w:t>
      </w:r>
      <w:r>
        <w:rPr>
          <w:rtl w:val="true"/>
        </w:rPr>
        <w:t xml:space="preserve">. </w:t>
      </w:r>
      <w:r>
        <w:rPr>
          <w:rtl w:val="true"/>
        </w:rPr>
        <w:t>הרימון התפוצץ בחזית הבית וכתוצאה מכך נשברו חלונות המטבח ורסיס רימון פגע בבלון גז של הבית וגרם לדליפת גז</w:t>
      </w:r>
      <w:r>
        <w:rPr>
          <w:rtl w:val="true"/>
        </w:rPr>
        <w:t xml:space="preserve">. </w:t>
      </w:r>
      <w:r>
        <w:rPr>
          <w:rtl w:val="true"/>
        </w:rPr>
        <w:t>לאחר מכן מנדו נמלט מהמקום</w:t>
      </w:r>
      <w:r>
        <w:rPr>
          <w:rtl w:val="true"/>
        </w:rPr>
        <w:t xml:space="preserve">. </w:t>
      </w:r>
      <w:r>
        <w:rPr>
          <w:rtl w:val="true"/>
        </w:rPr>
        <w:t>במעשיו המתוארים נשא המערער בצוותא חדא נשק מסוג רימון בלא רשות על פי דין</w:t>
      </w:r>
      <w:r>
        <w:rPr>
          <w:rtl w:val="true"/>
        </w:rPr>
        <w:t xml:space="preserve">; </w:t>
      </w:r>
      <w:r>
        <w:rPr>
          <w:rtl w:val="true"/>
        </w:rPr>
        <w:t>פגע בנכס במזיד על ידי חומר נפיץ בעת שהיה אדם במקום המעשה ותוך סיכון חיי אדם</w:t>
      </w:r>
      <w:r>
        <w:rPr>
          <w:rtl w:val="true"/>
        </w:rPr>
        <w:t xml:space="preserve">; </w:t>
      </w:r>
      <w:r>
        <w:rPr>
          <w:rtl w:val="true"/>
        </w:rPr>
        <w:t>ואיים על אדם בפגיעה בגופו ובנכסיו בכוונה להפחידו או להקניטו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ייאמר כבר עתה</w:t>
      </w:r>
      <w:r>
        <w:rPr>
          <w:rtl w:val="true"/>
        </w:rPr>
        <w:t xml:space="preserve">, </w:t>
      </w:r>
      <w:r>
        <w:rPr>
          <w:rtl w:val="true"/>
        </w:rPr>
        <w:t>כי חרף הרשעתו של המערער בעבירות שיוחסו לו באישום זה</w:t>
      </w:r>
      <w:r>
        <w:rPr>
          <w:rtl w:val="true"/>
        </w:rPr>
        <w:t xml:space="preserve">, </w:t>
      </w:r>
      <w:r>
        <w:rPr>
          <w:rtl w:val="true"/>
        </w:rPr>
        <w:t>נקבע כי המערער לא מסר למנדו את הרימון ולא ביקש ממנו ליידות אותו על ביתם של המתלוננים</w:t>
      </w:r>
      <w:r>
        <w:rPr>
          <w:rtl w:val="true"/>
        </w:rPr>
        <w:t xml:space="preserve">. </w:t>
      </w:r>
      <w:r>
        <w:rPr>
          <w:rtl w:val="true"/>
        </w:rPr>
        <w:t>עניין זה עומד במרכזו של הערעור 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27.6.2016</w:t>
      </w:r>
      <w:r>
        <w:rPr>
          <w:rtl w:val="true"/>
        </w:rPr>
        <w:t xml:space="preserve"> </w:t>
      </w:r>
      <w:r>
        <w:rPr>
          <w:rtl w:val="true"/>
        </w:rPr>
        <w:t>במסגרת הליך המעצר של המערער בגין האישום הראשון</w:t>
      </w:r>
      <w:r>
        <w:rPr>
          <w:rtl w:val="true"/>
        </w:rPr>
        <w:t xml:space="preserve">, </w:t>
      </w:r>
      <w:r>
        <w:rPr>
          <w:rtl w:val="true"/>
        </w:rPr>
        <w:t>הורה בית המשפט על שחרורו בתנאים שונים וביניהם כי ימנע מיצירת קשר ישיר עם מנדו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3.5.2017</w:t>
      </w:r>
      <w:r>
        <w:rPr>
          <w:rtl w:val="true"/>
        </w:rPr>
        <w:t xml:space="preserve">, </w:t>
      </w:r>
      <w:r>
        <w:rPr>
          <w:rtl w:val="true"/>
        </w:rPr>
        <w:t>עוד טרם סיום ההליכים המשפטיים נגדו</w:t>
      </w:r>
      <w:r>
        <w:rPr>
          <w:rtl w:val="true"/>
        </w:rPr>
        <w:t xml:space="preserve">, </w:t>
      </w:r>
      <w:r>
        <w:rPr>
          <w:rtl w:val="true"/>
        </w:rPr>
        <w:t>הגיע המערער לבית הסוהר השרון</w:t>
      </w:r>
      <w:r>
        <w:rPr>
          <w:rtl w:val="true"/>
        </w:rPr>
        <w:t xml:space="preserve">, </w:t>
      </w:r>
      <w:r>
        <w:rPr>
          <w:rtl w:val="true"/>
        </w:rPr>
        <w:t>התחזה לעורך דינו של מנדו וביקר אותו במקום</w:t>
      </w:r>
      <w:r>
        <w:rPr>
          <w:rtl w:val="true"/>
        </w:rPr>
        <w:t xml:space="preserve">. </w:t>
      </w:r>
      <w:r>
        <w:rPr>
          <w:rtl w:val="true"/>
        </w:rPr>
        <w:t>במהלך אותה פגישה ניסה המערער לשכנע את מנדו להסכים להסדר טיעון שהציעה המשיבה</w:t>
      </w:r>
      <w:r>
        <w:rPr>
          <w:rtl w:val="true"/>
        </w:rPr>
        <w:t xml:space="preserve">, </w:t>
      </w:r>
      <w:r>
        <w:rPr>
          <w:rtl w:val="true"/>
        </w:rPr>
        <w:t>על פיו יתוקן כתב האישום נגד המערער כך שסעיפי העבירה נגדו ישונו לעבירות של קשירת קשר לפשע</w:t>
      </w:r>
      <w:r>
        <w:rPr>
          <w:rtl w:val="true"/>
        </w:rPr>
        <w:t xml:space="preserve">, </w:t>
      </w:r>
      <w:r>
        <w:rPr>
          <w:rtl w:val="true"/>
        </w:rPr>
        <w:t>איומים והיזק במזיד</w:t>
      </w:r>
      <w:r>
        <w:rPr>
          <w:rtl w:val="true"/>
        </w:rPr>
        <w:t xml:space="preserve">, </w:t>
      </w:r>
      <w:r>
        <w:rPr>
          <w:rtl w:val="true"/>
        </w:rPr>
        <w:t>ואילו סעיפי העבירות נגד מנדו לא ישונו</w:t>
      </w:r>
      <w:r>
        <w:rPr>
          <w:rtl w:val="true"/>
        </w:rPr>
        <w:t xml:space="preserve">. </w:t>
      </w:r>
      <w:r>
        <w:rPr>
          <w:rtl w:val="true"/>
        </w:rPr>
        <w:t>זאת מאחר שהמשיבה התנתה את הסדר הטיעון בכך שיתקבל על ידי מנדו והמערער יחדיו</w:t>
      </w:r>
      <w:r>
        <w:rPr>
          <w:rtl w:val="true"/>
        </w:rPr>
        <w:t xml:space="preserve">. </w:t>
      </w:r>
      <w:r>
        <w:rPr>
          <w:rtl w:val="true"/>
        </w:rPr>
        <w:t>עוד פורט באישום זה כי במסגרת הליכי המעצר של מנדו ושל המערער</w:t>
      </w:r>
      <w:r>
        <w:rPr>
          <w:rtl w:val="true"/>
        </w:rPr>
        <w:t xml:space="preserve">, </w:t>
      </w:r>
      <w:r>
        <w:rPr>
          <w:rtl w:val="true"/>
        </w:rPr>
        <w:t>שכר האחרון את שירותיו של עורך דין עבור ייצוג שניהם ונשא בשכר טרחתו</w:t>
      </w:r>
      <w:r>
        <w:rPr>
          <w:rtl w:val="true"/>
        </w:rPr>
        <w:t xml:space="preserve">, </w:t>
      </w:r>
      <w:r>
        <w:rPr>
          <w:rtl w:val="true"/>
        </w:rPr>
        <w:t>גם עבור מנדו</w:t>
      </w:r>
      <w:r>
        <w:rPr>
          <w:rtl w:val="true"/>
        </w:rPr>
        <w:t xml:space="preserve">. </w:t>
      </w:r>
      <w:r>
        <w:rPr>
          <w:rtl w:val="true"/>
        </w:rPr>
        <w:t>כל זאת על מנת להבטיח את המשך שיתוף הפעולה שלו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מעשים אלה יוחסו למערער עבירה של הפרת הוראה חוקית 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ושתי עבירות של שיבוש מהלכי משפט לפי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 הראשונה של המערער לכתב האישום הוא כפר במיוחס לו</w:t>
      </w:r>
      <w:r>
        <w:rPr>
          <w:rtl w:val="true"/>
        </w:rPr>
        <w:t xml:space="preserve">. </w:t>
      </w:r>
      <w:r>
        <w:rPr>
          <w:rtl w:val="true"/>
        </w:rPr>
        <w:t>לאחר עדותם של המתלוננים הוא הודה במקצת העובדות המפורטות בכתב האישום אך המשיך להכחיש את עיקרי הדברים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לאחר שמיעת עדותו של מנדו</w:t>
      </w:r>
      <w:r>
        <w:rPr>
          <w:rtl w:val="true"/>
        </w:rPr>
        <w:t xml:space="preserve">, </w:t>
      </w:r>
      <w:r>
        <w:rPr>
          <w:rtl w:val="true"/>
        </w:rPr>
        <w:t>הודיע בא</w:t>
      </w:r>
      <w:r>
        <w:rPr>
          <w:rtl w:val="true"/>
        </w:rPr>
        <w:t>-</w:t>
      </w:r>
      <w:r>
        <w:rPr>
          <w:rtl w:val="true"/>
        </w:rPr>
        <w:t>כוח המערער כי המערער החליט לקבל על עצמו אחריות לגבי חלק מהמיוחס לו ולהודות בעיקר העובדות המפורטות בכתב האישום</w:t>
      </w:r>
      <w:r>
        <w:rPr>
          <w:rtl w:val="true"/>
        </w:rPr>
        <w:t xml:space="preserve">. </w:t>
      </w:r>
      <w:r>
        <w:rPr>
          <w:rtl w:val="true"/>
        </w:rPr>
        <w:t>בעקבות גרסתו זו נותרה בין הצדדים מחלוקת בנקודה אחת הנוגעת לרימון שהשליך מנדו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גרסת המערער הייתה כי הוא שידל את מנדו אך ורק לשרוף את כלי הרכב של המתלוננים שהיו במקום</w:t>
      </w:r>
      <w:r>
        <w:rPr>
          <w:rtl w:val="true"/>
        </w:rPr>
        <w:t xml:space="preserve">, </w:t>
      </w:r>
      <w:r>
        <w:rPr>
          <w:rtl w:val="true"/>
        </w:rPr>
        <w:t>וכי מנדו הצטייד ברימון והשליך אותו על דעת עצמו ללא מעורבותו של המערער</w:t>
      </w:r>
      <w:r>
        <w:rPr>
          <w:rtl w:val="true"/>
        </w:rPr>
        <w:t xml:space="preserve">. </w:t>
      </w:r>
      <w:r>
        <w:rPr>
          <w:rtl w:val="true"/>
        </w:rPr>
        <w:t>המשיבה טענה מנגד כי הראיות נגד המערער</w:t>
      </w:r>
      <w:r>
        <w:rPr>
          <w:rtl w:val="true"/>
        </w:rPr>
        <w:t xml:space="preserve">, </w:t>
      </w:r>
      <w:r>
        <w:rPr>
          <w:rtl w:val="true"/>
        </w:rPr>
        <w:t>ובעיקרן עדותו של מנדו</w:t>
      </w:r>
      <w:r>
        <w:rPr>
          <w:rtl w:val="true"/>
        </w:rPr>
        <w:t xml:space="preserve">, </w:t>
      </w:r>
      <w:r>
        <w:rPr>
          <w:rtl w:val="true"/>
        </w:rPr>
        <w:t>מצביעות באופן חד</w:t>
      </w:r>
      <w:r>
        <w:rPr>
          <w:rtl w:val="true"/>
        </w:rPr>
        <w:t>-</w:t>
      </w:r>
      <w:r>
        <w:rPr>
          <w:rtl w:val="true"/>
        </w:rPr>
        <w:t>משמעי על כך שהמערער הנחה את מנדו ליידות רימון לעבר ביתו של ע</w:t>
      </w:r>
      <w:r>
        <w:rPr>
          <w:rtl w:val="true"/>
        </w:rPr>
        <w:t xml:space="preserve">' </w:t>
      </w:r>
      <w:r>
        <w:rPr>
          <w:rtl w:val="true"/>
        </w:rPr>
        <w:t>ושהוא זה שמסר לו את הרימון</w:t>
      </w:r>
      <w:r>
        <w:rPr>
          <w:rtl w:val="true"/>
        </w:rPr>
        <w:t xml:space="preserve">. </w:t>
      </w:r>
      <w:r>
        <w:rPr>
          <w:rtl w:val="true"/>
        </w:rPr>
        <w:t>נוסף על המחלוקת העובדתית האמורה</w:t>
      </w:r>
      <w:r>
        <w:rPr>
          <w:rtl w:val="true"/>
        </w:rPr>
        <w:t xml:space="preserve">, </w:t>
      </w:r>
      <w:r>
        <w:rPr>
          <w:rtl w:val="true"/>
        </w:rPr>
        <w:t>הצדדים נחלקו ביניהם גם בנוגע להשלכותיה של קביעה עובדתית המאמצת את גרסת המערער</w:t>
      </w:r>
      <w:r>
        <w:rPr>
          <w:rtl w:val="true"/>
        </w:rPr>
        <w:t xml:space="preserve">, </w:t>
      </w:r>
      <w:r>
        <w:rPr>
          <w:rtl w:val="true"/>
        </w:rPr>
        <w:t>על אחריותו מכוח דיני השותפות או כמשדל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keepNext w:val="true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7.7.2020</w:t>
      </w:r>
      <w:r>
        <w:rPr>
          <w:rtl w:val="true"/>
        </w:rPr>
        <w:t xml:space="preserve"> </w:t>
      </w:r>
      <w:r>
        <w:rPr>
          <w:rtl w:val="true"/>
        </w:rPr>
        <w:t xml:space="preserve">הרשיע בית המשפט את המערער בכלל העבירות שיוחסו לו בכתב האישום </w:t>
      </w:r>
      <w:r>
        <w:rPr>
          <w:rtl w:val="true"/>
        </w:rPr>
        <w:t>(</w:t>
      </w:r>
      <w:r>
        <w:rPr>
          <w:rtl w:val="true"/>
        </w:rPr>
        <w:t>בהסתייגות מסוימת מתיאור העובדות בקשר למעורבותו ביידוי הרימון על ידי מנדו</w:t>
      </w:r>
      <w:r>
        <w:rPr>
          <w:rtl w:val="true"/>
        </w:rPr>
        <w:t xml:space="preserve">, </w:t>
      </w:r>
      <w:r>
        <w:rPr>
          <w:rtl w:val="true"/>
        </w:rPr>
        <w:t>כאמור וכפי שיפורט להלן</w:t>
      </w:r>
      <w:r>
        <w:rPr>
          <w:rtl w:val="true"/>
        </w:rPr>
        <w:t xml:space="preserve">). </w:t>
      </w:r>
      <w:r>
        <w:rPr>
          <w:rtl w:val="true"/>
        </w:rPr>
        <w:t>הערעור שלפנינו נסוב אך ורק על הרשעתו של המערער בעבירות של נשיאת נשק והיזק בחומר נפיץ</w:t>
      </w:r>
      <w:r>
        <w:rPr>
          <w:rtl w:val="true"/>
        </w:rPr>
        <w:t xml:space="preserve">, </w:t>
      </w:r>
      <w:r>
        <w:rPr>
          <w:rtl w:val="true"/>
        </w:rPr>
        <w:t>היינו בקשר לזריקת הרימון</w:t>
      </w:r>
      <w:r>
        <w:rPr>
          <w:rtl w:val="true"/>
        </w:rPr>
        <w:t xml:space="preserve">, </w:t>
      </w:r>
      <w:r>
        <w:rPr>
          <w:rtl w:val="true"/>
        </w:rPr>
        <w:t>על כן בתיאור הכרעת הדין אתמקד בעניין זה בלבד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כי יש לאמץ את גרסת המערער בכל הנוגע לרימון במובן זה שהוא לא הורה למנדו ליידות את הרימון לעבר ביתו של ע</w:t>
      </w:r>
      <w:r>
        <w:rPr>
          <w:rtl w:val="true"/>
        </w:rPr>
        <w:t xml:space="preserve">'. </w:t>
      </w:r>
      <w:r>
        <w:rPr>
          <w:rtl w:val="true"/>
        </w:rPr>
        <w:t>הודגש כי כאשר תיאר מנדו בעדותו את התרחשות האירוע בכללותו</w:t>
      </w:r>
      <w:r>
        <w:rPr>
          <w:rtl w:val="true"/>
        </w:rPr>
        <w:t xml:space="preserve">, </w:t>
      </w:r>
      <w:r>
        <w:rPr>
          <w:rtl w:val="true"/>
        </w:rPr>
        <w:t>הוא כלל לא זכר לספר על התכנון שקדם לאירוע יידוי הרימון ועל מעורבותו של המערער בקשר לכך</w:t>
      </w:r>
      <w:r>
        <w:rPr>
          <w:rtl w:val="true"/>
        </w:rPr>
        <w:t xml:space="preserve">, </w:t>
      </w:r>
      <w:r>
        <w:rPr>
          <w:rtl w:val="true"/>
        </w:rPr>
        <w:t>ודילג על סוגיה חשובה ומהותית זו במשך דקות ארוכות</w:t>
      </w:r>
      <w:r>
        <w:rPr>
          <w:rtl w:val="true"/>
        </w:rPr>
        <w:t xml:space="preserve">. </w:t>
      </w:r>
      <w:r>
        <w:rPr>
          <w:rtl w:val="true"/>
        </w:rPr>
        <w:t>חרף ניסיונותיו של בא</w:t>
      </w:r>
      <w:r>
        <w:rPr>
          <w:rtl w:val="true"/>
        </w:rPr>
        <w:t>-</w:t>
      </w:r>
      <w:r>
        <w:rPr>
          <w:rtl w:val="true"/>
        </w:rPr>
        <w:t>כוח המשיבה להביא אותו בחקירתו הראשית לספר כי המערער היה זה שהורה לו ליידות את הרימון</w:t>
      </w:r>
      <w:r>
        <w:rPr>
          <w:rtl w:val="true"/>
        </w:rPr>
        <w:t xml:space="preserve">, </w:t>
      </w:r>
      <w:r>
        <w:rPr>
          <w:rtl w:val="true"/>
        </w:rPr>
        <w:t>הוא כלל לא הזכיר כי ניתנה הוראה כזו</w:t>
      </w:r>
      <w:r>
        <w:rPr>
          <w:rtl w:val="true"/>
        </w:rPr>
        <w:t xml:space="preserve">. </w:t>
      </w:r>
      <w:r>
        <w:rPr>
          <w:rtl w:val="true"/>
        </w:rPr>
        <w:t>מנדו אף הודה בחקירתו הנגדית כי מעולם לא התבקש לזרוק רימון וכי מדובר בפעולה מיוחדת</w:t>
      </w:r>
      <w:r>
        <w:rPr>
          <w:rtl w:val="true"/>
        </w:rPr>
        <w:t xml:space="preserve">. </w:t>
      </w:r>
      <w:r>
        <w:rPr>
          <w:rtl w:val="true"/>
        </w:rPr>
        <w:t>על כן לא מתקבל על הדעת שלא זכר לספר על כך שהמערער הורה לו לעשות כן ועל אופן קבלת הרימון ממנו</w:t>
      </w:r>
      <w:r>
        <w:rPr>
          <w:rtl w:val="true"/>
        </w:rPr>
        <w:t xml:space="preserve">, </w:t>
      </w:r>
      <w:r>
        <w:rPr>
          <w:rtl w:val="true"/>
        </w:rPr>
        <w:t>במסגרת תיאור האירוע בכללותו</w:t>
      </w:r>
      <w:r>
        <w:rPr>
          <w:rtl w:val="true"/>
        </w:rPr>
        <w:t xml:space="preserve">. </w:t>
      </w:r>
      <w:r>
        <w:rPr>
          <w:rtl w:val="true"/>
        </w:rPr>
        <w:t>על כך יש להוסיף כי בניגוד ליתר העובדות עליהן סיפר מנדו</w:t>
      </w:r>
      <w:r>
        <w:rPr>
          <w:rtl w:val="true"/>
        </w:rPr>
        <w:t xml:space="preserve">, </w:t>
      </w:r>
      <w:r>
        <w:rPr>
          <w:rtl w:val="true"/>
        </w:rPr>
        <w:t>אשר תוארו לפרטי פרטים ובאופן עקבי</w:t>
      </w:r>
      <w:r>
        <w:rPr>
          <w:rtl w:val="true"/>
        </w:rPr>
        <w:t xml:space="preserve">, </w:t>
      </w:r>
      <w:r>
        <w:rPr>
          <w:rtl w:val="true"/>
        </w:rPr>
        <w:t>בעניין מסירת הרימון והוראתו של המערער ליידות את הרימון התגלו סתירות בתיאור הדברים</w:t>
      </w:r>
      <w:r>
        <w:rPr>
          <w:rtl w:val="true"/>
        </w:rPr>
        <w:t xml:space="preserve">. </w:t>
      </w:r>
      <w:r>
        <w:rPr>
          <w:rtl w:val="true"/>
        </w:rPr>
        <w:t>כך ובין היתר התגלו סתירות בתיאוריו ביחס לפתיחת הקופסה בה היה הרימון</w:t>
      </w:r>
      <w:r>
        <w:rPr>
          <w:rtl w:val="true"/>
        </w:rPr>
        <w:t xml:space="preserve">, </w:t>
      </w:r>
      <w:r>
        <w:rPr>
          <w:rtl w:val="true"/>
        </w:rPr>
        <w:t>כמו גם בגרסאות לגבי המקום והזמן שבו דיבר עם המערער על הרימון ועל טיבו</w:t>
      </w:r>
      <w:r>
        <w:rPr>
          <w:rtl w:val="true"/>
        </w:rPr>
        <w:t xml:space="preserve">. </w:t>
      </w:r>
      <w:r>
        <w:rPr>
          <w:rtl w:val="true"/>
        </w:rPr>
        <w:t>מכאן נקבע כי יש קושי של ממש לקבל את גרסתו של מנדו בעניין זה</w:t>
      </w:r>
      <w:r>
        <w:rPr>
          <w:rtl w:val="true"/>
        </w:rPr>
        <w:t xml:space="preserve">. </w:t>
      </w:r>
      <w:r>
        <w:rPr>
          <w:rtl w:val="true"/>
        </w:rPr>
        <w:t>על כך הוסיף בית המשפט כי ניתן להסיק מעדותו של מנדו כי יידוי הרימון לעבר ביתו של ע</w:t>
      </w:r>
      <w:r>
        <w:rPr>
          <w:rtl w:val="true"/>
        </w:rPr>
        <w:t xml:space="preserve">' </w:t>
      </w:r>
      <w:r>
        <w:rPr>
          <w:rtl w:val="true"/>
        </w:rPr>
        <w:t>ומשפחתו היה יוזמה שלו ולא נעשה בהוראת המערער</w:t>
      </w:r>
      <w:r>
        <w:rPr>
          <w:rtl w:val="true"/>
        </w:rPr>
        <w:t xml:space="preserve">. </w:t>
      </w:r>
      <w:r>
        <w:rPr>
          <w:rtl w:val="true"/>
        </w:rPr>
        <w:t>זאת בין היתר נוכח דבריו כי סבר שיידוי רימון מייתר את הצורך לשרוף את כלי הרכב ומאפשר להסתלק במהירות מהזירה</w:t>
      </w:r>
      <w:r>
        <w:rPr>
          <w:rtl w:val="true"/>
        </w:rPr>
        <w:t xml:space="preserve">; </w:t>
      </w:r>
      <w:r>
        <w:rPr>
          <w:rtl w:val="true"/>
        </w:rPr>
        <w:t>נוכח העובדה שהוא רצה לרצות את המערער ולבצע את המעשה באיכות טובה יותר מזו שביקש</w:t>
      </w:r>
      <w:r>
        <w:rPr>
          <w:rtl w:val="true"/>
        </w:rPr>
        <w:t xml:space="preserve">; </w:t>
      </w:r>
      <w:r>
        <w:rPr>
          <w:rtl w:val="true"/>
        </w:rPr>
        <w:t>ומכך שמדבריו עלה שהפעיל שיקול דעת עצמאי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לגרסתו של המערער בהקשר זה</w:t>
      </w:r>
      <w:r>
        <w:rPr>
          <w:rtl w:val="true"/>
        </w:rPr>
        <w:t xml:space="preserve">, </w:t>
      </w:r>
      <w:r>
        <w:rPr>
          <w:rtl w:val="true"/>
        </w:rPr>
        <w:t>בית המשפט ציין כי יש ממש בטענת המשיבה לפיה יש קושי לתת אמון בגרסתו נוכח הגרסאות הסותרות שמסר</w:t>
      </w:r>
      <w:r>
        <w:rPr>
          <w:rtl w:val="true"/>
        </w:rPr>
        <w:t xml:space="preserve">, </w:t>
      </w:r>
      <w:r>
        <w:rPr>
          <w:rtl w:val="true"/>
        </w:rPr>
        <w:t>עדותו המניפולטיבית</w:t>
      </w:r>
      <w:r>
        <w:rPr>
          <w:rtl w:val="true"/>
        </w:rPr>
        <w:t xml:space="preserve">, </w:t>
      </w:r>
      <w:r>
        <w:rPr>
          <w:rtl w:val="true"/>
        </w:rPr>
        <w:t>שקריו הרבים וההתפתחות בגרסאותיו עם התקדמות פרשת התביעה</w:t>
      </w:r>
      <w:r>
        <w:rPr>
          <w:rtl w:val="true"/>
        </w:rPr>
        <w:t xml:space="preserve">. </w:t>
      </w:r>
      <w:r>
        <w:rPr>
          <w:rtl w:val="true"/>
        </w:rPr>
        <w:t>בהקשר זה עמד בית המשפט באריכות על הסתירות והשקרים בגרסת המערער</w:t>
      </w:r>
      <w:r>
        <w:rPr>
          <w:rtl w:val="true"/>
        </w:rPr>
        <w:t xml:space="preserve">, </w:t>
      </w:r>
      <w:r>
        <w:rPr>
          <w:rtl w:val="true"/>
        </w:rPr>
        <w:t>בין היתר בנוגע להעסקת מנדו במשרדו</w:t>
      </w:r>
      <w:r>
        <w:rPr>
          <w:rtl w:val="true"/>
        </w:rPr>
        <w:t xml:space="preserve">, </w:t>
      </w:r>
      <w:r>
        <w:rPr>
          <w:rtl w:val="true"/>
        </w:rPr>
        <w:t>להשאלת רכב עבור מנדו</w:t>
      </w:r>
      <w:r>
        <w:rPr>
          <w:rtl w:val="true"/>
        </w:rPr>
        <w:t xml:space="preserve">, </w:t>
      </w:r>
      <w:r>
        <w:rPr>
          <w:rtl w:val="true"/>
        </w:rPr>
        <w:t>לידיעה היכן מתגוררים ע</w:t>
      </w:r>
      <w:r>
        <w:rPr>
          <w:rtl w:val="true"/>
        </w:rPr>
        <w:t xml:space="preserve">' </w:t>
      </w:r>
      <w:r>
        <w:rPr>
          <w:rtl w:val="true"/>
        </w:rPr>
        <w:t>ובני משפחתו</w:t>
      </w:r>
      <w:r>
        <w:rPr>
          <w:rtl w:val="true"/>
        </w:rPr>
        <w:t xml:space="preserve">, [...] </w:t>
      </w:r>
      <w:r>
        <w:rPr>
          <w:rtl w:val="true"/>
        </w:rPr>
        <w:t>לשיחות האיומים של מנדו</w:t>
      </w:r>
      <w:r>
        <w:rPr>
          <w:rtl w:val="true"/>
        </w:rPr>
        <w:t xml:space="preserve">, </w:t>
      </w:r>
      <w:r>
        <w:rPr>
          <w:rtl w:val="true"/>
        </w:rPr>
        <w:t>לתשלום שכר טרחת בא</w:t>
      </w:r>
      <w:r>
        <w:rPr>
          <w:rtl w:val="true"/>
        </w:rPr>
        <w:t>-</w:t>
      </w:r>
      <w:r>
        <w:rPr>
          <w:rtl w:val="true"/>
        </w:rPr>
        <w:t>כוחו של מנדו ועוד</w:t>
      </w:r>
      <w:r>
        <w:rPr>
          <w:rtl w:val="true"/>
        </w:rPr>
        <w:t xml:space="preserve">. </w:t>
      </w:r>
      <w:r>
        <w:rPr>
          <w:rtl w:val="true"/>
        </w:rPr>
        <w:t>בית המשפט גם ציין כי לא נעלמה מעיניו העובדה שהמערער הוא אדם מניפולטיבי ומתוחכם הבקיא ברזי המשפט נוכח עיסוקו כעורך דין בתחום הפלילי במשך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לצד כל האמור</w:t>
      </w:r>
      <w:r>
        <w:rPr>
          <w:rtl w:val="true"/>
        </w:rPr>
        <w:t xml:space="preserve">, </w:t>
      </w:r>
      <w:r>
        <w:rPr>
          <w:rtl w:val="true"/>
        </w:rPr>
        <w:t>בית המשפט מצא אותות אמת בגרסתו האחרונה בבית המשפט</w:t>
      </w:r>
      <w:r>
        <w:rPr>
          <w:rtl w:val="true"/>
        </w:rPr>
        <w:t xml:space="preserve">, </w:t>
      </w:r>
      <w:r>
        <w:rPr>
          <w:rtl w:val="true"/>
        </w:rPr>
        <w:t>אותה מסר לפרטי פרטים</w:t>
      </w:r>
      <w:r>
        <w:rPr>
          <w:rtl w:val="true"/>
        </w:rPr>
        <w:t xml:space="preserve">, [...] </w:t>
      </w:r>
      <w:r>
        <w:rPr>
          <w:rtl w:val="true"/>
        </w:rPr>
        <w:t>סיפר על התכלית והמניע שלו לביצוע המעשים וכל זאת על אף שלא הוצגו ראיות בעניין</w:t>
      </w:r>
      <w:r>
        <w:rPr>
          <w:rtl w:val="true"/>
        </w:rPr>
        <w:t xml:space="preserve">. </w:t>
      </w:r>
      <w:r>
        <w:rPr>
          <w:rtl w:val="true"/>
        </w:rPr>
        <w:t>בתוך כך גם נמצא כי אין זה סביר שהמערער יבקש ממנדו להשליך רימון על הבית בו מתגוררת ס</w:t>
      </w:r>
      <w:r>
        <w:rPr>
          <w:rtl w:val="true"/>
        </w:rPr>
        <w:t xml:space="preserve">' </w:t>
      </w:r>
      <w:r>
        <w:rPr>
          <w:rtl w:val="true"/>
        </w:rPr>
        <w:t xml:space="preserve">וילדיה </w:t>
      </w:r>
      <w:r>
        <w:rPr>
          <w:rtl w:val="true"/>
        </w:rPr>
        <w:t xml:space="preserve">[...]. </w:t>
      </w:r>
      <w:r>
        <w:rPr>
          <w:rtl w:val="true"/>
        </w:rPr>
        <w:t>מה גם שמנדו אישר כי המערער הורה לו שלא לשרוף את רכבה של ס</w:t>
      </w:r>
      <w:r>
        <w:rPr>
          <w:rtl w:val="true"/>
        </w:rPr>
        <w:t xml:space="preserve">'. </w:t>
      </w:r>
      <w:r>
        <w:rPr>
          <w:rtl w:val="true"/>
        </w:rPr>
        <w:t>בית המשפט הוסיף כי בחקירתו הראשית והנגדית העיד המערער כי מנדו כעס על ע</w:t>
      </w:r>
      <w:r>
        <w:rPr>
          <w:rtl w:val="true"/>
        </w:rPr>
        <w:t xml:space="preserve">' </w:t>
      </w:r>
      <w:r>
        <w:rPr>
          <w:rtl w:val="true"/>
        </w:rPr>
        <w:t>ואמר שאין טעם להמשיך לאיים עליו שכן הוא לא נרתע מכך</w:t>
      </w:r>
      <w:r>
        <w:rPr>
          <w:rtl w:val="true"/>
        </w:rPr>
        <w:t xml:space="preserve">, </w:t>
      </w:r>
      <w:r>
        <w:rPr>
          <w:rtl w:val="true"/>
        </w:rPr>
        <w:t>ואף הביע שמחה גדולה והיה מרוצה כאשר שמע על יוזמת המערער לשרוף את רכבו</w:t>
      </w:r>
      <w:r>
        <w:rPr>
          <w:rtl w:val="true"/>
        </w:rPr>
        <w:t xml:space="preserve">. </w:t>
      </w:r>
      <w:r>
        <w:rPr>
          <w:rtl w:val="true"/>
        </w:rPr>
        <w:t>נוכח כל האמור קבע בית המשפט כי לא ניתן לקבוע מעבר לספק סביר כי המערער מסר למנדו את הרימון והורה לו ליידות אותו על ביתם של ע</w:t>
      </w:r>
      <w:r>
        <w:rPr>
          <w:rtl w:val="true"/>
        </w:rPr>
        <w:t xml:space="preserve">' </w:t>
      </w:r>
      <w:r>
        <w:rPr>
          <w:rtl w:val="true"/>
        </w:rPr>
        <w:t>ובני משפחתו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אחר דברים אלה פנה בית המשפט לבחינת השאלה האם על יסוד המצע העובדתי האמור</w:t>
      </w:r>
      <w:r>
        <w:rPr>
          <w:rtl w:val="true"/>
        </w:rPr>
        <w:t xml:space="preserve">, </w:t>
      </w:r>
      <w:r>
        <w:rPr>
          <w:rtl w:val="true"/>
        </w:rPr>
        <w:t>ניתן להרשיע את המערער בעבירת נשיאת נשק ובעבירת היזק בחומר נפיץ בגין ביצוע בצוותא או כמשדל</w:t>
      </w:r>
      <w:r>
        <w:rPr>
          <w:rtl w:val="true"/>
        </w:rPr>
        <w:t xml:space="preserve">. </w:t>
      </w:r>
      <w:r>
        <w:rPr>
          <w:rtl w:val="true"/>
        </w:rPr>
        <w:t>תחילה נקבע כי המערער היה שותף לביצוע העבירות המיוחסות לו בכתב האישום ותרם תרומה מהותית להתרחשותן</w:t>
      </w:r>
      <w:r>
        <w:rPr>
          <w:rtl w:val="true"/>
        </w:rPr>
        <w:t xml:space="preserve">, </w:t>
      </w:r>
      <w:r>
        <w:rPr>
          <w:rtl w:val="true"/>
        </w:rPr>
        <w:t>ולא רק הביא את מנדו לקבלת החלטה לבצען</w:t>
      </w:r>
      <w:r>
        <w:rPr>
          <w:rtl w:val="true"/>
        </w:rPr>
        <w:t xml:space="preserve">. </w:t>
      </w:r>
      <w:r>
        <w:rPr>
          <w:rtl w:val="true"/>
        </w:rPr>
        <w:t>בהקשר זה נקבע כי המערער לא הסתפק רק במתן הוראה למנדו לשרוף את רכבו של ע</w:t>
      </w:r>
      <w:r>
        <w:rPr>
          <w:rtl w:val="true"/>
        </w:rPr>
        <w:t xml:space="preserve">', </w:t>
      </w:r>
      <w:r>
        <w:rPr>
          <w:rtl w:val="true"/>
        </w:rPr>
        <w:t>אלא גם סיפק לו את הרכב ששימש לביצוע העבירה</w:t>
      </w:r>
      <w:r>
        <w:rPr>
          <w:rtl w:val="true"/>
        </w:rPr>
        <w:t xml:space="preserve">. </w:t>
      </w:r>
      <w:r>
        <w:rPr>
          <w:rtl w:val="true"/>
        </w:rPr>
        <w:t>המערער הורה למנדו לערוך סיור מקדים לבחינת המקום</w:t>
      </w:r>
      <w:r>
        <w:rPr>
          <w:rtl w:val="true"/>
        </w:rPr>
        <w:t xml:space="preserve">, </w:t>
      </w:r>
      <w:r>
        <w:rPr>
          <w:rtl w:val="true"/>
        </w:rPr>
        <w:t>וכן שוחח עמו מספר שיחות טלפוניות</w:t>
      </w:r>
      <w:r>
        <w:rPr>
          <w:rtl w:val="true"/>
        </w:rPr>
        <w:t xml:space="preserve">, </w:t>
      </w:r>
      <w:r>
        <w:rPr>
          <w:rtl w:val="true"/>
        </w:rPr>
        <w:t>לרבות ביום ביצוע העבירות ולמחרת היום</w:t>
      </w:r>
      <w:r>
        <w:rPr>
          <w:rtl w:val="true"/>
        </w:rPr>
        <w:t xml:space="preserve">, </w:t>
      </w:r>
      <w:r>
        <w:rPr>
          <w:rtl w:val="true"/>
        </w:rPr>
        <w:t>בהן וידא שמנדו קיבל את הרכב וסייע לו לאתר את ביתו של ע</w:t>
      </w:r>
      <w:r>
        <w:rPr>
          <w:rtl w:val="true"/>
        </w:rPr>
        <w:t xml:space="preserve">'. </w:t>
      </w:r>
      <w:r>
        <w:rPr>
          <w:rtl w:val="true"/>
        </w:rPr>
        <w:t>מכך ניתן ללמוד שהמערער פיקח על מנדו בכל שלב משלבי ביצוע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היה אפוא </w:t>
      </w:r>
      <w:r>
        <w:rPr>
          <w:rtl w:val="true"/>
        </w:rPr>
        <w:t>"</w:t>
      </w:r>
      <w:r>
        <w:rPr>
          <w:rtl w:val="true"/>
        </w:rPr>
        <w:t>המנהיג</w:t>
      </w:r>
      <w:r>
        <w:rPr>
          <w:rtl w:val="true"/>
        </w:rPr>
        <w:t xml:space="preserve">", </w:t>
      </w:r>
      <w:r>
        <w:rPr>
          <w:rtl w:val="true"/>
        </w:rPr>
        <w:t>השותף להחלטה</w:t>
      </w:r>
      <w:r>
        <w:rPr>
          <w:rtl w:val="true"/>
        </w:rPr>
        <w:t xml:space="preserve">, </w:t>
      </w:r>
      <w:r>
        <w:rPr>
          <w:rtl w:val="true"/>
        </w:rPr>
        <w:t>אשר נטל חלק פעיל ומרכזי במעשה העברייני ועמד מאחורי תכנון העבירות</w:t>
      </w:r>
      <w:r>
        <w:rPr>
          <w:rtl w:val="true"/>
        </w:rPr>
        <w:t xml:space="preserve">. </w:t>
      </w:r>
      <w:r>
        <w:rPr>
          <w:rtl w:val="true"/>
        </w:rPr>
        <w:t>מכאן יש לראות בו כמבצע בצוותא</w:t>
      </w:r>
      <w:r>
        <w:rPr>
          <w:rtl w:val="true"/>
        </w:rPr>
        <w:t xml:space="preserve">. </w:t>
      </w:r>
      <w:r>
        <w:rPr>
          <w:rtl w:val="true"/>
        </w:rPr>
        <w:t>זאת אף אם הוא לא ביצע בעצמו את כל היסודות העובדתיים של 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משנקבע כי המערער יצא מגדר משדל ומהווה מבצע בצוותא</w:t>
      </w:r>
      <w:r>
        <w:rPr>
          <w:rtl w:val="true"/>
        </w:rPr>
        <w:t xml:space="preserve">, </w:t>
      </w:r>
      <w:r>
        <w:rPr>
          <w:rtl w:val="true"/>
        </w:rPr>
        <w:t>פנה בית המשפט לבחון האם הוא אחראי כמבצע בצוותא גם ל</w:t>
      </w:r>
      <w:r>
        <w:rPr>
          <w:rtl w:val="true"/>
        </w:rPr>
        <w:t>"</w:t>
      </w:r>
      <w:r>
        <w:rPr>
          <w:rtl w:val="true"/>
        </w:rPr>
        <w:t>חריגות</w:t>
      </w:r>
      <w:r>
        <w:rPr>
          <w:rtl w:val="true"/>
        </w:rPr>
        <w:t xml:space="preserve">" </w:t>
      </w:r>
      <w:r>
        <w:rPr>
          <w:rtl w:val="true"/>
        </w:rPr>
        <w:t>של מנדו מהתכנית העבריינית שתכנן המערער</w:t>
      </w:r>
      <w:r>
        <w:rPr>
          <w:rtl w:val="true"/>
        </w:rPr>
        <w:t xml:space="preserve">. </w:t>
      </w:r>
      <w:r>
        <w:rPr>
          <w:rtl w:val="true"/>
        </w:rPr>
        <w:t>נקבע כי המערער אמנם לא הורה למנדו להשליך רימון על ביתו של ע</w:t>
      </w:r>
      <w:r>
        <w:rPr>
          <w:rtl w:val="true"/>
        </w:rPr>
        <w:t xml:space="preserve">', </w:t>
      </w:r>
      <w:r>
        <w:rPr>
          <w:rtl w:val="true"/>
        </w:rPr>
        <w:t>אך מניתוח הראיות עולה כי הייתה לו צפיות ומודעות סובייקטיבית לאפשרות שמנדו אכן יעשה כן</w:t>
      </w:r>
      <w:r>
        <w:rPr>
          <w:rtl w:val="true"/>
        </w:rPr>
        <w:t xml:space="preserve">. </w:t>
      </w:r>
      <w:r>
        <w:rPr>
          <w:rtl w:val="true"/>
        </w:rPr>
        <w:t xml:space="preserve">זאת על אף שהתכנון כלל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שריפת כלי הרכב וירי לעברם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 הודה כי היה מודע לכך ששריפת כלי הרכב הייתה יכולה לסכן חיי אדם או לפגוע באדם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יזם את התכנית</w:t>
      </w:r>
      <w:r>
        <w:rPr>
          <w:rtl w:val="true"/>
        </w:rPr>
        <w:t xml:space="preserve">, </w:t>
      </w:r>
      <w:r>
        <w:rPr>
          <w:rtl w:val="true"/>
        </w:rPr>
        <w:t>היה לו חלק עיקרי בתכנון ובביצוע תוך שנתן למנדו הנחיות ברורות לגבי מיקום בית המתלונן</w:t>
      </w:r>
      <w:r>
        <w:rPr>
          <w:rtl w:val="true"/>
        </w:rPr>
        <w:t xml:space="preserve">, </w:t>
      </w:r>
      <w:r>
        <w:rPr>
          <w:rtl w:val="true"/>
        </w:rPr>
        <w:t>השגת הרכב</w:t>
      </w:r>
      <w:r>
        <w:rPr>
          <w:rtl w:val="true"/>
        </w:rPr>
        <w:t xml:space="preserve">, </w:t>
      </w:r>
      <w:r>
        <w:rPr>
          <w:rtl w:val="true"/>
        </w:rPr>
        <w:t>אופן ביצוע שיחות האיומים ומעשי ההפחדה ועוד</w:t>
      </w:r>
      <w:r>
        <w:rPr>
          <w:rtl w:val="true"/>
        </w:rPr>
        <w:t xml:space="preserve">. </w:t>
      </w:r>
      <w:r>
        <w:rPr>
          <w:rtl w:val="true"/>
        </w:rPr>
        <w:t>המערער גם הפציר במנדו להמשיך לבצע את המעשים</w:t>
      </w:r>
      <w:r>
        <w:rPr>
          <w:rtl w:val="true"/>
        </w:rPr>
        <w:t xml:space="preserve">, </w:t>
      </w:r>
      <w:r>
        <w:rPr>
          <w:rtl w:val="true"/>
        </w:rPr>
        <w:t xml:space="preserve">הגם שבשלב הראשון של התכנית העבריינית </w:t>
      </w:r>
      <w:r>
        <w:rPr>
          <w:rtl w:val="true"/>
        </w:rPr>
        <w:t>–</w:t>
      </w:r>
      <w:r>
        <w:rPr>
          <w:rtl w:val="true"/>
        </w:rPr>
        <w:t xml:space="preserve"> שלב האיומים</w:t>
      </w:r>
      <w:r>
        <w:rPr>
          <w:rtl w:val="true"/>
        </w:rPr>
        <w:t xml:space="preserve">, </w:t>
      </w:r>
      <w:r>
        <w:rPr>
          <w:rtl w:val="true"/>
        </w:rPr>
        <w:t>מנדו חרג מהתכנית המקורית עת איים על אמו של ע</w:t>
      </w:r>
      <w:r>
        <w:rPr>
          <w:rtl w:val="true"/>
        </w:rPr>
        <w:t xml:space="preserve">' </w:t>
      </w:r>
      <w:r>
        <w:rPr>
          <w:rtl w:val="true"/>
        </w:rPr>
        <w:t>על אף שהמערער לא הורה לו לעשות זאת</w:t>
      </w:r>
      <w:r>
        <w:rPr>
          <w:rtl w:val="true"/>
        </w:rPr>
        <w:t xml:space="preserve">. </w:t>
      </w:r>
      <w:r>
        <w:rPr>
          <w:rtl w:val="true"/>
        </w:rPr>
        <w:t>המערער היה אפוא ער לכך שמנדו עלול לחרוג מהתכניות גם בהמשך הדרך</w:t>
      </w:r>
      <w:r>
        <w:rPr>
          <w:rtl w:val="true"/>
        </w:rPr>
        <w:t xml:space="preserve">, </w:t>
      </w:r>
      <w:r>
        <w:rPr>
          <w:rtl w:val="true"/>
        </w:rPr>
        <w:t>ויכול היה לצפות לכך</w:t>
      </w:r>
      <w:r>
        <w:rPr>
          <w:rtl w:val="true"/>
        </w:rPr>
        <w:t xml:space="preserve">. </w:t>
      </w:r>
      <w:r>
        <w:rPr>
          <w:rtl w:val="true"/>
        </w:rPr>
        <w:t>זאת בפרט כאשר מאמירותיו של מנדו למערער על כך שהאיומים אינם אפקטיביים דיים ניתן היה ללמוד כי למנדו נטייה עבריינית ברורה</w:t>
      </w:r>
      <w:r>
        <w:rPr>
          <w:rtl w:val="true"/>
        </w:rPr>
        <w:t xml:space="preserve">. </w:t>
      </w:r>
      <w:r>
        <w:rPr>
          <w:rtl w:val="true"/>
        </w:rPr>
        <w:t>נוכח כל האמור קבע בית המשפט כי למערער הייתה מודעות סובייקטיבית לגבי האפשרות שמנדו יחרוג מתכנית הפעולה גם בהמשך</w:t>
      </w:r>
      <w:r>
        <w:rPr>
          <w:rtl w:val="true"/>
        </w:rPr>
        <w:t xml:space="preserve">, </w:t>
      </w:r>
      <w:r>
        <w:rPr>
          <w:rtl w:val="true"/>
        </w:rPr>
        <w:t>או שלכל הפחות הוא עצם את עיניו ביחס לאפשרות זו</w:t>
      </w:r>
      <w:r>
        <w:rPr>
          <w:rtl w:val="true"/>
        </w:rPr>
        <w:t xml:space="preserve">. </w:t>
      </w:r>
      <w:r>
        <w:rPr>
          <w:rtl w:val="true"/>
        </w:rPr>
        <w:t>כמו כן הייתה לו מודעות לכך שהשלכת הרימון עלולה להביא לידי הרס או גרימת נזק לנכס</w:t>
      </w:r>
      <w:r>
        <w:rPr>
          <w:rtl w:val="true"/>
        </w:rPr>
        <w:t xml:space="preserve">, </w:t>
      </w:r>
      <w:r>
        <w:rPr>
          <w:rtl w:val="true"/>
        </w:rPr>
        <w:t>כאשר ההיזק כתוצאה מכך סיכן בפועל חיי אדם סיכון של ממש</w:t>
      </w:r>
      <w:r>
        <w:rPr>
          <w:rtl w:val="true"/>
        </w:rPr>
        <w:t xml:space="preserve">. </w:t>
      </w:r>
      <w:r>
        <w:rPr>
          <w:rtl w:val="true"/>
        </w:rPr>
        <w:t>כן היה למערער יסוד נפשי של פזיזות כלפי התממשות התוצאה</w:t>
      </w:r>
      <w:r>
        <w:rPr>
          <w:rtl w:val="true"/>
        </w:rPr>
        <w:t xml:space="preserve">. </w:t>
      </w:r>
      <w:r>
        <w:rPr>
          <w:rtl w:val="true"/>
        </w:rPr>
        <w:t>נוכח כל האמור נקבע כי הוכחו היסודות העובדתיים והנפשיים הנדרשים של עבירת נשיאת נשק ועבירת היזק בחומר נפיץ מכוח דיני השותפות</w:t>
      </w:r>
      <w:r>
        <w:rPr>
          <w:rtl w:val="true"/>
        </w:rPr>
        <w:t xml:space="preserve">, </w:t>
      </w:r>
      <w:r>
        <w:rPr>
          <w:rtl w:val="true"/>
        </w:rPr>
        <w:t>ועל כן הורשע המערער גם בעבירות אלו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הוסיף וקבע</w:t>
      </w:r>
      <w:r>
        <w:rPr>
          <w:rtl w:val="true"/>
        </w:rPr>
        <w:t xml:space="preserve">,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כי אף אם היה נקבע שהמערער לא היה מודע לאפשרות שמנדו יבצע את כל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העניין ניתן להחיל את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העוסק במצב שבו מבצע בצוותא ביצע אגב עשיית העבירה</w:t>
      </w:r>
      <w:r>
        <w:rPr>
          <w:rtl w:val="true"/>
        </w:rPr>
        <w:t xml:space="preserve">, </w:t>
      </w:r>
      <w:r>
        <w:rPr>
          <w:rtl w:val="true"/>
        </w:rPr>
        <w:t>עבירה שונה או נוספת אשר לא הייתה חלק מהתכנון המקורי וכאשר שותפיו לא היו מודעים לאפשרות עשייתה</w:t>
      </w:r>
      <w:r>
        <w:rPr>
          <w:rtl w:val="true"/>
        </w:rPr>
        <w:t xml:space="preserve">. </w:t>
      </w:r>
      <w:r>
        <w:rPr>
          <w:rtl w:val="true"/>
        </w:rPr>
        <w:t>זאת כאשר אדם מן הישוב היה יכול להיות מודע לאפשרות התרחשותה</w:t>
      </w:r>
      <w:r>
        <w:rPr>
          <w:rtl w:val="true"/>
        </w:rPr>
        <w:t xml:space="preserve">. </w:t>
      </w:r>
      <w:r>
        <w:rPr>
          <w:rtl w:val="true"/>
        </w:rPr>
        <w:t>נקבע כי אמנם עבירת היזק בחומר נפיץ לא נכללה בתכנית המשותפת המקורית</w:t>
      </w:r>
      <w:r>
        <w:rPr>
          <w:rtl w:val="true"/>
        </w:rPr>
        <w:t xml:space="preserve">, </w:t>
      </w:r>
      <w:r>
        <w:rPr>
          <w:rtl w:val="true"/>
        </w:rPr>
        <w:t>אולם בנסיבות העניין</w:t>
      </w:r>
      <w:r>
        <w:rPr>
          <w:rtl w:val="true"/>
        </w:rPr>
        <w:t xml:space="preserve">, </w:t>
      </w:r>
      <w:r>
        <w:rPr>
          <w:rtl w:val="true"/>
        </w:rPr>
        <w:t>כל אדם סביר מן היישוב יכול היה לצפות שאדם שנשלח על מנת לשרוף כלי רכב</w:t>
      </w:r>
      <w:r>
        <w:rPr>
          <w:rtl w:val="true"/>
        </w:rPr>
        <w:t xml:space="preserve">, </w:t>
      </w:r>
      <w:r>
        <w:rPr>
          <w:rtl w:val="true"/>
        </w:rPr>
        <w:t>לפגוע ברכוש ואף לבצע ירי</w:t>
      </w:r>
      <w:r>
        <w:rPr>
          <w:rtl w:val="true"/>
        </w:rPr>
        <w:t xml:space="preserve">, </w:t>
      </w:r>
      <w:r>
        <w:rPr>
          <w:rtl w:val="true"/>
        </w:rPr>
        <w:t>יגיע לידי יידוי רימון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הדין מיום </w:t>
      </w:r>
      <w:r>
        <w:rPr/>
        <w:t>14.9.2021</w:t>
      </w:r>
      <w:r>
        <w:rPr>
          <w:rtl w:val="true"/>
        </w:rPr>
        <w:t xml:space="preserve"> </w:t>
      </w:r>
      <w:r>
        <w:rPr>
          <w:rtl w:val="true"/>
        </w:rPr>
        <w:t>עמד בית המשפט על עיקרי תסקירי שירות המבחן שניתנו בעניינו של המערער</w:t>
      </w:r>
      <w:r>
        <w:rPr>
          <w:rtl w:val="true"/>
        </w:rPr>
        <w:t xml:space="preserve">, </w:t>
      </w:r>
      <w:r>
        <w:rPr>
          <w:rtl w:val="true"/>
        </w:rPr>
        <w:t>אשר באחרון שבהם התרשם שירות המבחן מיכולת הולכת ומתרחבת של המערער להתבוננות מעמיקה על עצמו ועל כשליו ההתנהגותיים ומיכולתו להתגייס להמשך טיפול</w:t>
      </w:r>
      <w:r>
        <w:rPr>
          <w:rtl w:val="true"/>
        </w:rPr>
        <w:t xml:space="preserve">. </w:t>
      </w:r>
      <w:r>
        <w:rPr>
          <w:rtl w:val="true"/>
        </w:rPr>
        <w:t>באותו תסקיר המליץ שירות המבחן על הטלת עונש שיקומי של צו שירות לתועלת הציבור</w:t>
      </w:r>
      <w:r>
        <w:rPr>
          <w:rtl w:val="true"/>
        </w:rPr>
        <w:t xml:space="preserve">. </w:t>
      </w:r>
      <w:r>
        <w:rPr>
          <w:rtl w:val="true"/>
        </w:rPr>
        <w:t>עוד עמד בית המשפט על הראיות לעונש שהוצגו מטעם המערער ועל הטענות שהועלו 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מקובלת עליו עמדת הצדדים לפיה יש לקבוע בנסיבות העניין שני מתחמי עונש הולם </w:t>
      </w:r>
      <w:r>
        <w:rPr>
          <w:rtl w:val="true"/>
        </w:rPr>
        <w:t>–</w:t>
      </w:r>
      <w:r>
        <w:rPr>
          <w:rtl w:val="true"/>
        </w:rPr>
        <w:t xml:space="preserve"> אחד לכל אישום</w:t>
      </w:r>
      <w:r>
        <w:rPr>
          <w:rtl w:val="true"/>
        </w:rPr>
        <w:t xml:space="preserve">. </w:t>
      </w:r>
      <w:r>
        <w:rPr>
          <w:rtl w:val="true"/>
        </w:rPr>
        <w:t>בהמשך לכך עמד בית המשפט על הערכים החברתיים המוגנים שנפגעו כתוצאה מהעבירות שביצע המערער ועל החומרה הטמונה בהן</w:t>
      </w:r>
      <w:r>
        <w:rPr>
          <w:rtl w:val="true"/>
        </w:rPr>
        <w:t xml:space="preserve">, </w:t>
      </w:r>
      <w:r>
        <w:rPr>
          <w:rtl w:val="true"/>
        </w:rPr>
        <w:t>על מדיניות הענישה הנוהגת לגביהן ועל נסיבות ביצוען</w:t>
      </w:r>
      <w:r>
        <w:rPr>
          <w:rtl w:val="true"/>
        </w:rPr>
        <w:t xml:space="preserve">, </w:t>
      </w:r>
      <w:r>
        <w:rPr>
          <w:rtl w:val="true"/>
        </w:rPr>
        <w:t xml:space="preserve">והגיע לכלל מסקנה כי בכל הנוגע לאישום הראשון מתחם העונש ההולם 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ולגבי האישום השני נע המתחם בין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הוסיף כי במסגרת גזירת העונש יש להתחשב גם בעונש שהושת על מנדו </w:t>
      </w:r>
      <w:r>
        <w:rPr>
          <w:rtl w:val="true"/>
        </w:rPr>
        <w:t>–</w:t>
      </w:r>
      <w:r>
        <w:rPr>
          <w:rtl w:val="true"/>
        </w:rPr>
        <w:t xml:space="preserve"> מאסר החופף את תקופת מעצרו </w:t>
      </w:r>
      <w:r>
        <w:rPr>
          <w:rtl w:val="true"/>
        </w:rPr>
        <w:t>(</w:t>
      </w:r>
      <w:r>
        <w:rPr>
          <w:rtl w:val="true"/>
        </w:rPr>
        <w:t>שנמשכה 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ומאסר מותנה למשך שישה חודשים</w:t>
      </w:r>
      <w:r>
        <w:rPr>
          <w:rtl w:val="true"/>
        </w:rPr>
        <w:t xml:space="preserve">. </w:t>
      </w:r>
      <w:r>
        <w:rPr>
          <w:rtl w:val="true"/>
        </w:rPr>
        <w:t>עוד נקבע כי לא קיימים בענייננו שיקולים המצדיקים סטייה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לקולא</w:t>
      </w:r>
      <w:r>
        <w:rPr>
          <w:rtl w:val="true"/>
        </w:rPr>
        <w:t xml:space="preserve">. </w:t>
      </w:r>
      <w:r>
        <w:rPr>
          <w:rtl w:val="true"/>
        </w:rPr>
        <w:t>נקבע כי בנסיבות העניין גם אם קיימים שיקולי שיקום</w:t>
      </w:r>
      <w:r>
        <w:rPr>
          <w:rtl w:val="true"/>
        </w:rPr>
        <w:t xml:space="preserve">, </w:t>
      </w:r>
      <w:r>
        <w:rPr>
          <w:rtl w:val="true"/>
        </w:rPr>
        <w:t>הם נסוגים נוכח שיקולי הגמול וההרתעה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לצד המלצת שירות המבחן</w:t>
      </w:r>
      <w:r>
        <w:rPr>
          <w:rtl w:val="true"/>
        </w:rPr>
        <w:t xml:space="preserve">, </w:t>
      </w:r>
      <w:r>
        <w:rPr>
          <w:rtl w:val="true"/>
        </w:rPr>
        <w:t>יש לקחת בחשבון את חומרת העבירות ואת העובדה שמדובר בנאשם עורך דין במקצועו אשר ניסה להציל את עורו ועבר עבירות של שיבוש הליכים והפרת הוראה חוקית</w:t>
      </w:r>
      <w:r>
        <w:rPr>
          <w:rtl w:val="true"/>
        </w:rPr>
        <w:t xml:space="preserve">. </w:t>
      </w:r>
      <w:r>
        <w:rPr>
          <w:rtl w:val="true"/>
        </w:rPr>
        <w:t>בית המשפט הדגיש כי הוא ער לכך שהמערער עבר טיפול פסיכולוגי בעקבות ההליך</w:t>
      </w:r>
      <w:r>
        <w:rPr>
          <w:rtl w:val="true"/>
        </w:rPr>
        <w:t xml:space="preserve">, </w:t>
      </w:r>
      <w:r>
        <w:rPr>
          <w:rtl w:val="true"/>
        </w:rPr>
        <w:t>הביע חרטה מלאה</w:t>
      </w:r>
      <w:r>
        <w:rPr>
          <w:rtl w:val="true"/>
        </w:rPr>
        <w:t xml:space="preserve">, </w:t>
      </w:r>
      <w:r>
        <w:rPr>
          <w:rtl w:val="true"/>
        </w:rPr>
        <w:t>לקח אחריות על מעשיו</w:t>
      </w:r>
      <w:r>
        <w:rPr>
          <w:rtl w:val="true"/>
        </w:rPr>
        <w:t xml:space="preserve">, </w:t>
      </w:r>
      <w:r>
        <w:rPr>
          <w:rtl w:val="true"/>
        </w:rPr>
        <w:t>הביע אמפתיה לנפגעי העבירה וחש רצון עז לכפר על מעשיו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להתרשמות בית המשפט אין מדובר בהליך טיפולי או שיקומי משמעותי אשר הביא לתפנית משמעותית בחייו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של בית המשפט לגזור את העונש המתאים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הביא בחשבון לקולא את העובדה שהמערער בן </w:t>
      </w:r>
      <w:r>
        <w:rPr/>
        <w:t>57</w:t>
      </w:r>
      <w:r>
        <w:rPr>
          <w:rtl w:val="true"/>
        </w:rPr>
        <w:t xml:space="preserve"> (</w:t>
      </w:r>
      <w:r>
        <w:rPr>
          <w:rtl w:val="true"/>
        </w:rPr>
        <w:t>במועד מתן גזר הדין</w:t>
      </w:r>
      <w:r>
        <w:rPr>
          <w:rtl w:val="true"/>
        </w:rPr>
        <w:t xml:space="preserve">), </w:t>
      </w:r>
      <w:r>
        <w:rPr>
          <w:rtl w:val="true"/>
        </w:rPr>
        <w:t>נשוי ואב לארבעה ילדים</w:t>
      </w:r>
      <w:r>
        <w:rPr>
          <w:rtl w:val="true"/>
        </w:rPr>
        <w:t xml:space="preserve">; </w:t>
      </w:r>
      <w:r>
        <w:rPr>
          <w:rtl w:val="true"/>
        </w:rPr>
        <w:t>את עיסוקו ואת שירותו הצבאי בעבר</w:t>
      </w:r>
      <w:r>
        <w:rPr>
          <w:rtl w:val="true"/>
        </w:rPr>
        <w:t xml:space="preserve">; </w:t>
      </w:r>
      <w:r>
        <w:rPr>
          <w:rtl w:val="true"/>
        </w:rPr>
        <w:t>את העובדה שעד לביצוע העבירות הוא תפקד באופן תקין ואחראי במסגרות השונות בהן היה פעיל ובכללן צה</w:t>
      </w:r>
      <w:r>
        <w:rPr>
          <w:rtl w:val="true"/>
        </w:rPr>
        <w:t>"</w:t>
      </w:r>
      <w:r>
        <w:rPr>
          <w:rtl w:val="true"/>
        </w:rPr>
        <w:t>ל ולימודי תואר ראשון ושני</w:t>
      </w:r>
      <w:r>
        <w:rPr>
          <w:rtl w:val="true"/>
        </w:rPr>
        <w:t xml:space="preserve">; </w:t>
      </w:r>
      <w:r>
        <w:rPr>
          <w:rtl w:val="true"/>
        </w:rPr>
        <w:t>את נטילת האחריות למעשיו כפי שעולה מתסקיר שירות המבחן ואת החרטה הכנה שהביע</w:t>
      </w:r>
      <w:r>
        <w:rPr>
          <w:rtl w:val="true"/>
        </w:rPr>
        <w:t xml:space="preserve">; </w:t>
      </w:r>
      <w:r>
        <w:rPr>
          <w:rtl w:val="true"/>
        </w:rPr>
        <w:t>את היעדר עברו הפלילי</w:t>
      </w:r>
      <w:r>
        <w:rPr>
          <w:rtl w:val="true"/>
        </w:rPr>
        <w:t xml:space="preserve">; </w:t>
      </w:r>
      <w:r>
        <w:rPr>
          <w:rtl w:val="true"/>
        </w:rPr>
        <w:t>את שילובו בהליך טיפולי ואת המוטיבציה שהוא מגלה לטיפול</w:t>
      </w:r>
      <w:r>
        <w:rPr>
          <w:rtl w:val="true"/>
        </w:rPr>
        <w:t xml:space="preserve">; </w:t>
      </w:r>
      <w:r>
        <w:rPr>
          <w:rtl w:val="true"/>
        </w:rPr>
        <w:t>את ההמלצה החיובית של שירות המבחן</w:t>
      </w:r>
      <w:r>
        <w:rPr>
          <w:rtl w:val="true"/>
        </w:rPr>
        <w:t xml:space="preserve">; </w:t>
      </w:r>
      <w:r>
        <w:rPr>
          <w:rtl w:val="true"/>
        </w:rPr>
        <w:t>את ההידרדרות במצבו הבריאותי במהלך המשפט</w:t>
      </w:r>
      <w:r>
        <w:rPr>
          <w:rtl w:val="true"/>
        </w:rPr>
        <w:t xml:space="preserve">; </w:t>
      </w:r>
      <w:r>
        <w:rPr>
          <w:rtl w:val="true"/>
        </w:rPr>
        <w:t>ואת הפגיעה במעמדו הכלכלי והמקצועי כתוצאה מההליך</w:t>
      </w:r>
      <w:r>
        <w:rPr>
          <w:rtl w:val="true"/>
        </w:rPr>
        <w:t xml:space="preserve">. </w:t>
      </w:r>
      <w:r>
        <w:rPr>
          <w:rtl w:val="true"/>
        </w:rPr>
        <w:t>לצד זאת נלקחה בחשבון העובדה שהמערער הודה במעשיו ובכך חסך זמן שיפוטי</w:t>
      </w:r>
      <w:r>
        <w:rPr>
          <w:rtl w:val="true"/>
        </w:rPr>
        <w:t xml:space="preserve">, </w:t>
      </w:r>
      <w:r>
        <w:rPr>
          <w:rtl w:val="true"/>
        </w:rPr>
        <w:t>אולם הדבר הגיע בשלב מאוחר יחסית ועל כן הוא אינו זכאי להקלה הניתנת למי שלוקח אחריות מלאה למעשיו</w:t>
      </w:r>
      <w:r>
        <w:rPr>
          <w:rtl w:val="true"/>
        </w:rPr>
        <w:t xml:space="preserve">. </w:t>
      </w:r>
      <w:r>
        <w:rPr>
          <w:rtl w:val="true"/>
        </w:rPr>
        <w:t>לכך יש להוסיף את התנהלותו של המערער במהלך המשפט</w:t>
      </w:r>
      <w:r>
        <w:rPr>
          <w:rtl w:val="true"/>
        </w:rPr>
        <w:t xml:space="preserve">, </w:t>
      </w:r>
      <w:r>
        <w:rPr>
          <w:rtl w:val="true"/>
        </w:rPr>
        <w:t>שקריו בחקירה ובתשובתו לאישום ושינוי גרסתו</w:t>
      </w:r>
      <w:r>
        <w:rPr>
          <w:rtl w:val="true"/>
        </w:rPr>
        <w:t xml:space="preserve">, </w:t>
      </w:r>
      <w:r>
        <w:rPr>
          <w:rtl w:val="true"/>
        </w:rPr>
        <w:t>המלמדים על זלזול במערכת אכיפת החוק לאורך זמן</w:t>
      </w:r>
      <w:r>
        <w:rPr>
          <w:rtl w:val="true"/>
        </w:rPr>
        <w:t xml:space="preserve">. </w:t>
      </w:r>
      <w:r>
        <w:rPr>
          <w:rtl w:val="true"/>
        </w:rPr>
        <w:t>בסופו של דבר</w:t>
      </w:r>
      <w:r>
        <w:rPr>
          <w:rtl w:val="true"/>
        </w:rPr>
        <w:t xml:space="preserve">, </w:t>
      </w:r>
      <w:r>
        <w:rPr>
          <w:rtl w:val="true"/>
        </w:rPr>
        <w:t>באיזון בין מכלול השיקולים מצא בית המשפט להשית על המערער עונש כולל המצוי ברף התחתון של המתחמים</w:t>
      </w:r>
      <w:r>
        <w:rPr>
          <w:rtl w:val="true"/>
        </w:rPr>
        <w:t xml:space="preserve">: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לבל יבצע בתוך שנתיים מיום שחרורו עבירה בנשק</w:t>
      </w:r>
      <w:r>
        <w:rPr>
          <w:rtl w:val="true"/>
        </w:rPr>
        <w:t xml:space="preserve">, </w:t>
      </w:r>
      <w:r>
        <w:rPr>
          <w:rtl w:val="true"/>
        </w:rPr>
        <w:t>היזק בחומר נפיץ או הצתה</w:t>
      </w:r>
      <w:r>
        <w:rPr>
          <w:rtl w:val="true"/>
        </w:rPr>
        <w:t xml:space="preserve">; </w:t>
      </w:r>
      <w:r>
        <w:rPr>
          <w:rtl w:val="true"/>
        </w:rPr>
        <w:t xml:space="preserve">מאסר על 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לבל יעבור בתוך שנתיים מיום שחרורו עבירה של איומים</w:t>
      </w:r>
      <w:r>
        <w:rPr>
          <w:rtl w:val="true"/>
        </w:rPr>
        <w:t xml:space="preserve">, </w:t>
      </w:r>
      <w:r>
        <w:rPr>
          <w:rtl w:val="true"/>
        </w:rPr>
        <w:t>שיבוש מהלכי משפט או הפרת הוראה חוקית</w:t>
      </w:r>
      <w:r>
        <w:rPr>
          <w:rtl w:val="true"/>
        </w:rPr>
        <w:t xml:space="preserve">; </w:t>
      </w:r>
      <w:r>
        <w:rPr>
          <w:rtl w:val="true"/>
        </w:rPr>
        <w:t>ופיצויים ל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 xml:space="preserve">ובני משפחתו בסך כולל של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המופנה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>בכל הנוגע להכרעת הדין</w:t>
      </w:r>
      <w:r>
        <w:rPr>
          <w:rtl w:val="true"/>
        </w:rPr>
        <w:t xml:space="preserve">, </w:t>
      </w:r>
      <w:r>
        <w:rPr>
          <w:rtl w:val="true"/>
        </w:rPr>
        <w:t>ערעורו של המערער ממוקד בהרשעתו בעבירות של נשיאת נשק והיזק בחומר נפיץ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משהרשיע אותו בעבירות אלה חרף קביעותיו העובדתיות הברורות לפיהן הוא לא הורה למנדו ליידות רימון ולא מסר לו רימון</w:t>
      </w:r>
      <w:r>
        <w:rPr>
          <w:rtl w:val="true"/>
        </w:rPr>
        <w:t xml:space="preserve">, </w:t>
      </w:r>
      <w:r>
        <w:rPr>
          <w:rtl w:val="true"/>
        </w:rPr>
        <w:t>מנדו הפעיל שיקול דעת עצמאי והיה לו מניע עצמאי ללמד את ע</w:t>
      </w:r>
      <w:r>
        <w:rPr>
          <w:rtl w:val="true"/>
        </w:rPr>
        <w:t>' "</w:t>
      </w:r>
      <w:r>
        <w:rPr>
          <w:rtl w:val="true"/>
        </w:rPr>
        <w:t>לקח</w:t>
      </w:r>
      <w:r>
        <w:rPr>
          <w:rtl w:val="true"/>
        </w:rPr>
        <w:t xml:space="preserve">". </w:t>
      </w:r>
      <w:r>
        <w:rPr>
          <w:rtl w:val="true"/>
        </w:rPr>
        <w:t>בכלל זה שגה בית המשפט עת קבע כי הייתה למערער צפיות ומודעות סובייקטיבית לכך שמנדו יישא רימון וישליכו על ביתו של ע</w:t>
      </w:r>
      <w:r>
        <w:rPr>
          <w:rtl w:val="true"/>
        </w:rPr>
        <w:t xml:space="preserve">' </w:t>
      </w:r>
      <w:r>
        <w:rPr>
          <w:rtl w:val="true"/>
        </w:rPr>
        <w:t>למרות שהמערער לא שוחח עמו על עניין זה</w:t>
      </w:r>
      <w:r>
        <w:rPr>
          <w:rtl w:val="true"/>
        </w:rPr>
        <w:t xml:space="preserve">, </w:t>
      </w:r>
      <w:r>
        <w:rPr>
          <w:rtl w:val="true"/>
        </w:rPr>
        <w:t>לא ביקש ממנו כאמור להשליכו ולא צייד אותו בו</w:t>
      </w:r>
      <w:r>
        <w:rPr>
          <w:rtl w:val="true"/>
        </w:rPr>
        <w:t xml:space="preserve">. </w:t>
      </w:r>
      <w:r>
        <w:rPr>
          <w:rtl w:val="true"/>
        </w:rPr>
        <w:t>המערער טען עוד כי שעה שקבע בית המשפט כי הוא הורה למנדו שלא לשרוף את רכבה של ס</w:t>
      </w:r>
      <w:r>
        <w:rPr>
          <w:rtl w:val="true"/>
        </w:rPr>
        <w:t xml:space="preserve">', </w:t>
      </w:r>
      <w:r>
        <w:rPr>
          <w:rtl w:val="true"/>
        </w:rPr>
        <w:t>לא ניתן היה לקבוע כי הייתה לו צפיות בפועל לגבי זריקת רימון לעבר ביתה</w:t>
      </w:r>
      <w:r>
        <w:rPr>
          <w:rtl w:val="true"/>
        </w:rPr>
        <w:t xml:space="preserve">. [...] </w:t>
      </w:r>
      <w:r>
        <w:rPr>
          <w:rtl w:val="true"/>
        </w:rPr>
        <w:t>הודגש כי המערער לא היה אדון לפעילות העבריינית כפי שבוצעה על ידי מנדו</w:t>
      </w:r>
      <w:r>
        <w:rPr>
          <w:rtl w:val="true"/>
        </w:rPr>
        <w:t xml:space="preserve">, </w:t>
      </w:r>
      <w:r>
        <w:rPr>
          <w:rtl w:val="true"/>
        </w:rPr>
        <w:t>ולא הייתה לו שליטה עליה</w:t>
      </w:r>
      <w:r>
        <w:rPr>
          <w:rtl w:val="true"/>
        </w:rPr>
        <w:t xml:space="preserve">. </w:t>
      </w:r>
      <w:r>
        <w:rPr>
          <w:rtl w:val="true"/>
        </w:rPr>
        <w:t>הודגש גם כי אין כל קשר בין מרכזיותו של המערער בתכנון הפעילות העבריינית לבין צפייתו בפועל בעניין הרימון והשלכתו</w:t>
      </w:r>
      <w:r>
        <w:rPr>
          <w:rtl w:val="true"/>
        </w:rPr>
        <w:t xml:space="preserve">. </w:t>
      </w:r>
      <w:r>
        <w:rPr>
          <w:rtl w:val="true"/>
        </w:rPr>
        <w:t>בית המשפט גם שגה בקבעו כי המערער הודה בכך שהיה מודע לאפשרות ששריפת כלי הרכב בחניה ליד הבית תסכן חיי אדם</w:t>
      </w:r>
      <w:r>
        <w:rPr>
          <w:rtl w:val="true"/>
        </w:rPr>
        <w:t xml:space="preserve">. </w:t>
      </w:r>
      <w:r>
        <w:rPr>
          <w:rtl w:val="true"/>
        </w:rPr>
        <w:t>המערער כלל לא העלה על דעתו פגיעה בנפש כתוצאה מהצתת מכונית בחניה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לדעת המערער בית המשפט גם שגה בקבעו כי בכל מקרה ניתן היה להרשיע אותו בעבירות האמורות לפי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בהקשר זה שגה בית המשפט כאשר קבע כי המערער הורה למנדו לבצע ירי</w:t>
      </w:r>
      <w:r>
        <w:rPr>
          <w:rtl w:val="true"/>
        </w:rPr>
        <w:t xml:space="preserve">, </w:t>
      </w:r>
      <w:r>
        <w:rPr>
          <w:rtl w:val="true"/>
        </w:rPr>
        <w:t>כאשר אין לקביעה זו כל עיגון ראייתי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אף אילו התכנית כללה ירי</w:t>
      </w:r>
      <w:r>
        <w:rPr>
          <w:rtl w:val="true"/>
        </w:rPr>
        <w:t xml:space="preserve">, </w:t>
      </w:r>
      <w:r>
        <w:rPr>
          <w:rtl w:val="true"/>
        </w:rPr>
        <w:t>האדם הסביר לא היה צופה השלכת רימון</w:t>
      </w:r>
      <w:r>
        <w:rPr>
          <w:rtl w:val="true"/>
        </w:rPr>
        <w:t xml:space="preserve">. </w:t>
      </w:r>
      <w:r>
        <w:rPr>
          <w:rtl w:val="true"/>
        </w:rPr>
        <w:t>המערער הוסיף כי לא הייתה לו צפייה בכוח של העובדה שמנדו יפעל על פי מניעים אישיים ועצמאיים ובהתאם להם יבחר להביא עמו רימון ולהשליכו על הבית</w:t>
      </w:r>
      <w:r>
        <w:rPr>
          <w:rtl w:val="true"/>
        </w:rPr>
        <w:t xml:space="preserve">, </w:t>
      </w:r>
      <w:r>
        <w:rPr>
          <w:rtl w:val="true"/>
        </w:rPr>
        <w:t>במקום להצית מכונית</w:t>
      </w:r>
      <w:r>
        <w:rPr>
          <w:rtl w:val="true"/>
        </w:rPr>
        <w:t xml:space="preserve">. </w:t>
      </w:r>
      <w:r>
        <w:rPr>
          <w:rtl w:val="true"/>
        </w:rPr>
        <w:t>הודגש כי אין כל קשר בין עבירת ההצתה שהמערער אכן ביקש ממנדו לבצע לבין עבירת נשיאת הרימון והשלכתו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בשים לב למרחק הרב בין מקום החניה של כלי הרכב לבין המבנה</w:t>
      </w:r>
      <w:r>
        <w:rPr>
          <w:rtl w:val="true"/>
        </w:rPr>
        <w:t xml:space="preserve">, </w:t>
      </w:r>
      <w:r>
        <w:rPr>
          <w:rtl w:val="true"/>
        </w:rPr>
        <w:t xml:space="preserve">לא היה כל סיכוי שכתוצאה מהצתת הרכב האש תתפשט לעבר בית המגורים </w:t>
      </w:r>
      <w:r>
        <w:rPr>
          <w:rtl w:val="true"/>
        </w:rPr>
        <w:t>[...].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לערעור על גזר הדין נטען כי שגה בית המשפט בקביעת מתחמי העונש</w:t>
      </w:r>
      <w:r>
        <w:rPr>
          <w:rtl w:val="true"/>
        </w:rPr>
        <w:t xml:space="preserve">. </w:t>
      </w:r>
      <w:r>
        <w:rPr>
          <w:rtl w:val="true"/>
        </w:rPr>
        <w:t>בכל הנוגע לאישום הראשון</w:t>
      </w:r>
      <w:r>
        <w:rPr>
          <w:rtl w:val="true"/>
        </w:rPr>
        <w:t xml:space="preserve">, </w:t>
      </w:r>
      <w:r>
        <w:rPr>
          <w:rtl w:val="true"/>
        </w:rPr>
        <w:t>בית המשפט התבסס על נסיבות ביצוע עבירה שגויות</w:t>
      </w:r>
      <w:r>
        <w:rPr>
          <w:rtl w:val="true"/>
        </w:rPr>
        <w:t xml:space="preserve">, </w:t>
      </w:r>
      <w:r>
        <w:rPr>
          <w:rtl w:val="true"/>
        </w:rPr>
        <w:t>ובכלל זה הקביעה שהוא הורה למנדו לבצע ירי או הקביעה שהוא היה מודע לכך ששריפת כלי הרכב הייתה יכולה לסכן חיי אדם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התבסס על פסיקה שאינה רלוונטית לעניין</w:t>
      </w:r>
      <w:r>
        <w:rPr>
          <w:rtl w:val="true"/>
        </w:rPr>
        <w:t xml:space="preserve">. </w:t>
      </w:r>
      <w:r>
        <w:rPr>
          <w:rtl w:val="true"/>
        </w:rPr>
        <w:t>גם בנוגע לאישום השני התבסס בית המשפט על נסיבות שגויות</w:t>
      </w:r>
      <w:r>
        <w:rPr>
          <w:rtl w:val="true"/>
        </w:rPr>
        <w:t xml:space="preserve">, </w:t>
      </w:r>
      <w:r>
        <w:rPr>
          <w:rtl w:val="true"/>
        </w:rPr>
        <w:t>ובכללן הקביעה שהמערער ניצל את מעמדו כעורך דין לטובתו האישית תוך פגיעה במנדו והקביעה כי מדובר בעבירות שקדם להן תכנון</w:t>
      </w:r>
      <w:r>
        <w:rPr>
          <w:rtl w:val="true"/>
        </w:rPr>
        <w:t xml:space="preserve">. </w:t>
      </w:r>
      <w:r>
        <w:rPr>
          <w:rtl w:val="true"/>
        </w:rPr>
        <w:t>המתחמים שנקבעו על ידי בית המשפט חורגים אפוא באופן קיצוני מהמתחמים ההולמים בנסיבות העניין ויש להתערב בהם</w:t>
      </w:r>
      <w:r>
        <w:rPr>
          <w:rtl w:val="true"/>
        </w:rPr>
        <w:t xml:space="preserve">. </w:t>
      </w:r>
      <w:r>
        <w:rPr>
          <w:rtl w:val="true"/>
        </w:rPr>
        <w:t>בית המשפט גם שגה בקבעו כי לא קיימים בענייננו שיקולים המצדיקים סטייה לקולא מהמתחם שנקבע</w:t>
      </w:r>
      <w:r>
        <w:rPr>
          <w:rtl w:val="true"/>
        </w:rPr>
        <w:t xml:space="preserve">. </w:t>
      </w:r>
      <w:r>
        <w:rPr>
          <w:rtl w:val="true"/>
        </w:rPr>
        <w:t>שירות המבחן ערך ארבעה תסקירים וקבע בסופם כי מדובר במקרה ראוי ומתאים להליך שיקום</w:t>
      </w:r>
      <w:r>
        <w:rPr>
          <w:rtl w:val="true"/>
        </w:rPr>
        <w:t xml:space="preserve">, </w:t>
      </w:r>
      <w:r>
        <w:rPr>
          <w:rtl w:val="true"/>
        </w:rPr>
        <w:t>והיה מקום ליתן לכך משקל ראוי</w:t>
      </w:r>
      <w:r>
        <w:rPr>
          <w:rtl w:val="true"/>
        </w:rPr>
        <w:t xml:space="preserve">. </w:t>
      </w:r>
      <w:r>
        <w:rPr>
          <w:rtl w:val="true"/>
        </w:rPr>
        <w:t>על כך יש להוסיף כי מאז גזר הדין הוא עובר טיפול פסיכולוגי באופן פרטי והחל לעבור שיקום</w:t>
      </w:r>
      <w:r>
        <w:rPr>
          <w:rtl w:val="true"/>
        </w:rPr>
        <w:t xml:space="preserve">. </w:t>
      </w:r>
      <w:r>
        <w:rPr>
          <w:rtl w:val="true"/>
        </w:rPr>
        <w:t>עוד שגה בית המשפט בכך שלא ייחס משקל ראוי לנסיבותיו האישיות</w:t>
      </w:r>
      <w:r>
        <w:rPr>
          <w:rtl w:val="true"/>
        </w:rPr>
        <w:t xml:space="preserve">,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הרפואיות</w:t>
      </w:r>
      <w:r>
        <w:rPr>
          <w:rtl w:val="true"/>
        </w:rPr>
        <w:t xml:space="preserve">, </w:t>
      </w:r>
      <w:r>
        <w:rPr>
          <w:rtl w:val="true"/>
        </w:rPr>
        <w:t>המקצועיות</w:t>
      </w:r>
      <w:r>
        <w:rPr>
          <w:rtl w:val="true"/>
        </w:rPr>
        <w:t xml:space="preserve">, </w:t>
      </w:r>
      <w:r>
        <w:rPr>
          <w:rtl w:val="true"/>
        </w:rPr>
        <w:t>הכלכליות והנפשיות החמורות</w:t>
      </w:r>
      <w:r>
        <w:rPr>
          <w:rtl w:val="true"/>
        </w:rPr>
        <w:t xml:space="preserve">; </w:t>
      </w:r>
      <w:r>
        <w:rPr>
          <w:rtl w:val="true"/>
        </w:rPr>
        <w:t>לעברו הפלילי הנקי</w:t>
      </w:r>
      <w:r>
        <w:rPr>
          <w:rtl w:val="true"/>
        </w:rPr>
        <w:t xml:space="preserve">; </w:t>
      </w:r>
      <w:r>
        <w:rPr>
          <w:rtl w:val="true"/>
        </w:rPr>
        <w:t>ללקיחת האחריות המלאה שלו</w:t>
      </w:r>
      <w:r>
        <w:rPr>
          <w:rtl w:val="true"/>
        </w:rPr>
        <w:t xml:space="preserve">; </w:t>
      </w:r>
      <w:r>
        <w:rPr>
          <w:rtl w:val="true"/>
        </w:rPr>
        <w:t>לנזק שנגרם לו ולפרנסתו בעקבות ההרשעה ולנזק שעוד צפוי להיגרם כתוצאה מכך</w:t>
      </w:r>
      <w:r>
        <w:rPr>
          <w:rtl w:val="true"/>
        </w:rPr>
        <w:t xml:space="preserve">; </w:t>
      </w:r>
      <w:r>
        <w:rPr>
          <w:rtl w:val="true"/>
        </w:rPr>
        <w:t>לפועלו ולתרומתו רבת השנים לביטחון המדינה ולחברה</w:t>
      </w:r>
      <w:r>
        <w:rPr>
          <w:rtl w:val="true"/>
        </w:rPr>
        <w:t xml:space="preserve">; </w:t>
      </w:r>
      <w:r>
        <w:rPr>
          <w:rtl w:val="true"/>
        </w:rPr>
        <w:t>למחיר ששילמו בני משפחתו</w:t>
      </w:r>
      <w:r>
        <w:rPr>
          <w:rtl w:val="true"/>
        </w:rPr>
        <w:t xml:space="preserve">; </w:t>
      </w:r>
      <w:r>
        <w:rPr>
          <w:rtl w:val="true"/>
        </w:rPr>
        <w:t>ולחלוף הזמן מאז ביצוע העבירות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מנגד כי יש לדחות את הערעור על שני ראשיו</w:t>
      </w:r>
      <w:r>
        <w:rPr>
          <w:rtl w:val="true"/>
        </w:rPr>
        <w:t xml:space="preserve">. </w:t>
      </w:r>
      <w:r>
        <w:rPr>
          <w:rtl w:val="true"/>
        </w:rPr>
        <w:t>בכל הנוגע להכרעת הדין המשיבה עמדה תחילה על כך שלגישתה לא היה מקום להעדיף את עדותו של המערער</w:t>
      </w:r>
      <w:r>
        <w:rPr>
          <w:rtl w:val="true"/>
        </w:rPr>
        <w:t xml:space="preserve">, </w:t>
      </w:r>
      <w:r>
        <w:rPr>
          <w:rtl w:val="true"/>
        </w:rPr>
        <w:t>אשר שינה את גרסתו מספר רב של פעמים</w:t>
      </w:r>
      <w:r>
        <w:rPr>
          <w:rtl w:val="true"/>
        </w:rPr>
        <w:t xml:space="preserve">, </w:t>
      </w:r>
      <w:r>
        <w:rPr>
          <w:rtl w:val="true"/>
        </w:rPr>
        <w:t>על פני עדותו של מנדו שכלל לא ברור מה האינטרס שלו לשקר</w:t>
      </w:r>
      <w:r>
        <w:rPr>
          <w:rtl w:val="true"/>
        </w:rPr>
        <w:t xml:space="preserve">. </w:t>
      </w:r>
      <w:r>
        <w:rPr>
          <w:rtl w:val="true"/>
        </w:rPr>
        <w:t>מה גם ששאר הפרטים שסיפר מעת שנחתם עמו הסכם עד מדינה התבררו כמדויקים</w:t>
      </w:r>
      <w:r>
        <w:rPr>
          <w:rtl w:val="true"/>
        </w:rPr>
        <w:t xml:space="preserve">. </w:t>
      </w:r>
      <w:r>
        <w:rPr>
          <w:rtl w:val="true"/>
        </w:rPr>
        <w:t>המשיבה הדגישה כי בשונה מקביעת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אשר זיהה </w:t>
      </w:r>
      <w:r>
        <w:rPr>
          <w:rtl w:val="true"/>
        </w:rPr>
        <w:t>"</w:t>
      </w:r>
      <w:r>
        <w:rPr>
          <w:rtl w:val="true"/>
        </w:rPr>
        <w:t>אותות אמת</w:t>
      </w:r>
      <w:r>
        <w:rPr>
          <w:rtl w:val="true"/>
        </w:rPr>
        <w:t xml:space="preserve">" </w:t>
      </w:r>
      <w:r>
        <w:rPr>
          <w:rtl w:val="true"/>
        </w:rPr>
        <w:t>בגרסה האחרונה שמסר המערער</w:t>
      </w:r>
      <w:r>
        <w:rPr>
          <w:rtl w:val="true"/>
        </w:rPr>
        <w:t xml:space="preserve">, </w:t>
      </w:r>
      <w:r>
        <w:rPr>
          <w:rtl w:val="true"/>
        </w:rPr>
        <w:t>הוא כלל לא מסר פרטים ה</w:t>
      </w:r>
      <w:r>
        <w:rPr>
          <w:rtl w:val="true"/>
        </w:rPr>
        <w:t>"</w:t>
      </w:r>
      <w:r>
        <w:rPr>
          <w:rtl w:val="true"/>
        </w:rPr>
        <w:t>משחירים</w:t>
      </w:r>
      <w:r>
        <w:rPr>
          <w:rtl w:val="true"/>
        </w:rPr>
        <w:t xml:space="preserve">" </w:t>
      </w:r>
      <w:r>
        <w:rPr>
          <w:rtl w:val="true"/>
        </w:rPr>
        <w:t>את מעשיו</w:t>
      </w:r>
      <w:r>
        <w:rPr>
          <w:rtl w:val="true"/>
        </w:rPr>
        <w:t xml:space="preserve">, </w:t>
      </w:r>
      <w:r>
        <w:rPr>
          <w:rtl w:val="true"/>
        </w:rPr>
        <w:t>שלגביהם לא הובאו ראיות קודם לכן</w:t>
      </w:r>
      <w:r>
        <w:rPr>
          <w:rtl w:val="true"/>
        </w:rPr>
        <w:t xml:space="preserve">. </w:t>
      </w:r>
      <w:r>
        <w:rPr>
          <w:rtl w:val="true"/>
        </w:rPr>
        <w:t xml:space="preserve">היא הוסיפה כי גם הצתת רכב סמוך לבית עשויה הייתה לסכן </w:t>
      </w:r>
      <w:r>
        <w:rPr>
          <w:rtl w:val="true"/>
        </w:rPr>
        <w:t xml:space="preserve">[...] </w:t>
      </w:r>
      <w:r>
        <w:rPr>
          <w:rtl w:val="true"/>
        </w:rPr>
        <w:t>כך שדומה שלא היה בסיכון האפשרי כדי להרתיע את המערער מלהוציא לפועל את תכניתו</w:t>
      </w:r>
      <w:r>
        <w:rPr>
          <w:rtl w:val="true"/>
        </w:rPr>
        <w:t xml:space="preserve">. </w:t>
      </w:r>
      <w:r>
        <w:rPr>
          <w:rtl w:val="true"/>
        </w:rPr>
        <w:t>גם לא ניתן להתעלם מחוסר ההיגיון בקביעה שמנדו השיג רימון בדרך עלומה ולא שיתף בכך את המערער</w:t>
      </w:r>
      <w:r>
        <w:rPr>
          <w:rtl w:val="true"/>
        </w:rPr>
        <w:t xml:space="preserve">, </w:t>
      </w:r>
      <w:r>
        <w:rPr>
          <w:rtl w:val="true"/>
        </w:rPr>
        <w:t>כשאין מחלוקת שמנדו רצה לרצותו בכל מאודו</w:t>
      </w:r>
      <w:r>
        <w:rPr>
          <w:rtl w:val="true"/>
        </w:rPr>
        <w:t xml:space="preserve">. </w:t>
      </w:r>
      <w:r>
        <w:rPr>
          <w:rtl w:val="true"/>
        </w:rPr>
        <w:t>בהקשר זה מנדו העיד כי כאשר המערער ביקש ממנו לבצע פעילות עבריינית</w:t>
      </w:r>
      <w:r>
        <w:rPr>
          <w:rtl w:val="true"/>
        </w:rPr>
        <w:t xml:space="preserve">, </w:t>
      </w:r>
      <w:r>
        <w:rPr>
          <w:rtl w:val="true"/>
        </w:rPr>
        <w:t>הוא השיב כי אין לו כל אפשרות להשיג אמצעים לביצוע המעשים ולא בכדי המערער נדרש להשיג עבורו רכב לצורך ביצוע העבירות</w:t>
      </w:r>
      <w:r>
        <w:rPr>
          <w:rtl w:val="true"/>
        </w:rPr>
        <w:t xml:space="preserve">. </w:t>
      </w:r>
      <w:r>
        <w:rPr>
          <w:rtl w:val="true"/>
        </w:rPr>
        <w:t>יהיה זה משולל כל היגיון בסיסי לסבור שעל אף הצהרתו האמורה של מנדו</w:t>
      </w:r>
      <w:r>
        <w:rPr>
          <w:rtl w:val="true"/>
        </w:rPr>
        <w:t xml:space="preserve">, </w:t>
      </w:r>
      <w:r>
        <w:rPr>
          <w:rtl w:val="true"/>
        </w:rPr>
        <w:t>הוא הצליח להשיג רימון רסס בעצמו</w:t>
      </w:r>
      <w:r>
        <w:rPr>
          <w:rtl w:val="true"/>
        </w:rPr>
        <w:t xml:space="preserve">, </w:t>
      </w:r>
      <w:r>
        <w:rPr>
          <w:rtl w:val="true"/>
        </w:rPr>
        <w:t>לספוג את העלות הבלתי מבוטלת שלו בשוק השחור ואף להסתיר זאת מהמערער</w:t>
      </w:r>
      <w:r>
        <w:rPr>
          <w:rtl w:val="true"/>
        </w:rPr>
        <w:t xml:space="preserve">. </w:t>
      </w:r>
      <w:r>
        <w:rPr>
          <w:rtl w:val="true"/>
        </w:rPr>
        <w:t>המשיבה הדגישה כי היא אינה מתיימרת לטעון כי בית המשפט אמור לקבוע ממצאים על סמך ההיגיון</w:t>
      </w:r>
      <w:r>
        <w:rPr>
          <w:rtl w:val="true"/>
        </w:rPr>
        <w:t xml:space="preserve">, </w:t>
      </w:r>
      <w:r>
        <w:rPr>
          <w:rtl w:val="true"/>
        </w:rPr>
        <w:t xml:space="preserve">אלא טענתה היא כי כאשר מוצגות לבית המשפט שתי גרסאות שונות </w:t>
      </w:r>
      <w:r>
        <w:rPr>
          <w:rtl w:val="true"/>
        </w:rPr>
        <w:t>–</w:t>
      </w:r>
      <w:r>
        <w:rPr>
          <w:rtl w:val="true"/>
        </w:rPr>
        <w:t xml:space="preserve"> אחת של עד מדינה שכל דבריו מתבררים כאמת ובעלי היגיון</w:t>
      </w:r>
      <w:r>
        <w:rPr>
          <w:rtl w:val="true"/>
        </w:rPr>
        <w:t xml:space="preserve">, </w:t>
      </w:r>
      <w:r>
        <w:rPr>
          <w:rtl w:val="true"/>
        </w:rPr>
        <w:t xml:space="preserve">והשנייה של המערער ששינה את גרסתו חדשות לבקרים וגרסתו התבררה כמופרכת ולא הגיונית </w:t>
      </w:r>
      <w:r>
        <w:rPr>
          <w:rtl w:val="true"/>
        </w:rPr>
        <w:t>–</w:t>
      </w:r>
      <w:r>
        <w:rPr>
          <w:rtl w:val="true"/>
        </w:rPr>
        <w:t xml:space="preserve"> ברי כי יש לאמץ את גרסת עד 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כל האמור לעיל נטען</w:t>
      </w:r>
      <w:r>
        <w:rPr>
          <w:rtl w:val="true"/>
        </w:rPr>
        <w:t xml:space="preserve">, </w:t>
      </w:r>
      <w:r>
        <w:rPr>
          <w:rtl w:val="true"/>
        </w:rPr>
        <w:t>לגישת המשיבה</w:t>
      </w:r>
      <w:r>
        <w:rPr>
          <w:rtl w:val="true"/>
        </w:rPr>
        <w:t xml:space="preserve">, </w:t>
      </w:r>
      <w:r>
        <w:rPr>
          <w:rtl w:val="true"/>
        </w:rPr>
        <w:t>למעלה מן הצורך</w:t>
      </w:r>
      <w:r>
        <w:rPr>
          <w:rtl w:val="true"/>
        </w:rPr>
        <w:t xml:space="preserve">. </w:t>
      </w:r>
      <w:r>
        <w:rPr>
          <w:rtl w:val="true"/>
        </w:rPr>
        <w:t>זאת מאחר שמבחינה משפטית המערער אחראי להשלכת הרימון גם בהינתן שמנדו הביא עמו רימון והשליך אותו על דעת עצמו מבלי שיידע את המערער על כך</w:t>
      </w:r>
      <w:r>
        <w:rPr>
          <w:rtl w:val="true"/>
        </w:rPr>
        <w:t xml:space="preserve">. </w:t>
      </w:r>
      <w:r>
        <w:rPr>
          <w:rtl w:val="true"/>
        </w:rPr>
        <w:t>המשיבה סומכת את ידיה על קביעת בית המשפט המחוזי לפיה המערער מהווה מבצע בצוותא של העבירות</w:t>
      </w:r>
      <w:r>
        <w:rPr>
          <w:rtl w:val="true"/>
        </w:rPr>
        <w:t xml:space="preserve">, </w:t>
      </w:r>
      <w:r>
        <w:rPr>
          <w:rtl w:val="true"/>
        </w:rPr>
        <w:t>ולפיה הייתה לו מודעות סובייקטיבית לכך שמנדו עלול להשליך רימון</w:t>
      </w:r>
      <w:r>
        <w:rPr>
          <w:rtl w:val="true"/>
        </w:rPr>
        <w:t xml:space="preserve">. </w:t>
      </w:r>
      <w:r>
        <w:rPr>
          <w:rtl w:val="true"/>
        </w:rPr>
        <w:t>המשיבה אף סומכת את ידיה על קביעתו של בית המשפט המחוזי לפיה אף אם לא הייתה למערער ידיעה סובייקטיבית לעניין השלכת הרימון</w:t>
      </w:r>
      <w:r>
        <w:rPr>
          <w:rtl w:val="true"/>
        </w:rPr>
        <w:t xml:space="preserve">, </w:t>
      </w:r>
      <w:r>
        <w:rPr>
          <w:rtl w:val="true"/>
        </w:rPr>
        <w:t xml:space="preserve">היה עליו להיות מודע לכך כאדם סביר ומשכך ניתן היה להטיל עליו אחריות מכוח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. </w:t>
      </w:r>
      <w:r>
        <w:rPr>
          <w:rtl w:val="true"/>
        </w:rPr>
        <w:t>בהקשר זה הדגישה המשיבה כי מנדו פעל בשליחותו של המערער והיה להוט לרצותו</w:t>
      </w:r>
      <w:r>
        <w:rPr>
          <w:rtl w:val="true"/>
        </w:rPr>
        <w:t xml:space="preserve">, </w:t>
      </w:r>
      <w:r>
        <w:rPr>
          <w:rtl w:val="true"/>
        </w:rPr>
        <w:t>ועל כך המערער לא חלק</w:t>
      </w:r>
      <w:r>
        <w:rPr>
          <w:rtl w:val="true"/>
        </w:rPr>
        <w:t xml:space="preserve">; </w:t>
      </w:r>
      <w:r>
        <w:rPr>
          <w:rtl w:val="true"/>
        </w:rPr>
        <w:t>וכי מנדו כבר חרג מהתכנית בתחילת הדרך כשבחר לאיים גם על אמו של ע</w:t>
      </w:r>
      <w:r>
        <w:rPr>
          <w:rtl w:val="true"/>
        </w:rPr>
        <w:t xml:space="preserve">' </w:t>
      </w:r>
      <w:r>
        <w:rPr>
          <w:rtl w:val="true"/>
        </w:rPr>
        <w:t>למרות שהמערער לא הורה לו לעשות כן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 פלא שהמערער לא הצליח לספק בחקירתו הסבר סביר לשאלה מדוע לא עלה בדעתו שמנדו יחרוג מהתכנית ויבצע אותה בדרך מעט שונה</w:t>
      </w:r>
      <w:r>
        <w:rPr>
          <w:rtl w:val="true"/>
        </w:rPr>
        <w:t xml:space="preserve">. [...].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הוסיפה כי קיים דמיון רב בין עבירת ההצתה לבין עבירת ההיזק בחומר מבחינת היסודות העובדתיים והנפשיים של עבירות אלה</w:t>
      </w:r>
      <w:r>
        <w:rPr>
          <w:rtl w:val="true"/>
        </w:rPr>
        <w:t xml:space="preserve">: </w:t>
      </w:r>
      <w:r>
        <w:rPr>
          <w:rtl w:val="true"/>
        </w:rPr>
        <w:t>גרימת נזק לנכס או שילוח אש בנכס במזיד כאשר כתוצאה מכך נגרם סיכון לחיי אדם</w:t>
      </w:r>
      <w:r>
        <w:rPr>
          <w:rtl w:val="true"/>
        </w:rPr>
        <w:t xml:space="preserve">. </w:t>
      </w:r>
      <w:r>
        <w:rPr>
          <w:rtl w:val="true"/>
        </w:rPr>
        <w:t xml:space="preserve">ההבדל העיקרי בין העבירות הוא הנסיבה </w:t>
      </w:r>
      <w:r>
        <w:rPr>
          <w:rtl w:val="true"/>
        </w:rPr>
        <w:t>"</w:t>
      </w:r>
      <w:r>
        <w:rPr>
          <w:rtl w:val="true"/>
        </w:rPr>
        <w:t>על ידי חומר נפץ</w:t>
      </w:r>
      <w:r>
        <w:rPr>
          <w:rtl w:val="true"/>
        </w:rPr>
        <w:t xml:space="preserve">" </w:t>
      </w:r>
      <w:r>
        <w:rPr>
          <w:rtl w:val="true"/>
        </w:rPr>
        <w:t xml:space="preserve">שבעבירת היזק בחומר נפיץ אל מול הנסיבה </w:t>
      </w:r>
      <w:r>
        <w:rPr>
          <w:rtl w:val="true"/>
        </w:rPr>
        <w:t>"</w:t>
      </w:r>
      <w:r>
        <w:rPr>
          <w:rtl w:val="true"/>
        </w:rPr>
        <w:t>המשלח אש במזיד</w:t>
      </w:r>
      <w:r>
        <w:rPr>
          <w:rtl w:val="true"/>
        </w:rPr>
        <w:t xml:space="preserve">" </w:t>
      </w:r>
      <w:r>
        <w:rPr>
          <w:rtl w:val="true"/>
        </w:rPr>
        <w:t>שבעבירת ההצתה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בהתאם להלכה הפסוקה</w:t>
      </w:r>
      <w:r>
        <w:rPr>
          <w:rtl w:val="true"/>
        </w:rPr>
        <w:t xml:space="preserve">, </w:t>
      </w:r>
      <w:r>
        <w:rPr>
          <w:rtl w:val="true"/>
        </w:rPr>
        <w:t>די בכך שהמערער היה מודע לאפשרות שמנדו יבחר להשיג את המטרה הדומה על ידי חומר נפץ חלף שילוח אש במזיד כדי להטיל עליו אחריות פלילית לעבירת ההיזק על ידי חומר נפץ</w:t>
      </w:r>
      <w:r>
        <w:rPr>
          <w:rtl w:val="true"/>
        </w:rPr>
        <w:t xml:space="preserve">. </w:t>
      </w:r>
      <w:r>
        <w:rPr>
          <w:rtl w:val="true"/>
        </w:rPr>
        <w:t>עוד טענה המשיבה כי לגישתה</w:t>
      </w:r>
      <w:r>
        <w:rPr>
          <w:rtl w:val="true"/>
        </w:rPr>
        <w:t xml:space="preserve">, </w:t>
      </w:r>
      <w:r>
        <w:rPr>
          <w:rtl w:val="true"/>
        </w:rPr>
        <w:t>הצתת רכב אשר לרוב יש בו מיכל דלק ורכיבים נוספים דליקים שעלולים להתפוצץ בהצתה</w:t>
      </w:r>
      <w:r>
        <w:rPr>
          <w:rtl w:val="true"/>
        </w:rPr>
        <w:t xml:space="preserve">, </w:t>
      </w:r>
      <w:r>
        <w:rPr>
          <w:rtl w:val="true"/>
        </w:rPr>
        <w:t xml:space="preserve">עולה כדי הנסיבה של </w:t>
      </w:r>
      <w:r>
        <w:rPr>
          <w:rtl w:val="true"/>
        </w:rPr>
        <w:t>"</w:t>
      </w:r>
      <w:r>
        <w:rPr>
          <w:rtl w:val="true"/>
        </w:rPr>
        <w:t>חומר נפץ</w:t>
      </w:r>
      <w:r>
        <w:rPr>
          <w:rtl w:val="true"/>
        </w:rPr>
        <w:t xml:space="preserve">".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 xml:space="preserve">ניתן לומר שהשלכת הרימון שגרמה נזק לבית ולפגיעה בבלון גז עולה כדי </w:t>
      </w:r>
      <w:r>
        <w:rPr>
          <w:rtl w:val="true"/>
        </w:rPr>
        <w:t>"</w:t>
      </w:r>
      <w:r>
        <w:rPr>
          <w:rtl w:val="true"/>
        </w:rPr>
        <w:t>שילוח אש</w:t>
      </w:r>
      <w:r>
        <w:rPr>
          <w:rtl w:val="true"/>
        </w:rPr>
        <w:t xml:space="preserve">"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ולבסוף טענה המשיבה כי אף אם ייקבע כי אין להטיל על המערער אחריות בגין השלכת הרימון</w:t>
      </w:r>
      <w:r>
        <w:rPr>
          <w:rtl w:val="true"/>
        </w:rPr>
        <w:t xml:space="preserve">, </w:t>
      </w:r>
      <w:r>
        <w:rPr>
          <w:rtl w:val="true"/>
        </w:rPr>
        <w:t>ניתן להרשיעו בעבירה של ניסיון הצתה</w:t>
      </w:r>
      <w:r>
        <w:rPr>
          <w:rtl w:val="true"/>
        </w:rPr>
        <w:t xml:space="preserve">, </w:t>
      </w:r>
      <w:r>
        <w:rPr>
          <w:rtl w:val="true"/>
        </w:rPr>
        <w:t>כמו גם להרשיעו בנוסף על כלל העבירות גם בעבירה של קשירת קשר לביצוע פשע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לגזר הדין טענה המשיבה כי העונש הכולל שהושת על המערער כלל אינו חמור</w:t>
      </w:r>
      <w:r>
        <w:rPr>
          <w:rtl w:val="true"/>
        </w:rPr>
        <w:t xml:space="preserve">. </w:t>
      </w:r>
      <w:r>
        <w:rPr>
          <w:rtl w:val="true"/>
        </w:rPr>
        <w:t>מעיון באישום הראשון ניתן להתרשם מחוסר מעצוריו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אשר שימש עורך דין פלילי במשך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וביצע עבירות חמורות ביותר רק כדי להשיג לעצמו טובת הנאה אישית</w:t>
      </w:r>
      <w:r>
        <w:rPr>
          <w:rtl w:val="true"/>
        </w:rPr>
        <w:t xml:space="preserve">. </w:t>
      </w:r>
      <w:r>
        <w:rPr>
          <w:rtl w:val="true"/>
        </w:rPr>
        <w:t>רושם זה מתחזק מעיון באישום השני המלמד כי גם לאחר שהוא נתפס לא חזר לדרך הישר</w:t>
      </w:r>
      <w:r>
        <w:rPr>
          <w:rtl w:val="true"/>
        </w:rPr>
        <w:t xml:space="preserve">, </w:t>
      </w:r>
      <w:r>
        <w:rPr>
          <w:rtl w:val="true"/>
        </w:rPr>
        <w:t>התחזה לעורך דינו של מנדו כדי להיכנס במרמה לבית הסוהר כך שיתאפשר לו לשכנע את מנדו להסכים להסדר טיעון שיטיב עמו תוך שיבוש הליכי משפט והפרת הוראה חוקית</w:t>
      </w:r>
      <w:r>
        <w:rPr>
          <w:rtl w:val="true"/>
        </w:rPr>
        <w:t xml:space="preserve">. </w:t>
      </w:r>
      <w:r>
        <w:rPr>
          <w:rtl w:val="true"/>
        </w:rPr>
        <w:t>המשיבה הוסיפה כי בית המשפט התחשב בגזר דינו בקבלת האחריות המלאה מצד המערער בגין כל העבירות בהן הורשע</w:t>
      </w:r>
      <w:r>
        <w:rPr>
          <w:rtl w:val="true"/>
        </w:rPr>
        <w:t xml:space="preserve">, </w:t>
      </w:r>
      <w:r>
        <w:rPr>
          <w:rtl w:val="true"/>
        </w:rPr>
        <w:t>הבאה לידי ביטוי גם בתסקיר שירות המבחן</w:t>
      </w:r>
      <w:r>
        <w:rPr>
          <w:rtl w:val="true"/>
        </w:rPr>
        <w:t xml:space="preserve">, </w:t>
      </w:r>
      <w:r>
        <w:rPr>
          <w:rtl w:val="true"/>
        </w:rPr>
        <w:t>כאשר הערעור דנן מוכיח כי קבלת האחריות לא הייתה כנה</w:t>
      </w:r>
      <w:r>
        <w:rPr>
          <w:rtl w:val="true"/>
        </w:rPr>
        <w:t xml:space="preserve">. </w:t>
      </w:r>
      <w:r>
        <w:rPr>
          <w:rtl w:val="true"/>
        </w:rPr>
        <w:t>נוכח כל האמור אין כל מקום להקל עוד בעונשו של המערער</w:t>
      </w:r>
      <w:r>
        <w:rPr>
          <w:rtl w:val="true"/>
        </w:rPr>
        <w:t xml:space="preserve">, </w:t>
      </w:r>
      <w:r>
        <w:rPr>
          <w:rtl w:val="true"/>
        </w:rPr>
        <w:t>ודאי לא משיקולי שיקום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בטענות הצדדים ושמיעתם בדיון שלפנינו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על שני ראשיו וכך אציע לחברותיי שנעשה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hyperlink r:id="rId33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סעיפים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2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9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hyperlink r:id="rId34"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34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)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 xml:space="preserve">עיקר </w:t>
      </w:r>
      <w:r>
        <w:rPr>
          <w:rFonts w:ascii="Arial TUR;Arial" w:hAnsi="Arial TUR;Arial" w:cs="Arial TUR;Arial"/>
          <w:sz w:val="22"/>
          <w:sz w:val="22"/>
          <w:rtl w:val="true"/>
        </w:rPr>
        <w:t>טענותיו של המערער בערעור על הכרעת דינו נסוב כאמור על הרשעתו בעבירות החורגות מהתכנית העבריינית המקורית שנרקמה בינו לבין מנדו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בטרם אפנה לטענות אלו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אקדים מספר מילים בנוגע לסעיפי החוק העומדים במוקד הדיון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מורה כדלקמן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ומקצתם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tl w:val="true"/>
        </w:rPr>
        <w:tab/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7704/13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מרגולין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8.12.2015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7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5706/11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פסקה </w:t>
      </w:r>
      <w:r>
        <w:rPr>
          <w:rFonts w:cs="Garamond" w:ascii="Garamond" w:hAnsi="Garamond"/>
          <w:sz w:val="24"/>
        </w:rPr>
        <w:t>153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cs="Garamond" w:ascii="Garamond" w:hAnsi="Garamond"/>
          <w:sz w:val="24"/>
        </w:rPr>
        <w:t>11.12.2014</w:t>
      </w:r>
      <w:r>
        <w:rPr>
          <w:rFonts w:cs="Garamond" w:ascii="Garamond" w:hAnsi="Garamond"/>
          <w:sz w:val="24"/>
          <w:rtl w:val="true"/>
        </w:rPr>
        <w:t xml:space="preserve">)). </w:t>
      </w:r>
      <w:r>
        <w:rPr>
          <w:rFonts w:ascii="Garamond" w:hAnsi="Garamond" w:cs="Garamond"/>
          <w:sz w:val="24"/>
          <w:sz w:val="24"/>
          <w:rtl w:val="true"/>
        </w:rPr>
        <w:t xml:space="preserve">תכליתו של הסעיף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יוסף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5.7.2007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3293/09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חטיב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15.10.2009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בהתאם להלכה הפסוקה</w:t>
      </w:r>
      <w:r>
        <w:rPr>
          <w:rtl w:val="true"/>
        </w:rPr>
        <w:t xml:space="preserve">, </w:t>
      </w:r>
      <w:r>
        <w:rPr>
          <w:rtl w:val="true"/>
        </w:rPr>
        <w:t>בחינת השאלה אם נאשם הוא מבצע בצוותא נעשית בשני מישורים</w:t>
      </w:r>
      <w:r>
        <w:rPr>
          <w:rtl w:val="true"/>
        </w:rPr>
        <w:t xml:space="preserve">: </w:t>
      </w:r>
      <w:r>
        <w:rPr>
          <w:rtl w:val="true"/>
        </w:rPr>
        <w:t>המישור העובדתי</w:t>
      </w:r>
      <w:r>
        <w:rPr>
          <w:rtl w:val="true"/>
        </w:rPr>
        <w:t xml:space="preserve">, </w:t>
      </w:r>
      <w:r>
        <w:rPr>
          <w:rtl w:val="true"/>
        </w:rPr>
        <w:t>במסגרתו יש לבחון האם הנאשם לקח חלק ישיר בביצוע עבירה על ידי עשיית מעשה הדרוש להגשמת התכנית הפלילית</w:t>
      </w:r>
      <w:r>
        <w:rPr>
          <w:rtl w:val="true"/>
        </w:rPr>
        <w:t xml:space="preserve">; </w:t>
      </w:r>
      <w:r>
        <w:rPr>
          <w:rtl w:val="true"/>
        </w:rPr>
        <w:t>והמישור הנפשי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יש לבחון האם התקיים בנאשם היסוד הנפשי הנדרש בעבירה העיקרית וכן מודעות לכך שהוא פועל בצוותא עם האחרים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סד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666</w:t>
      </w:r>
      <w:r>
        <w:rPr>
          <w:rtl w:val="true"/>
        </w:rPr>
        <w:t xml:space="preserve">, </w:t>
      </w:r>
      <w:r>
        <w:rPr/>
        <w:t>693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2796/95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388</w:t>
      </w:r>
      <w:r>
        <w:rPr>
          <w:rtl w:val="true"/>
        </w:rPr>
        <w:t xml:space="preserve">, </w:t>
      </w:r>
      <w:r>
        <w:rPr/>
        <w:t>402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4389/93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מרדכי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239</w:t>
      </w:r>
      <w:r>
        <w:rPr>
          <w:rtl w:val="true"/>
        </w:rPr>
        <w:t xml:space="preserve">, </w:t>
      </w:r>
      <w:r>
        <w:rPr/>
        <w:t>250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מרדכי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תענך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12.7.2010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מורה כך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יישאו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tl w:val="true"/>
        </w:rPr>
        <w:t xml:space="preserve">, </w:t>
      </w:r>
      <w:r>
        <w:rPr>
          <w:rtl w:val="true"/>
        </w:rPr>
        <w:t>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;</w:t>
      </w:r>
      <w:r>
        <w:rPr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[...].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 xml:space="preserve">וכפי שנאמר בעניין </w:t>
      </w:r>
      <w:hyperlink r:id="rId45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4424/98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סילגדו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פ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ד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נו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5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</w:rPr>
        <w:t>529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2002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sz w:val="28"/>
          <w:rtl w:val="true"/>
        </w:rPr>
        <w:t>:</w:t>
      </w:r>
    </w:p>
    <w:p>
      <w:pPr>
        <w:pStyle w:val="Ruller41"/>
        <w:numPr>
          <w:ilvl w:val="0"/>
          <w:numId w:val="0"/>
        </w:numPr>
        <w:spacing w:lineRule="auto" w:line="240"/>
        <w:ind w:hanging="1440" w:start="1440" w:end="1276"/>
        <w:jc w:val="both"/>
        <w:rPr/>
      </w:pPr>
      <w:r>
        <w:rPr>
          <w:sz w:val="28"/>
          <w:rtl w:val="true"/>
        </w:rPr>
        <w:tab/>
        <w:tab/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מטרתה של הוראת</w:t>
      </w:r>
      <w:r>
        <w:rPr>
          <w:sz w:val="28"/>
          <w:sz w:val="28"/>
          <w:rtl w:val="true"/>
        </w:rPr>
        <w:t xml:space="preserve"> סעיף </w:t>
      </w:r>
      <w:r>
        <w:rPr>
          <w:sz w:val="28"/>
        </w:rPr>
        <w:t>34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)(</w:t>
      </w:r>
      <w:r>
        <w:rPr>
          <w:sz w:val="28"/>
        </w:rPr>
        <w:t>1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היא לעודד עבריינים הפועלים בצוותא לביצוע עבירה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מקורית</w:t>
      </w:r>
      <w:r>
        <w:rPr>
          <w:sz w:val="28"/>
          <w:rtl w:val="true"/>
        </w:rPr>
        <w:t>'</w:t>
      </w:r>
      <w:r>
        <w:rPr>
          <w:sz w:val="28"/>
          <w:rtl w:val="true"/>
        </w:rPr>
        <w:t xml:space="preserve"> – </w:t>
      </w:r>
      <w:r>
        <w:rPr>
          <w:sz w:val="28"/>
          <w:sz w:val="28"/>
          <w:rtl w:val="true"/>
        </w:rPr>
        <w:t>למנוע מאחד מהם אגב ביצוע העבירה המקורית את ביצועה של עבירה שונה או נוספת שאדם מן היישוב היה יכול להיות מודע לאפשרות עשייתה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הבוחר להשתתף כמבצע בצוותא בביצוע של עבירה מקורית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כגון שוד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 xml:space="preserve">חייב </w:t>
      </w:r>
      <w:r>
        <w:rPr>
          <w:sz w:val="28"/>
          <w:sz w:val="28"/>
          <w:rtl w:val="true"/>
        </w:rPr>
        <w:t>להביא</w:t>
      </w:r>
      <w:r>
        <w:rPr>
          <w:sz w:val="28"/>
          <w:sz w:val="28"/>
          <w:rtl w:val="true"/>
        </w:rPr>
        <w:t xml:space="preserve"> בחשבון את העובדה שהדברים עלולים להסתבך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והוא עלול למצוא עצמו מעורב גם בעבירה נוספת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כגון רצח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 xml:space="preserve">שאינה בשליטתו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 מ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גור</w:t>
      </w:r>
      <w:r>
        <w:rPr>
          <w:sz w:val="28"/>
          <w:rtl w:val="true"/>
        </w:rPr>
        <w:t>-</w:t>
      </w:r>
      <w:hyperlink r:id="rId4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אריה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הצעת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חלק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</w:hyperlink>
      <w:r>
        <w:rPr>
          <w:sz w:val="28"/>
          <w:sz w:val="28"/>
          <w:rtl w:val="true"/>
        </w:rPr>
        <w:t xml:space="preserve"> מקדמי</w:t>
      </w:r>
      <w:r>
        <w:rPr>
          <w:sz w:val="28"/>
          <w:sz w:val="28"/>
          <w:rtl w:val="true"/>
        </w:rPr>
        <w:t xml:space="preserve"> וחלק כללי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-</w:t>
      </w:r>
      <w:r>
        <w:rPr>
          <w:sz w:val="28"/>
        </w:rPr>
        <w:t>1992</w:t>
      </w:r>
      <w:r>
        <w:rPr>
          <w:sz w:val="28"/>
          <w:rtl w:val="true"/>
        </w:rPr>
        <w:t xml:space="preserve">" </w:t>
      </w:r>
      <w:r>
        <w:rPr>
          <w:rFonts w:ascii="Miriam" w:hAnsi="Miriam" w:cs="Miriam"/>
          <w:szCs w:val="24"/>
          <w:rtl w:val="true"/>
        </w:rPr>
        <w:t>משפטים</w:t>
      </w:r>
      <w:r>
        <w:rPr>
          <w:sz w:val="28"/>
          <w:sz w:val="28"/>
          <w:rtl w:val="true"/>
        </w:rPr>
        <w:t xml:space="preserve"> כד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תשנ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49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התכלית המונחת ביסוד הוראת</w:t>
      </w:r>
      <w:r>
        <w:rPr>
          <w:sz w:val="28"/>
          <w:sz w:val="28"/>
          <w:rtl w:val="true"/>
        </w:rPr>
        <w:t xml:space="preserve"> סעיף </w:t>
      </w:r>
      <w:r>
        <w:rPr>
          <w:sz w:val="28"/>
        </w:rPr>
        <w:t>34</w:t>
      </w:r>
      <w:r>
        <w:rPr>
          <w:sz w:val="28"/>
          <w:sz w:val="28"/>
          <w:rtl w:val="true"/>
        </w:rPr>
        <w:t xml:space="preserve">א </w:t>
      </w:r>
      <w:r>
        <w:rPr>
          <w:sz w:val="28"/>
          <w:sz w:val="28"/>
          <w:rtl w:val="true"/>
        </w:rPr>
        <w:t xml:space="preserve">לחוק היא למנוע ביצוען של עבירות נוספות או שונות וכן הרתעה מפני כניסה מראש למצב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בו השליטה המלאה על אופן ביצוע העבירה יוצאת מידי המבצע הבודד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זוהי בוודאי תכלית ראויה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והיא אף הולמת את ערכיה של מדינת ישראל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542</w:t>
      </w:r>
      <w:r>
        <w:rPr>
          <w:sz w:val="28"/>
          <w:rtl w:val="true"/>
        </w:rPr>
        <w:t>)</w:t>
      </w:r>
      <w:r>
        <w:rPr>
          <w:sz w:val="28"/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הסעיף מתרה אפוא מפני כניסה מראש למצב שבו השליטה על אופן ביצוע העבירה יוצאת מידי המבצע הבודד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ascii="Arial TUR;Arial" w:hAnsi="Arial TUR;Arial" w:cs="Arial TUR;Arial"/>
          <w:sz w:val="22"/>
          <w:sz w:val="22"/>
          <w:rtl w:val="true"/>
        </w:rPr>
        <w:t>וראו גם</w:t>
      </w:r>
      <w:r>
        <w:rPr>
          <w:rFonts w:cs="Arial TUR;Arial" w:ascii="Arial TUR;Arial" w:hAnsi="Arial TUR;Arial"/>
          <w:sz w:val="22"/>
          <w:rtl w:val="true"/>
        </w:rPr>
        <w:t xml:space="preserve">: </w:t>
      </w:r>
      <w:hyperlink r:id="rId47"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Arial TUR;Arial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;Arial" w:ascii="Arial TUR;Arial" w:hAnsi="Arial TUR;Arial"/>
            <w:color w:val="0000FF"/>
            <w:sz w:val="22"/>
            <w:u w:val="single"/>
          </w:rPr>
          <w:t>6365/12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פ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ד </w:t>
      </w:r>
      <w:r>
        <w:rPr>
          <w:rFonts w:ascii="Arial TUR;Arial" w:hAnsi="Arial TUR;Arial" w:cs="Arial TUR;Arial"/>
          <w:sz w:val="22"/>
          <w:sz w:val="22"/>
          <w:rtl w:val="true"/>
        </w:rPr>
        <w:t>סו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3</w:t>
      </w:r>
      <w:r>
        <w:rPr>
          <w:rFonts w:cs="Arial TUR;Arial" w:ascii="Arial TUR;Arial" w:hAnsi="Arial TUR;Arial"/>
          <w:sz w:val="22"/>
          <w:rtl w:val="true"/>
        </w:rPr>
        <w:t xml:space="preserve">) </w:t>
      </w:r>
      <w:r>
        <w:rPr>
          <w:rFonts w:cs="Arial TUR;Arial" w:ascii="Arial TUR;Arial" w:hAnsi="Arial TUR;Arial"/>
          <w:sz w:val="22"/>
        </w:rPr>
        <w:t>92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cs="Arial TUR;Arial" w:ascii="Arial TUR;Arial" w:hAnsi="Arial TUR;Arial"/>
          <w:sz w:val="22"/>
        </w:rPr>
        <w:t>126</w:t>
      </w:r>
      <w:r>
        <w:rPr>
          <w:rFonts w:cs="Arial TUR;Arial" w:ascii="Arial TUR;Arial" w:hAnsi="Arial TUR;Arial"/>
          <w:sz w:val="22"/>
          <w:rtl w:val="true"/>
        </w:rPr>
        <w:t xml:space="preserve"> (</w:t>
      </w:r>
      <w:r>
        <w:rPr>
          <w:rFonts w:cs="Arial TUR;Arial" w:ascii="Arial TUR;Arial" w:hAnsi="Arial TUR;Arial"/>
          <w:sz w:val="22"/>
        </w:rPr>
        <w:t>2013</w:t>
      </w:r>
      <w:r>
        <w:rPr>
          <w:rFonts w:cs="Arial TUR;Arial" w:ascii="Arial TUR;Arial" w:hAnsi="Arial TUR;Arial"/>
          <w:sz w:val="22"/>
          <w:rtl w:val="true"/>
        </w:rPr>
        <w:t>)</w:t>
      </w:r>
      <w:r>
        <w:rPr>
          <w:rFonts w:cs="Arial TUR;Arial" w:ascii="Arial TUR;Arial" w:hAnsi="Arial TUR;Arial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Arial TUR;Arial" w:hAnsi="Arial TUR;Arial" w:cs="Arial TUR;Arial"/>
          <w:sz w:val="22"/>
          <w:sz w:val="22"/>
          <w:rtl w:val="true"/>
        </w:rPr>
        <w:t>הלכה למעשה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hyperlink r:id="rId48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סעיף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sz w:val="22"/>
          </w:rPr>
          <w:t>34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א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א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)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לחוק מרחיב את גבולות האחריות הפלילית </w:t>
      </w:r>
      <w:hyperlink r:id="rId49"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שבסעיף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Arial TUR;Arial" w:ascii="Arial TUR;Arial" w:hAnsi="Arial TUR;Arial"/>
            <w:sz w:val="22"/>
          </w:rPr>
          <w:t>29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(</w:t>
        </w:r>
        <w:r>
          <w:rPr>
            <w:rStyle w:val="Hyperlink"/>
            <w:rFonts w:ascii="Arial TUR;Arial" w:hAnsi="Arial TUR;Arial" w:cs="Arial TUR;Arial"/>
            <w:sz w:val="22"/>
            <w:sz w:val="22"/>
            <w:rtl w:val="true"/>
          </w:rPr>
          <w:t>ב</w:t>
        </w:r>
        <w:r>
          <w:rPr>
            <w:rStyle w:val="Hyperlink"/>
            <w:rFonts w:cs="Arial TUR;Arial" w:ascii="Arial TUR;Arial" w:hAnsi="Arial TUR;Arial"/>
            <w:sz w:val="22"/>
            <w:rtl w:val="true"/>
          </w:rPr>
          <w:t>)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לחוק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ומאפשר הטלת אחריות על מבצע גם בגין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 </w:t>
      </w:r>
      <w:r>
        <w:rPr>
          <w:rtl w:val="true"/>
        </w:rPr>
        <w:t>אשר אינה חלק מהתכנון המקורי</w:t>
      </w:r>
      <w:r>
        <w:rPr>
          <w:rtl w:val="true"/>
        </w:rPr>
        <w:t xml:space="preserve">, </w:t>
      </w:r>
      <w:r>
        <w:rPr>
          <w:rtl w:val="true"/>
        </w:rPr>
        <w:t>על בסיס יסוד נפשי של צפיות בכוח בלבד</w:t>
      </w:r>
      <w:r>
        <w:rPr>
          <w:rtl w:val="true"/>
        </w:rPr>
        <w:t xml:space="preserve">, </w:t>
      </w:r>
      <w:r>
        <w:rPr>
          <w:rtl w:val="true"/>
        </w:rPr>
        <w:t xml:space="preserve">וזאת אף אם לעבירה עצמה נדרש יסוד נפשי של מחשבה פלילית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1639/98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501</w:t>
      </w:r>
      <w:r>
        <w:rPr>
          <w:rtl w:val="true"/>
        </w:rPr>
        <w:t xml:space="preserve">, </w:t>
      </w:r>
      <w:r>
        <w:rPr/>
        <w:t>524-523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מרדכי</w:t>
      </w:r>
      <w:r>
        <w:rPr>
          <w:rtl w:val="true"/>
        </w:rPr>
        <w:t xml:space="preserve"> נדונה שאלת היחס בין שני הסעיפים האמורים</w:t>
      </w:r>
      <w:r>
        <w:rPr>
          <w:rtl w:val="true"/>
        </w:rPr>
        <w:t xml:space="preserve">, </w:t>
      </w:r>
      <w:r>
        <w:rPr>
          <w:rtl w:val="true"/>
        </w:rPr>
        <w:t>כאשר כך סוכמו הדברים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נמצא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,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בכוח</w:t>
      </w:r>
      <w:r>
        <w:rPr>
          <w:rtl w:val="true"/>
        </w:rPr>
        <w:t xml:space="preserve">)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254-253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זעאתרה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20.6.2005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tl w:val="true"/>
        </w:rPr>
        <w:t xml:space="preserve">,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;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הרשעת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מהתכנית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המקורית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בהכרעת דינו כי ניתן להרשיע את המערער בעבירות שחרגו מהתכנית המקורית </w:t>
      </w:r>
      <w:r>
        <w:rPr>
          <w:rtl w:val="true"/>
        </w:rPr>
        <w:t>–</w:t>
      </w:r>
      <w:r>
        <w:rPr>
          <w:rtl w:val="true"/>
        </w:rPr>
        <w:t xml:space="preserve"> היזק בחומר נפיץ ונשיאת נשק </w:t>
      </w:r>
      <w:r>
        <w:rPr>
          <w:rtl w:val="true"/>
        </w:rPr>
        <w:t>–</w:t>
      </w:r>
      <w:r>
        <w:rPr>
          <w:rtl w:val="true"/>
        </w:rPr>
        <w:t xml:space="preserve"> הן מכוח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והן מכוח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ערעורו של המערער נסוב על קביעות אלו</w:t>
      </w:r>
      <w:r>
        <w:rPr>
          <w:rtl w:val="true"/>
        </w:rPr>
        <w:t xml:space="preserve">, </w:t>
      </w:r>
      <w:r>
        <w:rPr>
          <w:rtl w:val="true"/>
        </w:rPr>
        <w:t>כאשר טענותיו מתמקדות במודעותו בפועל או בכוח לאפשרות ביצוע העבירות האמורות</w:t>
      </w:r>
      <w:r>
        <w:rPr>
          <w:rtl w:val="true"/>
        </w:rPr>
        <w:t xml:space="preserve">. </w:t>
      </w:r>
      <w:r>
        <w:rPr>
          <w:rtl w:val="true"/>
        </w:rPr>
        <w:t>אלא שכפי שיבואר להלן</w:t>
      </w:r>
      <w:r>
        <w:rPr>
          <w:rtl w:val="true"/>
        </w:rPr>
        <w:t xml:space="preserve">, </w:t>
      </w:r>
      <w:r>
        <w:rPr>
          <w:rtl w:val="true"/>
        </w:rPr>
        <w:t>דין טענותיו להידחות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בטרם אדרש למחלוקת המשפטית שבין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אקדים מספר מילים בנוגע לטענות שהועלו הן מצד המערער והן מצד המשיבה </w:t>
      </w:r>
      <w:r>
        <w:rPr>
          <w:rtl w:val="true"/>
        </w:rPr>
        <w:t>(</w:t>
      </w:r>
      <w:r>
        <w:rPr>
          <w:rtl w:val="true"/>
        </w:rPr>
        <w:t>הגם שלא הגישה ערעור מטעמה</w:t>
      </w:r>
      <w:r>
        <w:rPr>
          <w:rtl w:val="true"/>
        </w:rPr>
        <w:t xml:space="preserve">) </w:t>
      </w:r>
      <w:r>
        <w:rPr>
          <w:rtl w:val="true"/>
        </w:rPr>
        <w:t>כלפי קביעותיו העובדתיות של בית המשפט 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בית המשפט קבע כממצא עובדתי כי המערער לא הורה למנדו ליידות רימון רסס על ביתו של ע</w:t>
      </w:r>
      <w:r>
        <w:rPr>
          <w:rtl w:val="true"/>
        </w:rPr>
        <w:t xml:space="preserve">' </w:t>
      </w:r>
      <w:r>
        <w:rPr>
          <w:rtl w:val="true"/>
        </w:rPr>
        <w:t>ובני משפחתו ולא מסר לו את הרימון</w:t>
      </w:r>
      <w:r>
        <w:rPr>
          <w:rtl w:val="true"/>
        </w:rPr>
        <w:t xml:space="preserve">, </w:t>
      </w:r>
      <w:r>
        <w:rPr>
          <w:rtl w:val="true"/>
        </w:rPr>
        <w:t>אלא ביקש ממנו לשרוף את כלי הרכב שעמדו בחנייה או לבצע ירי באזור הבית</w:t>
      </w:r>
      <w:r>
        <w:rPr>
          <w:rtl w:val="true"/>
        </w:rPr>
        <w:t xml:space="preserve">. </w:t>
      </w:r>
      <w:r>
        <w:rPr>
          <w:rtl w:val="true"/>
        </w:rPr>
        <w:t>המשיבה הלינה ארוכות בעיקרי הטיעון מטעמה על קביעות אלה</w:t>
      </w:r>
      <w:r>
        <w:rPr>
          <w:rtl w:val="true"/>
        </w:rPr>
        <w:t xml:space="preserve">, </w:t>
      </w:r>
      <w:r>
        <w:rPr>
          <w:rtl w:val="true"/>
        </w:rPr>
        <w:t>בציינה כי לא היה מקום להעדיף את עדותו של המערער על פני עדותו של מנדו</w:t>
      </w:r>
      <w:r>
        <w:rPr>
          <w:rtl w:val="true"/>
        </w:rPr>
        <w:t xml:space="preserve">, </w:t>
      </w:r>
      <w:r>
        <w:rPr>
          <w:rtl w:val="true"/>
        </w:rPr>
        <w:t>שעה שגרסתו של מנדו התבררה כאמת ובעלת היגיון ואילו גרסתו של המערער אשר שונתה חדשות לבקרים התבררה כמופרכת ולא הגיונית</w:t>
      </w:r>
      <w:r>
        <w:rPr>
          <w:rtl w:val="true"/>
        </w:rPr>
        <w:t xml:space="preserve">. </w:t>
      </w:r>
      <w:r>
        <w:rPr>
          <w:rtl w:val="true"/>
        </w:rPr>
        <w:t>המערער מצדו הלין על כך שבית המשפט קבע כי התכנית המקורית כללה גם ירי וכי הוא היה מודע לכך ששריפת כלי הרכב הייתה יכולה לסכן חיי אדם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מקום לכך שנידרש לכל פרטיהן של טענות אלה</w:t>
      </w:r>
      <w:r>
        <w:rPr>
          <w:rtl w:val="true"/>
        </w:rPr>
        <w:t xml:space="preserve">. </w:t>
      </w:r>
      <w:r>
        <w:rPr>
          <w:rtl w:val="true"/>
        </w:rPr>
        <w:t>דומה כי אין צריך לחזור על הכלל לפיו אין ע</w:t>
      </w:r>
      <w:r>
        <w:rPr>
          <w:rtl w:val="true"/>
        </w:rPr>
        <w:t>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נוטה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במישרין מהראיות ו</w:t>
      </w:r>
      <w:r>
        <w:rPr>
          <w:rtl w:val="true"/>
        </w:rPr>
        <w:t>מהעדויות</w:t>
      </w:r>
      <w:r>
        <w:rPr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 למשל לאחרונה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8030/21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זיינב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25.12.2022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התערבות בממצאי עובדה שמורה למקרים חריגים בלבד</w:t>
      </w:r>
      <w:r>
        <w:rPr>
          <w:rtl w:val="true"/>
        </w:rPr>
        <w:t xml:space="preserve">, </w:t>
      </w:r>
      <w:r>
        <w:rPr>
          <w:rtl w:val="true"/>
        </w:rPr>
        <w:t>ובעיקרם כאשר הממצאים מבוססים על ראיות בכתב ולא על מהימנות עדים</w:t>
      </w:r>
      <w:r>
        <w:rPr>
          <w:rtl w:val="true"/>
        </w:rPr>
        <w:t xml:space="preserve">; </w:t>
      </w:r>
      <w:r>
        <w:rPr>
          <w:rtl w:val="true"/>
        </w:rPr>
        <w:t>כאשר נפלה טעות מהותית או בולטת לעין בהערכת המהימנות</w:t>
      </w:r>
      <w:r>
        <w:rPr>
          <w:rtl w:val="true"/>
        </w:rPr>
        <w:t xml:space="preserve">; </w:t>
      </w:r>
      <w:r>
        <w:rPr>
          <w:rtl w:val="true"/>
        </w:rPr>
        <w:t xml:space="preserve">או כאשר הממצאים נקבעו בהתבסס על שיקולים שבהיגיון ובשכל ישר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44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מקרה זה אינו בא בגדרם של המקרים החריגים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יש להדגיש</w:t>
      </w:r>
      <w:r>
        <w:rPr>
          <w:rtl w:val="true"/>
        </w:rPr>
        <w:t xml:space="preserve">, </w:t>
      </w:r>
      <w:r>
        <w:rPr>
          <w:rtl w:val="true"/>
        </w:rPr>
        <w:t xml:space="preserve">כי ממצאי הערכאה הדיונית עליהם מלינים הצדדים לא התבססו כטענת המשיבה על </w:t>
      </w:r>
      <w:r>
        <w:rPr>
          <w:rtl w:val="true"/>
        </w:rPr>
        <w:t>"</w:t>
      </w:r>
      <w:r>
        <w:rPr>
          <w:rtl w:val="true"/>
        </w:rPr>
        <w:t>סבירות גרסאות בעלי הדין</w:t>
      </w:r>
      <w:r>
        <w:rPr>
          <w:rtl w:val="true"/>
        </w:rPr>
        <w:t xml:space="preserve">", </w:t>
      </w:r>
      <w:r>
        <w:rPr>
          <w:rtl w:val="true"/>
        </w:rPr>
        <w:t>אלא בעיקרו של דבר על הערכת המהימנות של המערער ושל מנדו ועל התרשמותה מעדויותיהם</w:t>
      </w:r>
      <w:r>
        <w:rPr>
          <w:rtl w:val="true"/>
        </w:rPr>
        <w:t xml:space="preserve">. </w:t>
      </w:r>
      <w:r>
        <w:rPr>
          <w:rtl w:val="true"/>
        </w:rPr>
        <w:t>בית המשפט ניתח באריכות את עדותו של מנדו ואת הסתירות שנמצאו בה בכל הנוגע למסירת הרימון</w:t>
      </w:r>
      <w:r>
        <w:rPr>
          <w:rtl w:val="true"/>
        </w:rPr>
        <w:t xml:space="preserve">, </w:t>
      </w:r>
      <w:r>
        <w:rPr>
          <w:rtl w:val="true"/>
        </w:rPr>
        <w:t>פתיחת הקופסה שהועברה על פי הטענה מהמערער למנדו ובה היה הרימון</w:t>
      </w:r>
      <w:r>
        <w:rPr>
          <w:rtl w:val="true"/>
        </w:rPr>
        <w:t xml:space="preserve">, </w:t>
      </w:r>
      <w:r>
        <w:rPr>
          <w:rtl w:val="true"/>
        </w:rPr>
        <w:t>וביחס למקום שבו דיברו השניים על הרימון ועל טיבו לראשונה</w:t>
      </w:r>
      <w:r>
        <w:rPr>
          <w:rtl w:val="true"/>
        </w:rPr>
        <w:t xml:space="preserve">. </w:t>
      </w:r>
      <w:r>
        <w:rPr>
          <w:rtl w:val="true"/>
        </w:rPr>
        <w:t>נוכח הסתירות הרבות שנמצאו בעדותו של מנדו בהקשרים אלו</w:t>
      </w:r>
      <w:r>
        <w:rPr>
          <w:rtl w:val="true"/>
        </w:rPr>
        <w:t xml:space="preserve">, </w:t>
      </w:r>
      <w:r>
        <w:rPr>
          <w:rtl w:val="true"/>
        </w:rPr>
        <w:t>כמו גם נוכח העובדה שכלל לא זכר בתחילה לספר על אירועים מהותיים אלה</w:t>
      </w:r>
      <w:r>
        <w:rPr>
          <w:rtl w:val="true"/>
        </w:rPr>
        <w:t xml:space="preserve">, </w:t>
      </w:r>
      <w:r>
        <w:rPr>
          <w:rtl w:val="true"/>
        </w:rPr>
        <w:t>התקשה בית המשפט ליתן אמון בגרסתו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זאת להבדיל מיתר רכיבי עדותו ובכללם בנוגע לבקשת המערער </w:t>
      </w:r>
      <w:r>
        <w:rPr>
          <w:rtl w:val="true"/>
        </w:rPr>
        <w:t>"</w:t>
      </w:r>
      <w:r>
        <w:rPr>
          <w:rtl w:val="true"/>
        </w:rPr>
        <w:t>לשרוף ולירות</w:t>
      </w:r>
      <w:r>
        <w:rPr>
          <w:rtl w:val="true"/>
        </w:rPr>
        <w:t xml:space="preserve">", </w:t>
      </w:r>
      <w:r>
        <w:rPr>
          <w:rtl w:val="true"/>
        </w:rPr>
        <w:t>בה נתן בית המשפט אמון</w:t>
      </w:r>
      <w:r>
        <w:rPr>
          <w:rtl w:val="true"/>
        </w:rPr>
        <w:t xml:space="preserve">. </w:t>
      </w:r>
      <w:r>
        <w:rPr>
          <w:rtl w:val="true"/>
        </w:rPr>
        <w:t>בית המשפט גם ניתח את עדותו של המערער ואת הגרסה שמסר בחקירתו במשטרה</w:t>
      </w:r>
      <w:r>
        <w:rPr>
          <w:rtl w:val="true"/>
        </w:rPr>
        <w:t xml:space="preserve">. </w:t>
      </w:r>
      <w:r>
        <w:rPr>
          <w:rtl w:val="true"/>
        </w:rPr>
        <w:t>לא נעלמו מעיניו של בית המשפט הסתירות שנמצאו בין גרסאותיו השונות של המערער</w:t>
      </w:r>
      <w:r>
        <w:rPr>
          <w:rtl w:val="true"/>
        </w:rPr>
        <w:t xml:space="preserve">, </w:t>
      </w:r>
      <w:r>
        <w:rPr>
          <w:rtl w:val="true"/>
        </w:rPr>
        <w:t>השקרים שהתגלו בדבריו והיותו אדם מניפולטיבי ומתוחכם העוסק מזה שנים רבות כעורך דין בתחום הפלילי</w:t>
      </w:r>
      <w:r>
        <w:rPr>
          <w:rtl w:val="true"/>
        </w:rPr>
        <w:t xml:space="preserve">. </w:t>
      </w:r>
      <w:r>
        <w:rPr>
          <w:rtl w:val="true"/>
        </w:rPr>
        <w:t xml:space="preserve">אולם חרף כל אלה מצא כי קיימים </w:t>
      </w:r>
      <w:r>
        <w:rPr>
          <w:rtl w:val="true"/>
        </w:rPr>
        <w:t>"</w:t>
      </w:r>
      <w:r>
        <w:rPr>
          <w:rtl w:val="true"/>
        </w:rPr>
        <w:t>אותות אמת</w:t>
      </w:r>
      <w:r>
        <w:rPr>
          <w:rtl w:val="true"/>
        </w:rPr>
        <w:t xml:space="preserve">" </w:t>
      </w:r>
      <w:r>
        <w:rPr>
          <w:rtl w:val="true"/>
        </w:rPr>
        <w:t>בגרסה האחרונה שמסר בעניין מסירת הרימון וההוראות לגביו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בית המשפט התרשם מדבריו של המערער בעדותו כי הוא היה מודע לכך ששריפת כלי הרכב עשויה הייתה לסכן חיי אדם</w:t>
      </w:r>
      <w:r>
        <w:rPr>
          <w:rtl w:val="true"/>
        </w:rPr>
        <w:t xml:space="preserve">, </w:t>
      </w:r>
      <w:r>
        <w:rPr>
          <w:rtl w:val="true"/>
        </w:rPr>
        <w:t>וזאת הגם שבהמשך עדותו חזר בו מכך</w:t>
      </w:r>
      <w:r>
        <w:rPr>
          <w:rtl w:val="true"/>
        </w:rPr>
        <w:t xml:space="preserve">. </w:t>
      </w:r>
      <w:r>
        <w:rPr>
          <w:rtl w:val="true"/>
        </w:rPr>
        <w:t>קביעות אלה המבוססות כאמור כולן על הערכת המהימנות של בית המשפט</w:t>
      </w:r>
      <w:r>
        <w:rPr>
          <w:rtl w:val="true"/>
        </w:rPr>
        <w:t xml:space="preserve">, </w:t>
      </w:r>
      <w:r>
        <w:rPr>
          <w:rtl w:val="true"/>
        </w:rPr>
        <w:t>אינן נמנות אפוא עם הקביעות המצדיקות התערבות בממצאי עובדה של הערכאה הדיונית</w:t>
      </w:r>
      <w:r>
        <w:rPr>
          <w:rtl w:val="true"/>
        </w:rPr>
        <w:t xml:space="preserve">. </w:t>
      </w:r>
      <w:r>
        <w:rPr>
          <w:rtl w:val="true"/>
        </w:rPr>
        <w:t>על כן הממצאים והמסקנות של בית המשפט המחוזי הם אלו העומדים לפנינו על בסיסם יש לגזור את המסקנות המשפטיות כדלקמן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ומכאן לגופו של עניין</w:t>
      </w:r>
      <w:r>
        <w:rPr>
          <w:rtl w:val="true"/>
        </w:rPr>
        <w:t xml:space="preserve">. </w:t>
      </w:r>
      <w:r>
        <w:rPr>
          <w:rtl w:val="true"/>
        </w:rPr>
        <w:t>תחילה ייאמר כי מקובלת עליי קביעתו של בית המשפט המחוזי לפיה למערער הייתה מודעות סובייקטיבית ולכל הפחות הוא עצם את עיניו באשר לאפשרות ביצוע העבירות החורגות מהוראותיו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גרסתו מטרת העל של התכנית העבריינית הייתה להפחיד את ע</w:t>
      </w:r>
      <w:r>
        <w:rPr>
          <w:rtl w:val="true"/>
        </w:rPr>
        <w:t xml:space="preserve">' </w:t>
      </w:r>
      <w:r>
        <w:rPr>
          <w:rtl w:val="true"/>
        </w:rPr>
        <w:t xml:space="preserve">על מנת שיעזוב את ביתו ויעבור להתגורר בחברון </w:t>
      </w:r>
      <w:r>
        <w:rPr>
          <w:rtl w:val="true"/>
        </w:rPr>
        <w:t xml:space="preserve">[...]. </w:t>
      </w:r>
      <w:r>
        <w:rPr>
          <w:rtl w:val="true"/>
        </w:rPr>
        <w:t>וכך הוא עצמו מסר בעדותו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']...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.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ממנדו</w:t>
      </w:r>
      <w:r>
        <w:rPr>
          <w:rtl w:val="true"/>
        </w:rPr>
        <w:t xml:space="preserve">...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. </w:t>
      </w:r>
      <w:r>
        <w:rPr>
          <w:rtl w:val="true"/>
        </w:rPr>
        <w:t>תחזרו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לחברון</w:t>
      </w:r>
      <w:r>
        <w:rPr>
          <w:rtl w:val="true"/>
        </w:rPr>
        <w:t>.</w:t>
      </w:r>
      <w:r>
        <w:rPr>
          <w:rtl w:val="true"/>
        </w:rPr>
        <w:t xml:space="preserve">..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...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תקשיב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תשרוף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 </w:t>
      </w:r>
      <w:r>
        <w:rPr>
          <w:rtl w:val="true"/>
        </w:rPr>
        <w:t>בחברון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224-216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רכביהם</w:t>
      </w:r>
      <w:r>
        <w:rPr>
          <w:rtl w:val="true"/>
        </w:rPr>
        <w:t xml:space="preserve">.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שהפחדתם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רימון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למנדו היה חשוב לרצות את המערער</w:t>
      </w:r>
      <w:r>
        <w:rPr>
          <w:rtl w:val="true"/>
        </w:rPr>
        <w:t xml:space="preserve">, </w:t>
      </w:r>
      <w:r>
        <w:rPr>
          <w:rtl w:val="true"/>
        </w:rPr>
        <w:t>והמערער היה ער לכך</w:t>
      </w:r>
      <w:r>
        <w:rPr>
          <w:rtl w:val="true"/>
        </w:rPr>
        <w:t xml:space="preserve">. </w:t>
      </w:r>
      <w:r>
        <w:rPr>
          <w:rtl w:val="true"/>
        </w:rPr>
        <w:t>כפי שעולה מעדותו</w:t>
      </w:r>
      <w:r>
        <w:rPr>
          <w:rtl w:val="true"/>
        </w:rPr>
        <w:t xml:space="preserve">, </w:t>
      </w:r>
      <w:r>
        <w:rPr>
          <w:rtl w:val="true"/>
        </w:rPr>
        <w:t xml:space="preserve">הוא העסיק את מנדו במשרדו 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על רקע פנייה מצד בנו אשר הכיר את מנדו וידע כי הוא חווה קשיים במציאת עבודה בעקבות עברו הפלילי שכלל ריצוי מאסר ממושך ביותר</w:t>
      </w:r>
      <w:r>
        <w:rPr>
          <w:rtl w:val="true"/>
        </w:rPr>
        <w:t xml:space="preserve">. </w:t>
      </w:r>
      <w:r>
        <w:rPr>
          <w:rtl w:val="true"/>
        </w:rPr>
        <w:t>וכך אמר המערער בעדותו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בפברואר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במרץ</w:t>
      </w:r>
      <w:r>
        <w:rPr>
          <w:rtl w:val="true"/>
        </w:rPr>
        <w:t xml:space="preserve">,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וואסים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סאהר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וסהאר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השליחויות</w:t>
      </w:r>
      <w:r>
        <w:rPr>
          <w:rtl w:val="true"/>
        </w:rPr>
        <w:t xml:space="preserve">. </w:t>
      </w:r>
      <w:r>
        <w:rPr>
          <w:rtl w:val="true"/>
        </w:rPr>
        <w:t>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תעזור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קיבלתי</w:t>
      </w:r>
      <w:r>
        <w:rPr>
          <w:rtl w:val="true"/>
        </w:rPr>
        <w:t xml:space="preserve">. </w:t>
      </w:r>
      <w:r>
        <w:rPr>
          <w:rtl w:val="true"/>
        </w:rPr>
        <w:t>קיבלתי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>..."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20-11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231-229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וכוח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  <w:r>
        <w:rPr>
          <w:rtl w:val="true"/>
        </w:rPr>
        <w:t>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הביריוניות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לאמל</w:t>
      </w:r>
      <w:r>
        <w:rPr>
          <w:rtl w:val="true"/>
        </w:rPr>
        <w:t xml:space="preserve">. </w:t>
      </w:r>
      <w:r>
        <w:rPr>
          <w:rtl w:val="true"/>
        </w:rPr>
        <w:t>אמל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?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בסלנג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שמסתובבים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בצחוק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tl w:val="true"/>
        </w:rPr>
        <w:t xml:space="preserve">?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? </w:t>
      </w:r>
      <w:r>
        <w:rPr>
          <w:rtl w:val="true"/>
        </w:rPr>
        <w:t>תיזהר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ותמיד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הסלנג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רצה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. </w:t>
      </w:r>
      <w:r>
        <w:rPr>
          <w:rtl w:val="true"/>
        </w:rPr>
        <w:t>חיפש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17-6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233-232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וכדבריו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גברתי</w:t>
      </w:r>
      <w:r>
        <w:rPr>
          <w:rtl w:val="true"/>
        </w:rPr>
        <w:t xml:space="preserve">, </w:t>
      </w:r>
      <w:r>
        <w:rPr>
          <w:rtl w:val="true"/>
        </w:rPr>
        <w:t>בשיא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הרצינות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היונדאי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15-2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 ...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? </w:t>
      </w:r>
      <w:r>
        <w:rPr>
          <w:rtl w:val="true"/>
        </w:rPr>
        <w:t>שירכוש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, </w:t>
      </w:r>
      <w:r>
        <w:rPr>
          <w:rtl w:val="true"/>
        </w:rPr>
        <w:t>שירכוש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מכספו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מכיסו</w:t>
      </w:r>
      <w:r>
        <w:rPr>
          <w:rtl w:val="true"/>
        </w:rPr>
        <w:t xml:space="preserve">, </w:t>
      </w:r>
      <w:r>
        <w:rPr>
          <w:rtl w:val="true"/>
        </w:rPr>
        <w:t>מהפה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...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מנדו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[</w:t>
      </w:r>
      <w:r>
        <w:rPr>
          <w:rtl w:val="true"/>
        </w:rPr>
        <w:t>מנדו</w:t>
      </w:r>
      <w:r>
        <w:rPr>
          <w:rtl w:val="true"/>
        </w:rPr>
        <w:t xml:space="preserve">]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19.12.2019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23-11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316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5-1</w:t>
      </w:r>
      <w:r>
        <w:rPr>
          <w:rtl w:val="true"/>
        </w:rPr>
        <w:t xml:space="preserve"> </w:t>
      </w:r>
      <w:r>
        <w:rPr>
          <w:rtl w:val="true"/>
        </w:rPr>
        <w:t>ושורות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21-19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בהתאם לקביעתו העובדתית של בית המשפט המחוזי שהתבססה על הערכת מהימנות</w:t>
      </w:r>
      <w:r>
        <w:rPr>
          <w:rtl w:val="true"/>
        </w:rPr>
        <w:t xml:space="preserve">, </w:t>
      </w:r>
      <w:r>
        <w:rPr>
          <w:rtl w:val="true"/>
        </w:rPr>
        <w:t>המערער היה מודע עוד לפני אירוע השלכת הרימון לעובדה שמנדו החליט מיוזמתו לאיים גם על אמו של ע</w:t>
      </w:r>
      <w:r>
        <w:rPr>
          <w:rtl w:val="true"/>
        </w:rPr>
        <w:t xml:space="preserve">', </w:t>
      </w:r>
      <w:r>
        <w:rPr>
          <w:rtl w:val="true"/>
        </w:rPr>
        <w:t>הגם שלא התבקש לעשות כן</w:t>
      </w:r>
      <w:r>
        <w:rPr>
          <w:rtl w:val="true"/>
        </w:rPr>
        <w:t xml:space="preserve">. </w:t>
      </w:r>
      <w:r>
        <w:rPr>
          <w:rtl w:val="true"/>
        </w:rPr>
        <w:t>המערער מסר מספר גרסאות ביחס למודעותו לכך</w:t>
      </w:r>
      <w:r>
        <w:rPr>
          <w:rtl w:val="true"/>
        </w:rPr>
        <w:t xml:space="preserve">, </w:t>
      </w:r>
      <w:r>
        <w:rPr>
          <w:rtl w:val="true"/>
        </w:rPr>
        <w:t>ולפחות לפי אחת מהן הוא ידע על האיומים כלפי האם קודם לליל האירוע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יצוין כי בית המשפט פרט באריכות את עדותו המשתנה של המערער בנוגע לאיומים על האם ובסופו של דבר קבע כי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 </w:t>
      </w:r>
      <w:r>
        <w:rPr>
          <w:rtl w:val="true"/>
        </w:rPr>
        <w:t>לתת</w:t>
      </w:r>
      <w:r>
        <w:rPr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 </w:t>
      </w:r>
      <w:r>
        <w:rPr>
          <w:rtl w:val="true"/>
        </w:rPr>
        <w:t>בגרסת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שהאם</w:t>
      </w:r>
      <w:r>
        <w:rPr>
          <w:rtl w:val="true"/>
        </w:rPr>
        <w:t xml:space="preserve"> </w:t>
      </w:r>
      <w:r>
        <w:rPr>
          <w:rtl w:val="true"/>
        </w:rPr>
        <w:t>אוימה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שהבין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 </w:t>
      </w:r>
      <w:r>
        <w:rPr>
          <w:rtl w:val="true"/>
        </w:rPr>
        <w:t>להרחיק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87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לאחר ביצוע האיומים מנדו הביע לפני המערער את דעתו כי האיומים אינם אפקטיביים</w:t>
      </w:r>
      <w:r>
        <w:rPr>
          <w:rtl w:val="true"/>
        </w:rPr>
        <w:t xml:space="preserve">, </w:t>
      </w:r>
      <w:r>
        <w:rPr>
          <w:rtl w:val="true"/>
        </w:rPr>
        <w:t>הביע כעס כלפי ע</w:t>
      </w:r>
      <w:r>
        <w:rPr>
          <w:rtl w:val="true"/>
        </w:rPr>
        <w:t xml:space="preserve">' </w:t>
      </w:r>
      <w:r>
        <w:rPr>
          <w:rtl w:val="true"/>
        </w:rPr>
        <w:t xml:space="preserve">ואף ציין כי יש </w:t>
      </w:r>
      <w:r>
        <w:rPr>
          <w:rtl w:val="true"/>
        </w:rPr>
        <w:t>"</w:t>
      </w:r>
      <w:r>
        <w:rPr>
          <w:rtl w:val="true"/>
        </w:rPr>
        <w:t>ללמד אותו לקח</w:t>
      </w:r>
      <w:r>
        <w:rPr>
          <w:rtl w:val="true"/>
        </w:rPr>
        <w:t xml:space="preserve">". </w:t>
      </w:r>
      <w:r>
        <w:rPr>
          <w:rtl w:val="true"/>
        </w:rPr>
        <w:t>וכפי שציין המערער בחקירתו הראשית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 ...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תאיים</w:t>
      </w:r>
      <w:r>
        <w:rPr>
          <w:rtl w:val="true"/>
        </w:rPr>
        <w:t xml:space="preserve">? </w:t>
      </w:r>
      <w:r>
        <w:rPr>
          <w:rtl w:val="true"/>
        </w:rPr>
        <w:t>תאיים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, </w:t>
      </w:r>
      <w:r>
        <w:rPr>
          <w:rtl w:val="true"/>
        </w:rPr>
        <w:t>תאיים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האבא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איימת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...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בחוצפן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בערבית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אוקח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אוקח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חוצפן</w:t>
      </w:r>
      <w:r>
        <w:rPr>
          <w:rtl w:val="true"/>
        </w:rPr>
        <w:t xml:space="preserve">? </w:t>
      </w:r>
      <w:r>
        <w:rPr>
          <w:rtl w:val="true"/>
        </w:rPr>
        <w:t>חוצפן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חוצפן</w:t>
      </w:r>
      <w:r>
        <w:rPr>
          <w:rtl w:val="true"/>
        </w:rPr>
        <w:t xml:space="preserve">. </w:t>
      </w:r>
      <w:r>
        <w:rPr>
          <w:rtl w:val="true"/>
        </w:rPr>
        <w:t>חוצפן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ותשמע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חוצפן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חוצפן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שהאיומים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?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. </w:t>
      </w:r>
      <w:r>
        <w:rPr>
          <w:rtl w:val="true"/>
        </w:rPr>
        <w:t>דיברנו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תקשיב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תקשיב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מהאיומים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218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32-31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16-1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242-241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כאשר המערער ביקש להחריף את הצעדים נגד ע</w:t>
      </w:r>
      <w:r>
        <w:rPr>
          <w:rtl w:val="true"/>
        </w:rPr>
        <w:t xml:space="preserve">', </w:t>
      </w:r>
      <w:r>
        <w:rPr>
          <w:rtl w:val="true"/>
        </w:rPr>
        <w:t>מנדו הביע את שביעות רצונו מכך</w:t>
      </w:r>
      <w:r>
        <w:rPr>
          <w:rtl w:val="true"/>
        </w:rPr>
        <w:t xml:space="preserve">. </w:t>
      </w:r>
      <w:r>
        <w:rPr>
          <w:rtl w:val="true"/>
        </w:rPr>
        <w:t>וכפי שהעיד המערער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תקשיב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.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תשרוף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מרוצה</w:t>
      </w:r>
      <w:r>
        <w:rPr>
          <w:rtl w:val="true"/>
        </w:rPr>
        <w:t xml:space="preserve">. </w:t>
      </w:r>
      <w:r>
        <w:rPr>
          <w:rtl w:val="true"/>
        </w:rPr>
        <w:t>שמח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מצוין</w:t>
      </w:r>
      <w:r>
        <w:rPr>
          <w:rtl w:val="true"/>
        </w:rPr>
        <w:t>..."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24-22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14-13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 ...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?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מרוצה</w:t>
      </w:r>
      <w:r>
        <w:rPr>
          <w:rtl w:val="true"/>
        </w:rPr>
        <w:t xml:space="preserve">. 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מרוצה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ואללה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מרוצה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</w:t>
      </w:r>
      <w:r>
        <w:rPr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תתאר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tl w:val="true"/>
        </w:rPr>
        <w:t xml:space="preserve">? 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חייך</w:t>
      </w:r>
      <w:r>
        <w:rPr>
          <w:rtl w:val="true"/>
        </w:rPr>
        <w:t xml:space="preserve">, </w:t>
      </w:r>
      <w:r>
        <w:rPr>
          <w:rtl w:val="true"/>
        </w:rPr>
        <w:t>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 </w:t>
      </w:r>
      <w:r>
        <w:rPr>
          <w:rtl w:val="true"/>
        </w:rPr>
        <w:t>חוצפן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 xml:space="preserve">']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הלקח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']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.)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לאיים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19.12.2019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266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12-3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גם כן בהתאם לקביעתו העובדתית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בעת הפגישה שהתקיימה בתחנת הדלק ביום שקדם לאירוע יידוי הרימון</w:t>
      </w:r>
      <w:r>
        <w:rPr>
          <w:rtl w:val="true"/>
        </w:rPr>
        <w:t xml:space="preserve">, </w:t>
      </w:r>
      <w:r>
        <w:rPr>
          <w:rtl w:val="true"/>
        </w:rPr>
        <w:t>המערער הורה למנדו לשרוף את כלי הרכב של המתלוננים או לירות בהם</w:t>
      </w:r>
      <w:r>
        <w:rPr>
          <w:rtl w:val="true"/>
        </w:rPr>
        <w:t xml:space="preserve">. </w:t>
      </w:r>
      <w:r>
        <w:rPr>
          <w:rtl w:val="true"/>
        </w:rPr>
        <w:t>זאת על יסוד עדותו של מנדו בה מסר את הדברים 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: ...</w:t>
      </w:r>
      <w:r>
        <w:rPr>
          <w:rtl w:val="true"/>
        </w:rPr>
        <w:t>עליתי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לירושלים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ולעשות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מנדו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לשרוף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תדייק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לשרוף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רעש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לשרוף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ספציפי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אוקי</w:t>
      </w:r>
      <w:r>
        <w:rPr>
          <w:rtl w:val="true"/>
        </w:rPr>
        <w:t xml:space="preserve">,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לשרוף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אצלי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12-2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בהינתן כלל הנסיבות המתוארות</w:t>
      </w:r>
      <w:r>
        <w:rPr>
          <w:rtl w:val="true"/>
        </w:rPr>
        <w:t xml:space="preserve">, </w:t>
      </w:r>
      <w:r>
        <w:rPr>
          <w:rtl w:val="true"/>
        </w:rPr>
        <w:t>קשה לקבל את הטענה כי המערער לא היה מודע לאפשרות שמנדו יפעל להשיג אמצעים לרבות כלי נשק וחומרים נפיצים</w:t>
      </w:r>
      <w:r>
        <w:rPr>
          <w:rtl w:val="true"/>
        </w:rPr>
        <w:t xml:space="preserve">, </w:t>
      </w:r>
      <w:r>
        <w:rPr>
          <w:rtl w:val="true"/>
        </w:rPr>
        <w:t>ויעשה בהם שימוש לפגיעה ברכושם של המתלוננים לצורך השגת המטרה העיקרית שלשמה נשלח על ידי המערער ולהגברת שביעות רצונו</w:t>
      </w:r>
      <w:r>
        <w:rPr>
          <w:rtl w:val="true"/>
        </w:rPr>
        <w:t xml:space="preserve">. </w:t>
      </w:r>
      <w:r>
        <w:rPr>
          <w:rtl w:val="true"/>
        </w:rPr>
        <w:t xml:space="preserve">לכל הפחות ניתן לומר כי המערער חשד באפשרות זו וחרף זאת נמנע מלוודא מול מנדו שהוא נצמד להסכמות שגובשו ביניהם ואינו </w:t>
      </w:r>
      <w:r>
        <w:rPr>
          <w:rtl w:val="true"/>
        </w:rPr>
        <w:t>"</w:t>
      </w:r>
      <w:r>
        <w:rPr>
          <w:rtl w:val="true"/>
        </w:rPr>
        <w:t>מגדיל ראש</w:t>
      </w:r>
      <w:r>
        <w:rPr>
          <w:rtl w:val="true"/>
        </w:rPr>
        <w:t xml:space="preserve">" </w:t>
      </w:r>
      <w:r>
        <w:rPr>
          <w:rtl w:val="true"/>
        </w:rPr>
        <w:t>כפי שנהג לעשות קודם לכן</w:t>
      </w:r>
      <w:r>
        <w:rPr>
          <w:rtl w:val="true"/>
        </w:rPr>
        <w:t xml:space="preserve">. </w:t>
      </w:r>
      <w:r>
        <w:rPr>
          <w:rtl w:val="true"/>
        </w:rPr>
        <w:t xml:space="preserve">זאת גם בהינתן ששימוש ברימון מהווה </w:t>
      </w:r>
      <w:r>
        <w:rPr>
          <w:rtl w:val="true"/>
        </w:rPr>
        <w:t>"</w:t>
      </w:r>
      <w:r>
        <w:rPr>
          <w:rtl w:val="true"/>
        </w:rPr>
        <w:t>העלאת מדרגה</w:t>
      </w:r>
      <w:r>
        <w:rPr>
          <w:rtl w:val="true"/>
        </w:rPr>
        <w:t xml:space="preserve">" </w:t>
      </w:r>
      <w:r>
        <w:rPr>
          <w:rtl w:val="true"/>
        </w:rPr>
        <w:t>משימוש בכלי ירי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בהקשר זה אבהיר כי אין לקבל את טענת המערער לפיה המסקנה בדבר מודעותו הסובייקטיבית או עצימת עיניו לאפשרות עשייתן של העבירות הנוספות אינה מתיישבת עם המסקנה כי הוא דאג ל</w:t>
      </w:r>
      <w:r>
        <w:rPr>
          <w:rtl w:val="true"/>
        </w:rPr>
        <w:t>-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ולילדיה וביקש ממנדו שלא לפגוע ברכבה</w:t>
      </w:r>
      <w:r>
        <w:rPr>
          <w:rtl w:val="true"/>
        </w:rPr>
        <w:t xml:space="preserve">. </w:t>
      </w:r>
      <w:r>
        <w:rPr>
          <w:rtl w:val="true"/>
        </w:rPr>
        <w:t>כפי שטענה המשיבה</w:t>
      </w:r>
      <w:r>
        <w:rPr>
          <w:rtl w:val="true"/>
        </w:rPr>
        <w:t xml:space="preserve">, </w:t>
      </w:r>
      <w:r>
        <w:rPr>
          <w:rtl w:val="true"/>
        </w:rPr>
        <w:t>שריפת כלי הרכב בקרבת ביתם של ס</w:t>
      </w:r>
      <w:r>
        <w:rPr>
          <w:rtl w:val="true"/>
        </w:rPr>
        <w:t xml:space="preserve">' </w:t>
      </w:r>
      <w:r>
        <w:rPr>
          <w:rtl w:val="true"/>
        </w:rPr>
        <w:t>וילדיה עשויה הייתה אף היא להעמידם בסכנה</w:t>
      </w:r>
      <w:r>
        <w:rPr>
          <w:rtl w:val="true"/>
        </w:rPr>
        <w:t xml:space="preserve">, </w:t>
      </w:r>
      <w:r>
        <w:rPr>
          <w:rtl w:val="true"/>
        </w:rPr>
        <w:t>ועל פי קביעתו העובדתית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 היה כאמור מודע לכך</w:t>
      </w:r>
      <w:r>
        <w:rPr>
          <w:rtl w:val="true"/>
        </w:rPr>
        <w:t xml:space="preserve">. </w:t>
      </w:r>
      <w:r>
        <w:rPr>
          <w:rtl w:val="true"/>
        </w:rPr>
        <w:t>כך שאף אם דאגה זו הובילה את בית המשפט לקבוע כי הוא לא העביר למנדו את הרימון ולא ביקש ממנו להשליכו</w:t>
      </w:r>
      <w:r>
        <w:rPr>
          <w:rtl w:val="true"/>
        </w:rPr>
        <w:t xml:space="preserve">, </w:t>
      </w:r>
      <w:r>
        <w:rPr>
          <w:rtl w:val="true"/>
        </w:rPr>
        <w:t>אין היא מוליכה למסקנה כי המערער לא היה מודע לאפשרות שמנדו עלול לבצע עבירה אחרת חמורה בעצמתה שעשויה אף היא לסכן את ס</w:t>
      </w:r>
      <w:r>
        <w:rPr>
          <w:rtl w:val="true"/>
        </w:rPr>
        <w:t xml:space="preserve">' </w:t>
      </w:r>
      <w:r>
        <w:rPr>
          <w:rtl w:val="true"/>
        </w:rPr>
        <w:t>וילדיה</w:t>
      </w:r>
      <w:r>
        <w:rPr>
          <w:rtl w:val="true"/>
        </w:rPr>
        <w:t xml:space="preserve">. [...].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נוכח האמור מתייתר הצורך לדון בשאלה האם </w:t>
      </w:r>
      <w:r>
        <w:rPr>
          <w:rtl w:val="true"/>
        </w:rPr>
        <w:t>"</w:t>
      </w:r>
      <w:r>
        <w:rPr>
          <w:rtl w:val="true"/>
        </w:rPr>
        <w:t>אדם מן היישוב</w:t>
      </w:r>
      <w:r>
        <w:rPr>
          <w:rtl w:val="true"/>
        </w:rPr>
        <w:t xml:space="preserve">" </w:t>
      </w:r>
      <w:r>
        <w:rPr>
          <w:rtl w:val="true"/>
        </w:rPr>
        <w:t>היה מודע לאפשרות ביצוע העבירות של נשיאת נשק והיזק בחומר נפיץ</w:t>
      </w:r>
      <w:r>
        <w:rPr>
          <w:rtl w:val="true"/>
        </w:rPr>
        <w:t xml:space="preserve">. </w:t>
      </w:r>
      <w:r>
        <w:rPr>
          <w:rtl w:val="true"/>
        </w:rPr>
        <w:t>התוצאה היא אפוא שלא נפל פגם בהכרעת הדין של בית המשפט המחוזי וערעור המערער בהקשר זה דינו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בנוסף לערעור על הכרעת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יש מקום להקל בעונשו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ראו לדוגמה לאחרונה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4303/22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מקרה זה אינו בא בגדרם של המקרים החריגים המצדיקים התערבות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העונש שהושת על המערער מתון בנסיבות העניין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בערעורו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בקביעת מתחמי העונש ההולם ביחס לשני האישומים</w:t>
      </w:r>
      <w:r>
        <w:rPr>
          <w:rtl w:val="true"/>
        </w:rPr>
        <w:t xml:space="preserve">; </w:t>
      </w:r>
      <w:r>
        <w:rPr>
          <w:rtl w:val="true"/>
        </w:rPr>
        <w:t>וכי שגה בית המשפט בכך שלא חרג לקולא ממתחמי הענישה משיקולי שיקום וצדק</w:t>
      </w:r>
      <w:r>
        <w:rPr>
          <w:rtl w:val="true"/>
        </w:rPr>
        <w:t xml:space="preserve">. </w:t>
      </w:r>
      <w:r>
        <w:rPr>
          <w:rtl w:val="true"/>
        </w:rPr>
        <w:t>אין בידי לקבל טענות אלה</w:t>
      </w:r>
      <w:r>
        <w:rPr>
          <w:rtl w:val="true"/>
        </w:rPr>
        <w:t xml:space="preserve">. </w:t>
      </w:r>
      <w:r>
        <w:rPr>
          <w:rtl w:val="true"/>
        </w:rPr>
        <w:t>הלכה ידועה היא שערכאת הערעור מתמקדת בתוצאה העונשית הסופית של גזר הדין</w:t>
      </w:r>
      <w:r>
        <w:rPr>
          <w:rtl w:val="true"/>
        </w:rPr>
        <w:t xml:space="preserve">, </w:t>
      </w:r>
      <w:r>
        <w:rPr>
          <w:rtl w:val="true"/>
        </w:rPr>
        <w:t>וטענות לפגמים באופן יישום מנגנון הבניית שיקול הדעת הקבוע ב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אינן מצדיקות כשלעצמן התערבות בגזר הדין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בכל הנוגע לסטייה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אוסיף כי כפי שנקבע לא אחת</w:t>
      </w:r>
      <w:r>
        <w:rPr>
          <w:rtl w:val="true"/>
        </w:rPr>
        <w:t xml:space="preserve">, </w:t>
      </w:r>
      <w:r>
        <w:rPr>
          <w:rtl w:val="true"/>
        </w:rPr>
        <w:t xml:space="preserve">סטייה כאמור שמורה למקרים שבהם ניכרים בפועל סיכויי שיקום מובהקים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 xml:space="preserve">);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7757/21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מרזוקי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אלא שכפי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הגם שהמערער החל בטיפול פסיכולוגי ואף הביע לפני שירות המבחן אמפתיה לנפגעי העבירה וחש רצון לכפר על מעשיו </w:t>
      </w:r>
      <w:r>
        <w:rPr>
          <w:rtl w:val="true"/>
        </w:rPr>
        <w:t>(</w:t>
      </w:r>
      <w:r>
        <w:rPr>
          <w:rtl w:val="true"/>
        </w:rPr>
        <w:t xml:space="preserve">כפי שגם עולה מהתסקיר העדכני שהוגש לנו ביום </w:t>
      </w:r>
      <w:r>
        <w:rPr/>
        <w:t>1.12.2022</w:t>
      </w:r>
      <w:r>
        <w:rPr>
          <w:rtl w:val="true"/>
        </w:rPr>
        <w:t xml:space="preserve">), </w:t>
      </w:r>
      <w:r>
        <w:rPr>
          <w:rtl w:val="true"/>
        </w:rPr>
        <w:t>אין מדובר בהליך שיקומי משמעותי המצדיק סטייה ממתחם העונש ההולם</w:t>
      </w:r>
      <w:r>
        <w:rPr>
          <w:rtl w:val="true"/>
        </w:rPr>
        <w:t xml:space="preserve">. </w:t>
      </w:r>
      <w:r>
        <w:rPr>
          <w:rtl w:val="true"/>
        </w:rPr>
        <w:t>למותר לציין בהקשר זה כי המלצת שירות המבחן אינה מחייבת את בית המשפט</w:t>
      </w:r>
      <w:r>
        <w:rPr>
          <w:rtl w:val="true"/>
        </w:rPr>
        <w:t xml:space="preserve"> </w:t>
      </w:r>
      <w:r>
        <w:rPr>
          <w:rtl w:val="true"/>
        </w:rPr>
        <w:t xml:space="preserve">אלא היא מהווה </w:t>
      </w:r>
      <w:r>
        <w:rPr>
          <w:rtl w:val="true"/>
        </w:rPr>
        <w:t>כלי</w:t>
      </w:r>
      <w:r>
        <w:rPr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 </w:t>
      </w:r>
      <w:r>
        <w:rPr>
          <w:rtl w:val="true"/>
        </w:rPr>
        <w:t xml:space="preserve">בידיו בעת גזירת הדין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14.7.2022</w:t>
      </w:r>
      <w:r>
        <w:rPr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חזות</w:t>
      </w:r>
      <w:r>
        <w:rPr>
          <w:rtl w:val="true"/>
        </w:rPr>
        <w:t xml:space="preserve"> </w:t>
      </w:r>
      <w:r>
        <w:rPr>
          <w:rtl w:val="true"/>
        </w:rPr>
        <w:t>הכ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ולצדם</w:t>
      </w:r>
      <w:r>
        <w:rPr>
          <w:rtl w:val="true"/>
        </w:rPr>
        <w:t xml:space="preserve"> </w:t>
      </w:r>
      <w:r>
        <w:rPr>
          <w:rtl w:val="true"/>
        </w:rPr>
        <w:t xml:space="preserve">ניצבים </w:t>
      </w:r>
      <w:r>
        <w:rPr>
          <w:rtl w:val="true"/>
        </w:rPr>
        <w:t>–</w:t>
      </w:r>
      <w:r>
        <w:rPr>
          <w:rtl w:val="true"/>
        </w:rPr>
        <w:t xml:space="preserve"> במיוחד בעבירה חמורה מסוג זה של יידוי רימון לעבר בית מגורים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 כגון שיקולי </w:t>
      </w:r>
      <w:r>
        <w:rPr>
          <w:rtl w:val="true"/>
        </w:rPr>
        <w:t>גמול</w:t>
      </w:r>
      <w:r>
        <w:rPr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מסאלחה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9.8.2022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התוצאה העונשית אינה מגלה אפוא כל עילה להתערבותנו</w:t>
      </w:r>
      <w:r>
        <w:rPr>
          <w:rtl w:val="true"/>
        </w:rPr>
        <w:t xml:space="preserve">. </w:t>
      </w:r>
      <w:r>
        <w:rPr>
          <w:rtl w:val="true"/>
        </w:rPr>
        <w:t>אין צורך להכביר במילים על החומרה היתרה הגלומה במעשיו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חומרה זו נובעת לא רק מטיב העבירות בהן הורשע </w:t>
      </w:r>
      <w:r>
        <w:rPr>
          <w:rtl w:val="true"/>
        </w:rPr>
        <w:t>–</w:t>
      </w:r>
      <w:r>
        <w:rPr>
          <w:rtl w:val="true"/>
        </w:rPr>
        <w:t xml:space="preserve"> ובעיקרן איומים</w:t>
      </w:r>
      <w:r>
        <w:rPr>
          <w:rtl w:val="true"/>
        </w:rPr>
        <w:t xml:space="preserve">, </w:t>
      </w:r>
      <w:r>
        <w:rPr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היזק בחומר נפיץ </w:t>
      </w:r>
      <w:r>
        <w:rPr>
          <w:rtl w:val="true"/>
        </w:rPr>
        <w:t>(</w:t>
      </w:r>
      <w:r>
        <w:rPr>
          <w:rtl w:val="true"/>
        </w:rPr>
        <w:t>וראו בפסיקתו של בית משפט זה על אודות חומרתן של עבירות אלה והערכים המוגנים הניצבים בבסיסן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11-10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29.4.2021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81">
        <w:r>
          <w:rPr>
            <w:rStyle w:val="Hyperlink"/>
            <w:color w:val="0000FF"/>
            <w:u w:val="single"/>
            <w:rtl w:val="true"/>
          </w:rPr>
          <w:t>רע״פ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ס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, </w:t>
      </w:r>
      <w:r>
        <w:rPr/>
        <w:t>106-105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)); </w:t>
      </w:r>
      <w:r>
        <w:rPr>
          <w:rtl w:val="true"/>
        </w:rPr>
        <w:t>אלא גם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מהאופן שבו הן בוצעו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לא מדובר בענייננו במעידה רגעית</w:t>
      </w:r>
      <w:r>
        <w:rPr>
          <w:rtl w:val="true"/>
        </w:rPr>
        <w:t xml:space="preserve">. </w:t>
      </w:r>
      <w:r>
        <w:rPr>
          <w:rtl w:val="true"/>
        </w:rPr>
        <w:t>מדובר בתכנית עבריינית מתפתחת שתוכננה על ידי אדם שלא שלט ביצריו</w:t>
      </w:r>
      <w:r>
        <w:rPr>
          <w:rtl w:val="true"/>
        </w:rPr>
        <w:t xml:space="preserve">, </w:t>
      </w:r>
      <w:r>
        <w:rPr>
          <w:rtl w:val="true"/>
        </w:rPr>
        <w:t>והורה לאדם אחר המתפרנס מתוך ידו לבצע מעשים חמורים ביותר</w:t>
      </w:r>
      <w:r>
        <w:rPr>
          <w:rtl w:val="true"/>
        </w:rPr>
        <w:t xml:space="preserve">, </w:t>
      </w:r>
      <w:r>
        <w:rPr>
          <w:rtl w:val="true"/>
        </w:rPr>
        <w:t>אשר רק במזל לא גרמו לנפגעים בגוף ובנפש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נקבע כי המערער לא הורה מפורשות למנדו ליידות רימון על ביתם של המתלוננים ולא העביר לו את הרימון</w:t>
      </w:r>
      <w:r>
        <w:rPr>
          <w:rtl w:val="true"/>
        </w:rPr>
        <w:t xml:space="preserve">, </w:t>
      </w:r>
      <w:r>
        <w:rPr>
          <w:rtl w:val="true"/>
        </w:rPr>
        <w:t>אולם כאמור הוא התעלם מהאפשרות המסתברת של סטייה מהתכנית העבריינית שהגה ולמצער אדם מן היישוב היה מודע לכך</w:t>
      </w:r>
      <w:r>
        <w:rPr>
          <w:rtl w:val="true"/>
        </w:rPr>
        <w:t xml:space="preserve">. </w:t>
      </w:r>
      <w:r>
        <w:rPr>
          <w:rtl w:val="true"/>
        </w:rPr>
        <w:t>חומרתם הרבה של המעשים באה לידי ביטוי גם בכך שהמערער ניצל את מעמדו כעורך דין לצורך ביצוע העבירות</w:t>
      </w:r>
      <w:r>
        <w:rPr>
          <w:rtl w:val="true"/>
        </w:rPr>
        <w:t xml:space="preserve">. </w:t>
      </w:r>
      <w:r>
        <w:rPr>
          <w:rtl w:val="true"/>
        </w:rPr>
        <w:t>בפעם הראשונה הוא ניצל מעמדו זה בכך שעשה שימוש במידע שנמסר לו על ידי המתלוננים במסגרת ייצוגם לצורך ביצוע העבירות כלפיהם</w:t>
      </w:r>
      <w:r>
        <w:rPr>
          <w:rtl w:val="true"/>
        </w:rPr>
        <w:t xml:space="preserve">; </w:t>
      </w:r>
      <w:r>
        <w:rPr>
          <w:rtl w:val="true"/>
        </w:rPr>
        <w:t>ובפעם השנייה עשה כן בכך שהתחזה לבא</w:t>
      </w:r>
      <w:r>
        <w:rPr>
          <w:rtl w:val="true"/>
        </w:rPr>
        <w:t>-</w:t>
      </w:r>
      <w:r>
        <w:rPr>
          <w:rtl w:val="true"/>
        </w:rPr>
        <w:t>כוחו של מנדו על מנת לבקרו במעצרו ואף ניסה לשכנעו לקבל הסדר טיעון בתיק אשר יטיב עמו</w:t>
      </w:r>
      <w:r>
        <w:rPr>
          <w:rtl w:val="true"/>
        </w:rPr>
        <w:t xml:space="preserve">. </w:t>
      </w:r>
      <w:r>
        <w:rPr>
          <w:rtl w:val="true"/>
        </w:rPr>
        <w:t>כל זאת חרף העובדה שניתנה על ידי בית המשפט המחוזי החלטה המורה על מניעת קשר בין השניים עד תום ההליכים המשפטיים נגדם</w:t>
      </w:r>
      <w:r>
        <w:rPr>
          <w:rtl w:val="true"/>
        </w:rPr>
        <w:t xml:space="preserve">. </w:t>
      </w:r>
      <w:r>
        <w:rPr>
          <w:rtl w:val="true"/>
        </w:rPr>
        <w:t>חומרה זו מצדיקה הטלת ענישה מחמירה שיהיה בה כדי להביע סלידה ברורה ממעשיו של המערער ולהרתיע מפני הישנותם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לצד חומרתם של המעשים קיימים בענייננו שיקולים לקולא המצדיקים התחשבות</w:t>
      </w:r>
      <w:r>
        <w:rPr>
          <w:rtl w:val="true"/>
        </w:rPr>
        <w:t xml:space="preserve">. </w:t>
      </w:r>
      <w:r>
        <w:rPr>
          <w:rtl w:val="true"/>
        </w:rPr>
        <w:t>אלא ששיקולים אלה לא נעלמו מעיני בית המשפט</w:t>
      </w:r>
      <w:r>
        <w:rPr>
          <w:rtl w:val="true"/>
        </w:rPr>
        <w:t xml:space="preserve">, </w:t>
      </w:r>
      <w:r>
        <w:rPr>
          <w:rtl w:val="true"/>
        </w:rPr>
        <w:t>אשר הביאם בחשבון בבואו לגזור את דינו של המערער</w:t>
      </w:r>
      <w:r>
        <w:rPr>
          <w:rtl w:val="true"/>
        </w:rPr>
        <w:t xml:space="preserve">: </w:t>
      </w:r>
      <w:r>
        <w:rPr>
          <w:rtl w:val="true"/>
        </w:rPr>
        <w:t>המלצת שירות המבחן והתרשמותו מהמערער</w:t>
      </w:r>
      <w:r>
        <w:rPr>
          <w:rtl w:val="true"/>
        </w:rPr>
        <w:t xml:space="preserve">, </w:t>
      </w:r>
      <w:r>
        <w:rPr>
          <w:rtl w:val="true"/>
        </w:rPr>
        <w:t>מהחרטה שהביע ומלקיחת האחריות על מעשיו</w:t>
      </w:r>
      <w:r>
        <w:rPr>
          <w:rtl w:val="true"/>
        </w:rPr>
        <w:t xml:space="preserve">; </w:t>
      </w:r>
      <w:r>
        <w:rPr>
          <w:rtl w:val="true"/>
        </w:rPr>
        <w:t>מצבו המשפחתי</w:t>
      </w:r>
      <w:r>
        <w:rPr>
          <w:rtl w:val="true"/>
        </w:rPr>
        <w:t xml:space="preserve">; </w:t>
      </w:r>
      <w:r>
        <w:rPr>
          <w:rtl w:val="true"/>
        </w:rPr>
        <w:t>השפעת ההליך על עיסוקו</w:t>
      </w:r>
      <w:r>
        <w:rPr>
          <w:rtl w:val="true"/>
        </w:rPr>
        <w:t xml:space="preserve">, </w:t>
      </w:r>
      <w:r>
        <w:rPr>
          <w:rtl w:val="true"/>
        </w:rPr>
        <w:t>פרנסתו ומצבו הכלכלי</w:t>
      </w:r>
      <w:r>
        <w:rPr>
          <w:rtl w:val="true"/>
        </w:rPr>
        <w:t xml:space="preserve">; </w:t>
      </w:r>
      <w:r>
        <w:rPr>
          <w:rtl w:val="true"/>
        </w:rPr>
        <w:t>תרומתו למדינה ולחברה</w:t>
      </w:r>
      <w:r>
        <w:rPr>
          <w:rtl w:val="true"/>
        </w:rPr>
        <w:t xml:space="preserve">; </w:t>
      </w:r>
      <w:r>
        <w:rPr>
          <w:rtl w:val="true"/>
        </w:rPr>
        <w:t>העובדה שהוא נעדר עבר פלילי</w:t>
      </w:r>
      <w:r>
        <w:rPr>
          <w:rtl w:val="true"/>
        </w:rPr>
        <w:t xml:space="preserve">; </w:t>
      </w:r>
      <w:r>
        <w:rPr>
          <w:rtl w:val="true"/>
        </w:rPr>
        <w:t>השפעת ההליך על מצבו הבריאותי</w:t>
      </w:r>
      <w:r>
        <w:rPr>
          <w:rtl w:val="true"/>
        </w:rPr>
        <w:t xml:space="preserve">; </w:t>
      </w:r>
      <w:r>
        <w:rPr>
          <w:rtl w:val="true"/>
        </w:rPr>
        <w:t>והחיסכון המסוים לזמן השיפוטי בעקבות החלטתו להודות בעיקר עובדות כתב האישום במהלך ההליך</w:t>
      </w:r>
      <w:r>
        <w:rPr>
          <w:rtl w:val="true"/>
        </w:rPr>
        <w:t xml:space="preserve">. </w:t>
      </w:r>
      <w:r>
        <w:rPr>
          <w:rtl w:val="true"/>
        </w:rPr>
        <w:t>המערער טוען כי לא ניתן משקל מספק לשיקולים אלה</w:t>
      </w:r>
      <w:r>
        <w:rPr>
          <w:rtl w:val="true"/>
        </w:rPr>
        <w:t xml:space="preserve">, </w:t>
      </w:r>
      <w:r>
        <w:rPr>
          <w:rtl w:val="true"/>
        </w:rPr>
        <w:t>אולם לא די בהעלאת טענה מעין זו בעלמא כדי להצדיק התערבות בגזר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התוצאה היא אפוא</w:t>
      </w:r>
      <w:r>
        <w:rPr>
          <w:rtl w:val="true"/>
        </w:rPr>
        <w:t xml:space="preserve">, </w:t>
      </w:r>
      <w:r>
        <w:rPr>
          <w:rtl w:val="true"/>
        </w:rPr>
        <w:t>שגם הערעור על גזר הדין דינו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אם תישמע דעתי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יידחה הערעור על שני ראשיו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21.2.2023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 או </w:t>
      </w:r>
      <w:r>
        <w:rPr>
          <w:rtl w:val="true"/>
        </w:rPr>
        <w:t xml:space="preserve">במקום אחר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31.1.2023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21071720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ד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ברק ארז </w:t>
      </w:r>
      <w:r>
        <w:rPr>
          <w:rFonts w:cs="David;Times New Roman" w:ascii="David;Times New Roman" w:hAnsi="David;Times New Roman"/>
          <w:color w:val="000000"/>
          <w:szCs w:val="22"/>
        </w:rPr>
        <w:t>54678313-7172/21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4"/>
      <w:footerReference w:type="default" r:id="rId8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7172/21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מאדי דאהר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78198" TargetMode="External"/><Relationship Id="rId3" Type="http://schemas.openxmlformats.org/officeDocument/2006/relationships/hyperlink" Target="http://www.nevo.co.il/safrut/book/5505" TargetMode="External"/><Relationship Id="rId4" Type="http://schemas.openxmlformats.org/officeDocument/2006/relationships/hyperlink" Target="http://www.nevo.co.il/safrut/book/5505" TargetMode="External"/><Relationship Id="rId5" Type="http://schemas.openxmlformats.org/officeDocument/2006/relationships/hyperlink" Target="http://www.nevo.co.il/law/74849" TargetMode="External"/><Relationship Id="rId6" Type="http://schemas.openxmlformats.org/officeDocument/2006/relationships/hyperlink" Target="http://www.nevo.co.il/law/74849/70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/34a" TargetMode="External"/><Relationship Id="rId10" Type="http://schemas.openxmlformats.org/officeDocument/2006/relationships/hyperlink" Target="http://www.nevo.co.il/law/70301/34a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70301/452" TargetMode="External"/><Relationship Id="rId16" Type="http://schemas.openxmlformats.org/officeDocument/2006/relationships/hyperlink" Target="http://www.nevo.co.il/law/70301/454" TargetMode="External"/><Relationship Id="rId17" Type="http://schemas.openxmlformats.org/officeDocument/2006/relationships/hyperlink" Target="http://www.nevo.co.il/law/74849/70" TargetMode="External"/><Relationship Id="rId18" Type="http://schemas.openxmlformats.org/officeDocument/2006/relationships/hyperlink" Target="http://www.nevo.co.il/law/74849" TargetMode="External"/><Relationship Id="rId19" Type="http://schemas.openxmlformats.org/officeDocument/2006/relationships/hyperlink" Target="http://www.nevo.co.il/case/21678198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/454" TargetMode="External"/><Relationship Id="rId24" Type="http://schemas.openxmlformats.org/officeDocument/2006/relationships/hyperlink" Target="http://www.nevo.co.il/law/70301/192" TargetMode="External"/><Relationship Id="rId25" Type="http://schemas.openxmlformats.org/officeDocument/2006/relationships/hyperlink" Target="http://www.nevo.co.il/law/70301/287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44" TargetMode="External"/><Relationship Id="rId28" Type="http://schemas.openxmlformats.org/officeDocument/2006/relationships/hyperlink" Target="http://www.nevo.co.il/law/70301/34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a" TargetMode="External"/><Relationship Id="rId33" Type="http://schemas.openxmlformats.org/officeDocument/2006/relationships/hyperlink" Target="http://www.nevo.co.il/law/70301/29.b" TargetMode="External"/><Relationship Id="rId34" Type="http://schemas.openxmlformats.org/officeDocument/2006/relationships/hyperlink" Target="http://www.nevo.co.il/law/70301/34a.a" TargetMode="External"/><Relationship Id="rId35" Type="http://schemas.openxmlformats.org/officeDocument/2006/relationships/hyperlink" Target="http://www.nevo.co.il/law/70301/29.b" TargetMode="External"/><Relationship Id="rId36" Type="http://schemas.openxmlformats.org/officeDocument/2006/relationships/hyperlink" Target="http://www.nevo.co.il/case/11269651" TargetMode="External"/><Relationship Id="rId37" Type="http://schemas.openxmlformats.org/officeDocument/2006/relationships/hyperlink" Target="http://www.nevo.co.il/case/5594073" TargetMode="External"/><Relationship Id="rId38" Type="http://schemas.openxmlformats.org/officeDocument/2006/relationships/hyperlink" Target="http://www.nevo.co.il/case/6002494" TargetMode="External"/><Relationship Id="rId39" Type="http://schemas.openxmlformats.org/officeDocument/2006/relationships/hyperlink" Target="http://www.nevo.co.il/case/5887424" TargetMode="External"/><Relationship Id="rId40" Type="http://schemas.openxmlformats.org/officeDocument/2006/relationships/hyperlink" Target="http://www.nevo.co.il/case/5821139" TargetMode="External"/><Relationship Id="rId41" Type="http://schemas.openxmlformats.org/officeDocument/2006/relationships/hyperlink" Target="http://www.nevo.co.il/case/6209178" TargetMode="External"/><Relationship Id="rId42" Type="http://schemas.openxmlformats.org/officeDocument/2006/relationships/hyperlink" Target="http://www.nevo.co.il/case/17923103" TargetMode="External"/><Relationship Id="rId43" Type="http://schemas.openxmlformats.org/officeDocument/2006/relationships/hyperlink" Target="http://www.nevo.co.il/case/5826430" TargetMode="External"/><Relationship Id="rId44" Type="http://schemas.openxmlformats.org/officeDocument/2006/relationships/hyperlink" Target="http://www.nevo.co.il/law/70301/34a.a" TargetMode="External"/><Relationship Id="rId45" Type="http://schemas.openxmlformats.org/officeDocument/2006/relationships/hyperlink" Target="http://www.nevo.co.il/case/5957024" TargetMode="External"/><Relationship Id="rId46" Type="http://schemas.openxmlformats.org/officeDocument/2006/relationships/hyperlink" Target="http://www.nevo.co.il/safrut/book/5505" TargetMode="External"/><Relationship Id="rId47" Type="http://schemas.openxmlformats.org/officeDocument/2006/relationships/hyperlink" Target="http://www.nevo.co.il/case/6247051" TargetMode="External"/><Relationship Id="rId48" Type="http://schemas.openxmlformats.org/officeDocument/2006/relationships/hyperlink" Target="http://www.nevo.co.il/law/70301/34a.a" TargetMode="External"/><Relationship Id="rId49" Type="http://schemas.openxmlformats.org/officeDocument/2006/relationships/hyperlink" Target="http://www.nevo.co.il/law/70301/29.b" TargetMode="External"/><Relationship Id="rId50" Type="http://schemas.openxmlformats.org/officeDocument/2006/relationships/hyperlink" Target="http://www.nevo.co.il/case/5782008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5608125" TargetMode="External"/><Relationship Id="rId57" Type="http://schemas.openxmlformats.org/officeDocument/2006/relationships/hyperlink" Target="http://www.nevo.co.il/case/5733469" TargetMode="External"/><Relationship Id="rId58" Type="http://schemas.openxmlformats.org/officeDocument/2006/relationships/hyperlink" Target="http://www.nevo.co.il/law/70301/29.b" TargetMode="External"/><Relationship Id="rId59" Type="http://schemas.openxmlformats.org/officeDocument/2006/relationships/hyperlink" Target="http://www.nevo.co.il/law/70301/34a" TargetMode="External"/><Relationship Id="rId60" Type="http://schemas.openxmlformats.org/officeDocument/2006/relationships/hyperlink" Target="http://www.nevo.co.il/law/70301/29.b" TargetMode="External"/><Relationship Id="rId61" Type="http://schemas.openxmlformats.org/officeDocument/2006/relationships/hyperlink" Target="http://www.nevo.co.il/law/70301/34a.a" TargetMode="External"/><Relationship Id="rId62" Type="http://schemas.openxmlformats.org/officeDocument/2006/relationships/hyperlink" Target="http://www.nevo.co.il/case/28116157" TargetMode="External"/><Relationship Id="rId63" Type="http://schemas.openxmlformats.org/officeDocument/2006/relationships/hyperlink" Target="http://www.nevo.co.il/case/27397243" TargetMode="External"/><Relationship Id="rId64" Type="http://schemas.openxmlformats.org/officeDocument/2006/relationships/hyperlink" Target="http://www.nevo.co.il/case/27446607" TargetMode="External"/><Relationship Id="rId65" Type="http://schemas.openxmlformats.org/officeDocument/2006/relationships/hyperlink" Target="http://www.nevo.co.il/case/27499271" TargetMode="External"/><Relationship Id="rId66" Type="http://schemas.openxmlformats.org/officeDocument/2006/relationships/hyperlink" Target="http://www.nevo.co.il/case/25274374" TargetMode="External"/><Relationship Id="rId67" Type="http://schemas.openxmlformats.org/officeDocument/2006/relationships/hyperlink" Target="http://www.nevo.co.il/case/27585106" TargetMode="External"/><Relationship Id="rId68" Type="http://schemas.openxmlformats.org/officeDocument/2006/relationships/hyperlink" Target="http://www.nevo.co.il/case/28722692" TargetMode="External"/><Relationship Id="rId69" Type="http://schemas.openxmlformats.org/officeDocument/2006/relationships/hyperlink" Target="http://www.nevo.co.il/case/27915723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case/28280788" TargetMode="External"/><Relationship Id="rId72" Type="http://schemas.openxmlformats.org/officeDocument/2006/relationships/hyperlink" Target="http://www.nevo.co.il/case/27608313" TargetMode="External"/><Relationship Id="rId73" Type="http://schemas.openxmlformats.org/officeDocument/2006/relationships/hyperlink" Target="http://www.nevo.co.il/case/27305799" TargetMode="External"/><Relationship Id="rId74" Type="http://schemas.openxmlformats.org/officeDocument/2006/relationships/hyperlink" Target="http://www.nevo.co.il/case/28226828" TargetMode="External"/><Relationship Id="rId75" Type="http://schemas.openxmlformats.org/officeDocument/2006/relationships/hyperlink" Target="http://www.nevo.co.il/case/28092391" TargetMode="External"/><Relationship Id="rId76" Type="http://schemas.openxmlformats.org/officeDocument/2006/relationships/hyperlink" Target="http://www.nevo.co.il/case/28437031" TargetMode="External"/><Relationship Id="rId77" Type="http://schemas.openxmlformats.org/officeDocument/2006/relationships/hyperlink" Target="http://www.nevo.co.il/case/28280788" TargetMode="External"/><Relationship Id="rId78" Type="http://schemas.openxmlformats.org/officeDocument/2006/relationships/hyperlink" Target="http://www.nevo.co.il/case/28660017" TargetMode="External"/><Relationship Id="rId79" Type="http://schemas.openxmlformats.org/officeDocument/2006/relationships/hyperlink" Target="http://www.nevo.co.il/case/27404359" TargetMode="External"/><Relationship Id="rId80" Type="http://schemas.openxmlformats.org/officeDocument/2006/relationships/hyperlink" Target="http://www.nevo.co.il/case/21477388" TargetMode="External"/><Relationship Id="rId81" Type="http://schemas.openxmlformats.org/officeDocument/2006/relationships/hyperlink" Target="http://www.nevo.co.il/case/5808394" TargetMode="External"/><Relationship Id="rId82" Type="http://schemas.openxmlformats.org/officeDocument/2006/relationships/hyperlink" Target="https://supreme.court.gov.il/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<Relationship Id="rId8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2023-02-02T08:57:00Z</dcterms:created>
  <dc:creator>h4</dc:creator>
  <dc:description/>
  <cp:keywords/>
  <dc:language>en-IL</dc:language>
  <cp:lastModifiedBy>orly</cp:lastModifiedBy>
  <cp:lastPrinted>2023-02-01T16:17:00Z</cp:lastPrinted>
  <dcterms:modified xsi:type="dcterms:W3CDTF">2023-02-02T08:57:00Z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מאדי דאהר</vt:lpwstr>
  </property>
  <property fmtid="{D5CDD505-2E9C-101B-9397-08002B2CF9AE}" pid="3" name="APPELLEE">
    <vt:lpwstr>מדינת ישראל</vt:lpwstr>
  </property>
  <property fmtid="{D5CDD505-2E9C-101B-9397-08002B2CF9AE}" pid="4" name="BOOKLISTTMP1">
    <vt:lpwstr>5505</vt:lpwstr>
  </property>
  <property fmtid="{D5CDD505-2E9C-101B-9397-08002B2CF9AE}" pid="5" name="CASESLISTTMP1">
    <vt:lpwstr>21678198:2;11269651;5594073;6002494;5887424;5821139;6209178;17923103;5826430;5957024;6247051;5782008;25608125;5733469;28116157;27397243;27446607;27499271;25274374;27585106;28722692;27915723;28280788:2;27608313;27305799;28226828;28092391;28437031</vt:lpwstr>
  </property>
  <property fmtid="{D5CDD505-2E9C-101B-9397-08002B2CF9AE}" pid="6" name="CASESLISTTMP2">
    <vt:lpwstr>28660017;27404359;21477388;5808394</vt:lpwstr>
  </property>
  <property fmtid="{D5CDD505-2E9C-101B-9397-08002B2CF9AE}" pid="7" name="DATE">
    <vt:lpwstr>20230131</vt:lpwstr>
  </property>
  <property fmtid="{D5CDD505-2E9C-101B-9397-08002B2CF9AE}" pid="8" name="ISABSTRACT">
    <vt:lpwstr>Y</vt:lpwstr>
  </property>
  <property fmtid="{D5CDD505-2E9C-101B-9397-08002B2CF9AE}" pid="9" name="JUDGE">
    <vt:lpwstr>ד' ברק ארז;ד' מינץ;ר' רונן</vt:lpwstr>
  </property>
  <property fmtid="{D5CDD505-2E9C-101B-9397-08002B2CF9AE}" pid="10" name="LAWLISTTMP1">
    <vt:lpwstr>74849/070</vt:lpwstr>
  </property>
  <property fmtid="{D5CDD505-2E9C-101B-9397-08002B2CF9AE}" pid="11" name="LAWLISTTMP2">
    <vt:lpwstr>70301/144.b;452;454;192;287.a;244;034a:4;029.b:5;034a.a:4</vt:lpwstr>
  </property>
  <property fmtid="{D5CDD505-2E9C-101B-9397-08002B2CF9AE}" pid="12" name="LAWYER">
    <vt:lpwstr>רוני זלושינסקי;ירום הלוי;שירות המבחן עו"ס ברכה וייס</vt:lpwstr>
  </property>
  <property fmtid="{D5CDD505-2E9C-101B-9397-08002B2CF9AE}" pid="13" name="METAKZER">
    <vt:lpwstr>פאני</vt:lpwstr>
  </property>
  <property fmtid="{D5CDD505-2E9C-101B-9397-08002B2CF9AE}" pid="14" name="NOSE11">
    <vt:lpwstr>עונשין</vt:lpwstr>
  </property>
  <property fmtid="{D5CDD505-2E9C-101B-9397-08002B2CF9AE}" pid="15" name="NOSE110">
    <vt:lpwstr/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>עונשין</vt:lpwstr>
  </property>
  <property fmtid="{D5CDD505-2E9C-101B-9397-08002B2CF9AE}" pid="19" name="NOSE15">
    <vt:lpwstr>עונשין</vt:lpwstr>
  </property>
  <property fmtid="{D5CDD505-2E9C-101B-9397-08002B2CF9AE}" pid="20" name="NOSE16">
    <vt:lpwstr>דיון פלילי</vt:lpwstr>
  </property>
  <property fmtid="{D5CDD505-2E9C-101B-9397-08002B2CF9AE}" pid="21" name="NOSE17">
    <vt:lpwstr/>
  </property>
  <property fmtid="{D5CDD505-2E9C-101B-9397-08002B2CF9AE}" pid="22" name="NOSE18">
    <vt:lpwstr/>
  </property>
  <property fmtid="{D5CDD505-2E9C-101B-9397-08002B2CF9AE}" pid="23" name="NOSE19">
    <vt:lpwstr/>
  </property>
  <property fmtid="{D5CDD505-2E9C-101B-9397-08002B2CF9AE}" pid="24" name="NOSE1ID">
    <vt:lpwstr>77;77;77;77;77;18</vt:lpwstr>
  </property>
  <property fmtid="{D5CDD505-2E9C-101B-9397-08002B2CF9AE}" pid="25" name="NOSE21">
    <vt:lpwstr>שותפים לעבירה</vt:lpwstr>
  </property>
  <property fmtid="{D5CDD505-2E9C-101B-9397-08002B2CF9AE}" pid="26" name="NOSE210">
    <vt:lpwstr/>
  </property>
  <property fmtid="{D5CDD505-2E9C-101B-9397-08002B2CF9AE}" pid="27" name="NOSE22">
    <vt:lpwstr>ענישה</vt:lpwstr>
  </property>
  <property fmtid="{D5CDD505-2E9C-101B-9397-08002B2CF9AE}" pid="28" name="NOSE23">
    <vt:lpwstr>ענישה</vt:lpwstr>
  </property>
  <property fmtid="{D5CDD505-2E9C-101B-9397-08002B2CF9AE}" pid="29" name="NOSE24">
    <vt:lpwstr>ענישה</vt:lpwstr>
  </property>
  <property fmtid="{D5CDD505-2E9C-101B-9397-08002B2CF9AE}" pid="30" name="NOSE25">
    <vt:lpwstr>ענישה</vt:lpwstr>
  </property>
  <property fmtid="{D5CDD505-2E9C-101B-9397-08002B2CF9AE}" pid="31" name="NOSE26">
    <vt:lpwstr>הרשעה</vt:lpwstr>
  </property>
  <property fmtid="{D5CDD505-2E9C-101B-9397-08002B2CF9AE}" pid="32" name="NOSE27">
    <vt:lpwstr/>
  </property>
  <property fmtid="{D5CDD505-2E9C-101B-9397-08002B2CF9AE}" pid="33" name="NOSE28">
    <vt:lpwstr/>
  </property>
  <property fmtid="{D5CDD505-2E9C-101B-9397-08002B2CF9AE}" pid="34" name="NOSE29">
    <vt:lpwstr/>
  </property>
  <property fmtid="{D5CDD505-2E9C-101B-9397-08002B2CF9AE}" pid="35" name="NOSE2ID">
    <vt:lpwstr>1451;1446;1446;1446;1446;465</vt:lpwstr>
  </property>
  <property fmtid="{D5CDD505-2E9C-101B-9397-08002B2CF9AE}" pid="36" name="NOSE31">
    <vt:lpwstr>עבירה שונה או נוספת</vt:lpwstr>
  </property>
  <property fmtid="{D5CDD505-2E9C-101B-9397-08002B2CF9AE}" pid="37" name="NOSE310">
    <vt:lpwstr/>
  </property>
  <property fmtid="{D5CDD505-2E9C-101B-9397-08002B2CF9AE}" pid="38" name="NOSE32">
    <vt:lpwstr>מדיניות ענישה: שיקולים לחומרה</vt:lpwstr>
  </property>
  <property fmtid="{D5CDD505-2E9C-101B-9397-08002B2CF9AE}" pid="39" name="NOSE33">
    <vt:lpwstr>מדיניות ענישה: התערבות ערכאת ערעור</vt:lpwstr>
  </property>
  <property fmtid="{D5CDD505-2E9C-101B-9397-08002B2CF9AE}" pid="40" name="NOSE34">
    <vt:lpwstr>מדיניות ענישה: עבירות נשק</vt:lpwstr>
  </property>
  <property fmtid="{D5CDD505-2E9C-101B-9397-08002B2CF9AE}" pid="41" name="NOSE35">
    <vt:lpwstr>מדיניות ענישה: שיקום</vt:lpwstr>
  </property>
  <property fmtid="{D5CDD505-2E9C-101B-9397-08002B2CF9AE}" pid="42" name="NOSE36">
    <vt:lpwstr>בעבירה שונה</vt:lpwstr>
  </property>
  <property fmtid="{D5CDD505-2E9C-101B-9397-08002B2CF9AE}" pid="43" name="NOSE37">
    <vt:lpwstr/>
  </property>
  <property fmtid="{D5CDD505-2E9C-101B-9397-08002B2CF9AE}" pid="44" name="NOSE38">
    <vt:lpwstr/>
  </property>
  <property fmtid="{D5CDD505-2E9C-101B-9397-08002B2CF9AE}" pid="45" name="NOSE39">
    <vt:lpwstr/>
  </property>
  <property fmtid="{D5CDD505-2E9C-101B-9397-08002B2CF9AE}" pid="46" name="NOSE3ID">
    <vt:lpwstr>9041;8995;8982;13800;14346;3633</vt:lpwstr>
  </property>
  <property fmtid="{D5CDD505-2E9C-101B-9397-08002B2CF9AE}" pid="47" name="PADIDATE">
    <vt:lpwstr>20230202</vt:lpwstr>
  </property>
  <property fmtid="{D5CDD505-2E9C-101B-9397-08002B2CF9AE}" pid="48" name="PADIMAIL">
    <vt:lpwstr>YES</vt:lpwstr>
  </property>
  <property fmtid="{D5CDD505-2E9C-101B-9397-08002B2CF9AE}" pid="49" name="PROCESS">
    <vt:lpwstr>עפ</vt:lpwstr>
  </property>
  <property fmtid="{D5CDD505-2E9C-101B-9397-08002B2CF9AE}" pid="50" name="PROCNUM">
    <vt:lpwstr>7172</vt:lpwstr>
  </property>
  <property fmtid="{D5CDD505-2E9C-101B-9397-08002B2CF9AE}" pid="51" name="PROCYEAR">
    <vt:lpwstr>21</vt:lpwstr>
  </property>
  <property fmtid="{D5CDD505-2E9C-101B-9397-08002B2CF9AE}" pid="52" name="PSAKDIN">
    <vt:lpwstr>פסק-דין</vt:lpwstr>
  </property>
  <property fmtid="{D5CDD505-2E9C-101B-9397-08002B2CF9AE}" pid="53" name="TYPE">
    <vt:lpwstr>1</vt:lpwstr>
  </property>
  <property fmtid="{D5CDD505-2E9C-101B-9397-08002B2CF9AE}" pid="54" name="TYPE_ABS_DATE">
    <vt:lpwstr>410120230131</vt:lpwstr>
  </property>
  <property fmtid="{D5CDD505-2E9C-101B-9397-08002B2CF9AE}" pid="55" name="TYPE_N_DATE">
    <vt:lpwstr>41020230131</vt:lpwstr>
  </property>
  <property fmtid="{D5CDD505-2E9C-101B-9397-08002B2CF9AE}" pid="56" name="WORDNUMPAGES">
    <vt:lpwstr>27</vt:lpwstr>
  </property>
</Properties>
</file>