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7186/19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קטמור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מסעוד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53803-07-18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30.12.2019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גמי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גלפגט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5"/>
        <w:gridCol w:w="5128"/>
      </w:tblGrid>
      <w:tr>
        <w:trPr/>
        <w:tc>
          <w:tcPr>
            <w:tcW w:w="32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חישובו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אומדן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ותקרת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77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האזרחיים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עזרה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ראשונה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בצידה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150,000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65,000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ששפכה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חוייבה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תוצאותיו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77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הנזיקין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חישובם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יחושבו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האומדן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שיעורו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האזרחיים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עזרה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ראשונה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הניתנת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ההתדיינות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בפלילים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עזרה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 w:val="24"/>
          <w:szCs w:val="26"/>
          <w:rtl w:val="true"/>
        </w:rPr>
        <w:t>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וכש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בטיעוניהם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יבחנו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ויחושבו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יפסקו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פיצויי</w:t>
      </w:r>
      <w:r>
        <w:rPr>
          <w:rFonts w:cs="FrankRuehl"/>
          <w:sz w:val="24"/>
          <w:sz w:val="24"/>
          <w:szCs w:val="26"/>
          <w:rtl w:val="true"/>
        </w:rPr>
        <w:t>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Times New Roman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65</w:t>
      </w:r>
      <w:r>
        <w:rPr>
          <w:rFonts w:cs="FrankRuehl"/>
          <w:sz w:val="24"/>
          <w:szCs w:val="26"/>
        </w:rPr>
        <w:t>,000</w:t>
      </w:r>
      <w:r>
        <w:rPr>
          <w:rFonts w:cs="FrankRuehl"/>
          <w:sz w:val="24"/>
          <w:szCs w:val="26"/>
          <w:rtl w:val="true"/>
        </w:rPr>
        <w:t xml:space="preserve"> ₪.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15.9.2019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53803-07-18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עדן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150,000</w:t>
      </w:r>
      <w:r>
        <w:rPr>
          <w:rFonts w:cs="FrankRuehl" w:ascii="Century" w:hAnsi="Century"/>
          <w:spacing w:val="10"/>
          <w:szCs w:val="28"/>
          <w:rtl w:val="true"/>
        </w:rPr>
        <w:t xml:space="preserve"> ₪.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cs="FrankRuehl" w:ascii="Century" w:hAnsi="Century"/>
          <w:spacing w:val="10"/>
          <w:szCs w:val="28"/>
          <w:rtl w:val="true"/>
        </w:rPr>
        <w:t xml:space="preserve">. – </w:t>
      </w:r>
      <w:r>
        <w:rPr>
          <w:rFonts w:ascii="Century" w:hAnsi="Century" w:cs="FrankRuehl"/>
          <w:spacing w:val="10"/>
          <w:szCs w:val="28"/>
          <w:rtl w:val="true"/>
        </w:rPr>
        <w:t>בעלה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שררו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מתוחים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7.7.2018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במטבח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השירותים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שממוקם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שנכנסה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רצת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במיטתם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כשהמחבת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שוויון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צווארו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זועק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מכאבים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זעקותיו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וצעקו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בבהלה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ומיהרו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להזעיק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הטראומה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בדרגות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2.12.2018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מסמכי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פסיכיאטרית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מכתבי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מכתבים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קרימינולוגיות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הקצה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בסיכומו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והתחייבות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מיוזמתה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בסיכומו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שמתחיל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לעמדתו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הפסיכיאטרית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טראומטי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והשלכותיו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פסיכוטי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מצביעים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המתבטא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ובקנאה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הכחשותיה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הנמרצות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וההסברים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שנותנת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מלמדים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היטב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במידה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וביצעה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שרויה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פסיכוטי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היטב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הפסול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מסמכיו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אשפוזו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הממושך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נמרץ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ארבעת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הניתוחים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התופעות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ותופסת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כקרבן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קונקרטית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שסוכם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ביותר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ותוצאותיו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הקירבה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לסייג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מנגד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משמעותית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בק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מיקומה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חודשיים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בפיקוח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אלקטרוני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פחת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מעצרה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150,000</w:t>
      </w:r>
      <w:r>
        <w:rPr>
          <w:rFonts w:cs="FrankRuehl" w:ascii="Century" w:hAnsi="Century"/>
          <w:spacing w:val="10"/>
          <w:szCs w:val="28"/>
          <w:rtl w:val="true"/>
        </w:rPr>
        <w:t xml:space="preserve"> ₪.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קיצוני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שנפסקו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לתת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סעד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זמני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ומוגבל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לנפגעי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בהכרח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שהטלת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הנקוב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הופך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הפיצוי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למעשה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מופרז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נהרסו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והמלצות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זעזוע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בחנ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ושמע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ולהעמידו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65</w:t>
      </w:r>
      <w:r>
        <w:rPr>
          <w:rFonts w:cs="FrankRuehl" w:ascii="Century" w:hAnsi="Century"/>
          <w:spacing w:val="10"/>
          <w:szCs w:val="28"/>
        </w:rPr>
        <w:t>,000</w:t>
      </w:r>
      <w:r>
        <w:rPr>
          <w:rFonts w:cs="FrankRuehl" w:ascii="Century" w:hAnsi="Century"/>
          <w:spacing w:val="10"/>
          <w:szCs w:val="28"/>
          <w:rtl w:val="true"/>
        </w:rPr>
        <w:t xml:space="preserve"> ₪.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77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משמיענו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Style w:val="default"/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הורשע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רשאי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לחייבו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בשל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אחת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העבירות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שהורשע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בהן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לשלם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לאדם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שניזוק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סכום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יעלה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cs="Miriam" w:ascii="Century" w:hAnsi="Century"/>
          <w:b/>
          <w:sz w:val="22"/>
        </w:rPr>
        <w:t>258,000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שקלים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חדשים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לפיצוי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הנזק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הסבל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שנגרם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Style w:val="default"/>
          <w:rFonts w:cs="Miriam" w:ascii="Century" w:hAnsi="Century"/>
          <w:b/>
          <w:sz w:val="22"/>
          <w:rtl w:val="true"/>
        </w:rPr>
        <w:t>"</w:t>
      </w:r>
      <w:r>
        <w:rPr>
          <w:rStyle w:val="default"/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התכלית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המרכזית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שנועד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77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להגשים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ויעיל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שניזוק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הנזק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והסבל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שנגרמו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כתוצאה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5625/16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קארין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בוקובזה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13.9.2017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הנזיקין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חישובם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חישובם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האזרחי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יחושבו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האומדן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בפיצוי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ככלל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האומדנא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הסתייעות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הראייתיים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המוגבלים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העומדים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לרשותו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לצורך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כך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ובהם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היתר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תסקיר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נפגע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הפיצוי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77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פיצוי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מוגבל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הכפוף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לתקרה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הקבועה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לחרוג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ממנה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הפיצוי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בהכרח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הסעדים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האזרחיים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ייתכן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והנפגע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זכאי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9727/05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גליקסמן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</w:t>
      </w:r>
      <w:r>
        <w:rPr>
          <w:rFonts w:cs="Miriam"/>
          <w:sz w:val="24"/>
          <w:rtl w:val="true"/>
        </w:rPr>
        <w:t xml:space="preserve">' </w:t>
      </w:r>
      <w:r>
        <w:rPr>
          <w:rFonts w:cs="Miriam"/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8.8.2007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הנזיקין</w:t>
      </w:r>
      <w:r>
        <w:rPr>
          <w:rtl w:val="true"/>
        </w:rPr>
        <w:t xml:space="preserve">, </w:t>
      </w:r>
      <w:r>
        <w:rPr>
          <w:rtl w:val="true"/>
        </w:rPr>
        <w:t>כרוכות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, </w:t>
      </w:r>
      <w:r>
        <w:rPr>
          <w:rtl w:val="true"/>
        </w:rPr>
        <w:t>ונ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לתחמו</w:t>
      </w:r>
      <w:r>
        <w:rPr>
          <w:rtl w:val="true"/>
        </w:rPr>
        <w:t xml:space="preserve">.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ההתדיינות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'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ויחושבו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יפסקו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החלטנו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ולהעמידו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65</w:t>
      </w:r>
      <w:r>
        <w:rPr>
          <w:rFonts w:cs="FrankRuehl" w:ascii="Century" w:hAnsi="Century"/>
          <w:spacing w:val="10"/>
          <w:szCs w:val="28"/>
        </w:rPr>
        <w:t>,000</w:t>
      </w:r>
      <w:r>
        <w:rPr>
          <w:rFonts w:cs="FrankRuehl" w:ascii="Century" w:hAnsi="Century"/>
          <w:spacing w:val="10"/>
          <w:szCs w:val="28"/>
          <w:rtl w:val="true"/>
        </w:rPr>
        <w:t xml:space="preserve"> ₪.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bookmarkStart w:id="18" w:name="Nitan"/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>, ‏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(‏</w:t>
      </w:r>
      <w:r>
        <w:rPr>
          <w:rFonts w:cs="FrankRuehl" w:ascii="Century" w:hAnsi="Century"/>
          <w:spacing w:val="10"/>
          <w:szCs w:val="28"/>
        </w:rPr>
        <w:t>8.1.2020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bookmarkEnd w:id="18"/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>
          <w:rFonts w:cs="David"/>
          <w:color w:val="FFFFFF"/>
          <w:spacing w:val="0"/>
          <w:sz w:val="2"/>
          <w:szCs w:val="2"/>
        </w:rPr>
      </w:pPr>
      <w:r>
        <w:rPr>
          <w:rFonts w:cs="David"/>
          <w:color w:val="FFFFFF"/>
          <w:spacing w:val="0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19071860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54678313-7186/19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7186/19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קטמור טובי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h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77.a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77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h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77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h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h" TargetMode="External"/><Relationship Id="rId18" Type="http://schemas.openxmlformats.org/officeDocument/2006/relationships/hyperlink" Target="http://www.nevo.co.il/law/70301/77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77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1477594" TargetMode="External"/><Relationship Id="rId23" Type="http://schemas.openxmlformats.org/officeDocument/2006/relationships/hyperlink" Target="http://www.nevo.co.il/case/6158650" TargetMode="External"/><Relationship Id="rId24" Type="http://schemas.openxmlformats.org/officeDocument/2006/relationships/hyperlink" Target="http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2020-01-09T12:16:00Z</dcterms:created>
  <dc:creator>h4</dc:creator>
  <dc:description/>
  <cp:keywords/>
  <dc:language>en-IL</dc:language>
  <cp:lastModifiedBy>orly</cp:lastModifiedBy>
  <cp:lastPrinted>2020-01-08T12:07:00Z</cp:lastPrinted>
  <dcterms:modified xsi:type="dcterms:W3CDTF">2020-01-09T12:16:00Z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קטמור טובי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ישראל;אשר מסעוד טובי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21477594;6158650</vt:lpwstr>
  </property>
  <property fmtid="{D5CDD505-2E9C-101B-9397-08002B2CF9AE}" pid="9" name="CITY">
    <vt:lpwstr/>
  </property>
  <property fmtid="{D5CDD505-2E9C-101B-9397-08002B2CF9AE}" pid="10" name="DATE">
    <vt:lpwstr>20200108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קרא;א' חיות</vt:lpwstr>
  </property>
  <property fmtid="{D5CDD505-2E9C-101B-9397-08002B2CF9AE}" pid="14" name="LAWLISTTMP1">
    <vt:lpwstr>70301/333;034h:2;077;077.a</vt:lpwstr>
  </property>
  <property fmtid="{D5CDD505-2E9C-101B-9397-08002B2CF9AE}" pid="15" name="LAWYER">
    <vt:lpwstr>רוני זלושינסקי;נתנאל לאגמי;אלכסי גלפגט;ברכה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פיצויים והוצאות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1447</vt:lpwstr>
  </property>
  <property fmtid="{D5CDD505-2E9C-101B-9397-08002B2CF9AE}" pid="48" name="NOSE31">
    <vt:lpwstr>פיצויים לקורבן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9013</vt:lpwstr>
  </property>
  <property fmtid="{D5CDD505-2E9C-101B-9397-08002B2CF9AE}" pid="59" name="PADIDATE">
    <vt:lpwstr>20200109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7186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410120200108</vt:lpwstr>
  </property>
  <property fmtid="{D5CDD505-2E9C-101B-9397-08002B2CF9AE}" pid="69" name="TYPE_N_DATE">
    <vt:lpwstr>41020200108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