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7211/18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הסנגוריה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זר</w:t>
            </w:r>
          </w:p>
        </w:tc>
      </w:tr>
    </w:tbl>
    <w:p>
      <w:pPr>
        <w:pStyle w:val="Ruller31"/>
        <w:ind w:end="0"/>
        <w:jc w:val="start"/>
        <w:rPr>
          <w:sz w:val="6"/>
          <w:szCs w:val="12"/>
        </w:rPr>
      </w:pPr>
      <w:r>
        <w:rPr>
          <w:sz w:val="6"/>
          <w:szCs w:val="12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14615-04-17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שגיא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29.11.18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מבורך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חזום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חמודות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גבע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בעצמו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הסניגוריה הציבורית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הסניגוריה הציבורית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awTable_End"/>
      <w:bookmarkEnd w:id="5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10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כהן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על זכויות הנאשם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כרך כו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42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r>
        <w:rPr>
          <w:rFonts w:cs="FrankRuehl" w:ascii="FrankRuehl" w:hAnsi="FrankRuehl"/>
          <w:sz w:val="24"/>
          <w:u w:val="single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דחה ערעור על החלטה לדחות את בקשת המערערת להשתחרר מייצוג 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בהליכים הפליליים המתנהלים 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בהעדר עמידה בתנאים שנקבעו בתקנה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לתקנות הסניגוריה הציבורית המאפשרים שחרור הסנגוריה הציבורית מייצוג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כדי להבטיח את זכויות 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להותיר את הייצוג על כנו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אף שהתנהלותו מערימה קשיים לא מבוטלים על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ייצוג – סניגור ציבורי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ייצוג – מינוי סניגור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ייצוג – הפסקתו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נאשם – ייצוגו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– ייצוג – שחרור מייצוג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עורכי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– ייצוג – הזכות להיות מיוצג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חוקתי – זכויות הפרט – הזכות לייצוג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החלטת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במסגרתה נדחתה בקשת המערערת להשתחרר מייצוגו של 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ונגד שני נאשמים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ביצוע עבירות פליליות 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גרוסקופף ובהסכמת השופטים פוגלמן וברון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כבר נפסק על אודות חשיבות הייצוג המשפטי להבטחת זכויות הנאשם להליך פלילי הוגן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בחוק הסניגוריה הציבורית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בצד ההוראות המגדירות מתי עומדת לאדם זכות לייצוג על ידי הסנגוריה הציבורית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קובע סעיף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הוראה שכותרתה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הפסקת ייצוג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לפיו הסנגוריה הציבורית תשוחרר מייצוג חשוד או נאשם המיוצג על ידה בתנאים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אישור הסנגור הציבורי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רשות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 נעברה המשוכה הראשונה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השאלה היא האם יש מקום להתערב בהחלטת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לפיה אין מקום לתת בשלב זה את רשות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לשחרור הסנגוריה הציבורית מהייצוג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בתקנה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לתקנות הסניגוריה הציבורית נקבעו ארבע סיבות היכולות לאפשר שחרור הסנגוריה הציבורית מייצוג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חדלה להתקיים הזכאות לייצוג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המינוי הושג שלא 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סירוב לשתף פעולה עם הסנגור הציבורי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חילוקי דעות הפוגעים באפשרות לתת ייצוג נאות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לא מתקיימים שני הטעמים הראשונים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למשיב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הייתה ויש זכאות לייצוג נוכח חומרת האישומים 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טענה כי מינוי הסנגוריה הציבורית נעשה שלא 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הבקשה נסמכת על שני הטעמים האחרים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החלופה של הפסקת ייצוג מחמת סירוב לשתף פעולה עם הסנגוריה הציבורית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פורשה בפסיקה בצורה צרה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כמתייחסת למקרים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כשהנאשם הבהיר כי איננו מעוניין בייצוג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שהוסברה לו מלוא משמעות הדבר או כאשר הנאשם נהג בסנגוריו בצורה אלימה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פיזית או מילולית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 אינו נמנה על מקרים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הבהיר כי הוא אינו מעוניין בהפסקת הייצוג ואף כי הוא מחזיק בדעות משל עצמו ביחס לאופן בו יש לייצג את 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ששיתוף פעולה של נאשם עם סנגורו אין משמעו כי עליו לקבל כל עצה של הסנגור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וזכותו לומר את דברו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לחלופה שעניינה הפסקת ייצוג מחמת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חילוקי דעות הפוגעים באפשרות לתת ייצוג נאות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זו מעוררת קושי לא מבוטל בגינם ניתן לטעון שאין להכיר בכלל בקיומה של חלופה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ומכל מקום אף אם היא עומדת בפני 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לפרשה בצמצום 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 סבר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כי חילוקי הדעות בין 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לסנגוריות שמונו לו מטעם הסנגוריה הציבורית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כי הם מקשים על ניהול ההליך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 מגיעים לדרגה של פגיעה באפשרות לתת ייצוג נאות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עמדה זו נכונה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מלאכתה של הסנגוריה הציבורית אינה קלה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המבחן לשחרורה מתפקידה אינו נמדד לפי מידת עיקשותו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לפי מידת התועלת שיש בייצוג בהינתן המחלוקות הקיימות בין הנאשם לסנגוריה הציבורית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סבר שתועלת זו עודה 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לקבל את עמדתו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וכדי להבטיח את זכויות 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להותיר את הייצוג על כנו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שהתנהלותו מערימה קשיים לא מבוטלים על הסנגוריה הציבורית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  <w:u w:val="single"/>
        </w:rPr>
      </w:pPr>
      <w:r>
        <w:rPr>
          <w:rFonts w:cs="FrankRuehl" w:ascii="FrankRuehl" w:hAnsi="FrankRuehl"/>
          <w:spacing w:val="0"/>
          <w:sz w:val="24"/>
          <w:szCs w:val="26"/>
          <w:u w:val="single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Start w:id="12" w:name="Links_Kitvei_End"/>
            <w:bookmarkEnd w:id="9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שגיא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20.9.2018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14615-04-17</w:t>
        </w:r>
      </w:hyperlink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הסנגוריה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הציבורית</w:t>
      </w:r>
      <w:r>
        <w:rPr>
          <w:rFonts w:cs="Miriam" w:ascii="Century" w:hAnsi="Century"/>
          <w:b/>
          <w:spacing w:val="0"/>
          <w:szCs w:val="24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</w:t>
      </w:r>
      <w:r>
        <w:rPr>
          <w:rtl w:val="true"/>
        </w:rPr>
        <w:t>").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6.4.2017</w:t>
      </w:r>
      <w:r>
        <w:rPr>
          <w:rtl w:val="true"/>
        </w:rPr>
        <w:t xml:space="preserve"> </w:t>
      </w:r>
      <w:r>
        <w:rPr>
          <w:rtl w:val="true"/>
        </w:rPr>
        <w:t>הוגש כתב אישום נגד מר זר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במקצועו</w:t>
      </w:r>
      <w:r>
        <w:rPr>
          <w:rtl w:val="true"/>
        </w:rPr>
        <w:t xml:space="preserve">, </w:t>
      </w:r>
      <w:r>
        <w:rPr>
          <w:rtl w:val="true"/>
        </w:rPr>
        <w:t>ונגד שני נאשמים נוספים</w:t>
      </w:r>
      <w:r>
        <w:rPr>
          <w:rtl w:val="true"/>
        </w:rPr>
        <w:t xml:space="preserve">. </w:t>
      </w:r>
      <w:r>
        <w:rPr>
          <w:rtl w:val="true"/>
        </w:rPr>
        <w:t xml:space="preserve">כתב האישום כולל מעל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אישומים נגד מר זר והנאשמים הנוספים</w:t>
      </w:r>
      <w:r>
        <w:rPr>
          <w:rtl w:val="true"/>
        </w:rPr>
        <w:t xml:space="preserve">. </w:t>
      </w:r>
      <w:r>
        <w:rPr>
          <w:rtl w:val="true"/>
        </w:rPr>
        <w:t>לפי פרטי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שלושת הנאשמים בתיק הפעילו מערך אתרי אינטרנט ודפים ברשת החברתית </w:t>
      </w:r>
      <w:r>
        <w:rPr>
          <w:rtl w:val="true"/>
        </w:rPr>
        <w:t>"</w:t>
      </w:r>
      <w:r>
        <w:rPr>
          <w:rtl w:val="true"/>
        </w:rPr>
        <w:t>פייסבוק</w:t>
      </w:r>
      <w:r>
        <w:rPr>
          <w:rtl w:val="true"/>
        </w:rPr>
        <w:t xml:space="preserve">", </w:t>
      </w:r>
      <w:r>
        <w:rPr>
          <w:rtl w:val="true"/>
        </w:rPr>
        <w:t>בהם פרסמו באופן קבוע ושיטתי תכנים קשים ובוטים נגד עובדי ציבור</w:t>
      </w:r>
      <w:r>
        <w:rPr>
          <w:rtl w:val="true"/>
        </w:rPr>
        <w:t xml:space="preserve">, </w:t>
      </w:r>
      <w:r>
        <w:rPr>
          <w:rtl w:val="true"/>
        </w:rPr>
        <w:t>ובהמשך גם נגד אחרים שאינם עובדי ציבור</w:t>
      </w:r>
      <w:r>
        <w:rPr>
          <w:rtl w:val="true"/>
        </w:rPr>
        <w:t xml:space="preserve">, </w:t>
      </w:r>
      <w:r>
        <w:rPr>
          <w:rtl w:val="true"/>
        </w:rPr>
        <w:t>שהיו מעורבים בצורה כזו או אחרת</w:t>
      </w:r>
      <w:r>
        <w:rPr>
          <w:rtl w:val="true"/>
        </w:rPr>
        <w:t xml:space="preserve">, </w:t>
      </w:r>
      <w:r>
        <w:rPr>
          <w:rtl w:val="true"/>
        </w:rPr>
        <w:t>בהליכים שעניינם הוצאת ילדים ממשמורת הוריהם ובהליכים הנוגעים למשמורת ילדים המנוהלים במערכת הרווחה ובבתי המשפט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>קשרו יחד הנאשמים קשר לבצע עבירות פליליות שונות נגד גורמי רווחה</w:t>
      </w:r>
      <w:r>
        <w:rPr>
          <w:rtl w:val="true"/>
        </w:rPr>
        <w:t xml:space="preserve">, </w:t>
      </w:r>
      <w:r>
        <w:rPr>
          <w:rtl w:val="true"/>
        </w:rPr>
        <w:t>גורמי מערכת המשפט וגורמים נוספים</w:t>
      </w:r>
      <w:r>
        <w:rPr>
          <w:rtl w:val="true"/>
        </w:rPr>
        <w:t xml:space="preserve">, </w:t>
      </w:r>
      <w:r>
        <w:rPr>
          <w:rtl w:val="true"/>
        </w:rPr>
        <w:t>שעניינן פגיעה בפרטיות</w:t>
      </w:r>
      <w:r>
        <w:rPr>
          <w:rtl w:val="true"/>
        </w:rPr>
        <w:t xml:space="preserve">, </w:t>
      </w:r>
      <w:r>
        <w:rPr>
          <w:rtl w:val="true"/>
        </w:rPr>
        <w:t>הפרת צווי איסור פרסום</w:t>
      </w:r>
      <w:r>
        <w:rPr>
          <w:rtl w:val="true"/>
        </w:rPr>
        <w:t xml:space="preserve">, </w:t>
      </w:r>
      <w:r>
        <w:rPr>
          <w:rtl w:val="true"/>
        </w:rPr>
        <w:t>העלבת עובדי ציבור</w:t>
      </w:r>
      <w:r>
        <w:rPr>
          <w:rtl w:val="true"/>
        </w:rPr>
        <w:t xml:space="preserve">, </w:t>
      </w:r>
      <w:r>
        <w:rPr>
          <w:rtl w:val="true"/>
        </w:rPr>
        <w:t>זילות בית המשפט</w:t>
      </w:r>
      <w:r>
        <w:rPr>
          <w:rtl w:val="true"/>
        </w:rPr>
        <w:t xml:space="preserve">, </w:t>
      </w:r>
      <w:r>
        <w:rPr>
          <w:rtl w:val="true"/>
        </w:rPr>
        <w:t>ואף הטרדות מיניות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השלושה נאשמים שפגעו בטובת הקטינים המטופלים במערכות הרווחה והמשפט</w:t>
      </w:r>
      <w:r>
        <w:rPr>
          <w:rtl w:val="true"/>
        </w:rPr>
        <w:t xml:space="preserve">, </w:t>
      </w:r>
      <w:r>
        <w:rPr>
          <w:rtl w:val="true"/>
        </w:rPr>
        <w:t>בכך שפרסמו את פרטיהם החסויים</w:t>
      </w:r>
      <w:r>
        <w:rPr>
          <w:rtl w:val="true"/>
        </w:rPr>
        <w:t xml:space="preserve">, </w:t>
      </w:r>
      <w:r>
        <w:rPr>
          <w:rtl w:val="true"/>
        </w:rPr>
        <w:t>תמונותיהם</w:t>
      </w:r>
      <w:r>
        <w:rPr>
          <w:rtl w:val="true"/>
        </w:rPr>
        <w:t xml:space="preserve">, </w:t>
      </w:r>
      <w:r>
        <w:rPr>
          <w:rtl w:val="true"/>
        </w:rPr>
        <w:t>ואף את פרטיהן של משפחות אומנות ומשפחות מאמצות</w:t>
      </w:r>
      <w:r>
        <w:rPr>
          <w:rtl w:val="true"/>
        </w:rPr>
        <w:t xml:space="preserve">, </w:t>
      </w:r>
      <w:r>
        <w:rPr>
          <w:rtl w:val="true"/>
        </w:rPr>
        <w:t>והכל במטרה לחבל בהליכי האימוץ של אותם קטינים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18.4.2017</w:t>
      </w:r>
      <w:r>
        <w:rPr>
          <w:rtl w:val="true"/>
        </w:rPr>
        <w:t xml:space="preserve"> </w:t>
      </w:r>
      <w:r>
        <w:rPr>
          <w:rtl w:val="true"/>
        </w:rPr>
        <w:t>הורה בית המשפט קמא על ייצוג שלושת הנאשמים על ידי הסנגוריה הציבורית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17.5.2017</w:t>
      </w:r>
      <w:r>
        <w:rPr>
          <w:rtl w:val="true"/>
        </w:rPr>
        <w:t xml:space="preserve">, </w:t>
      </w:r>
      <w:r>
        <w:rPr>
          <w:rtl w:val="true"/>
        </w:rPr>
        <w:t>מונה עו</w:t>
      </w:r>
      <w:r>
        <w:rPr>
          <w:rtl w:val="true"/>
        </w:rPr>
        <w:t>"</w:t>
      </w:r>
      <w:r>
        <w:rPr>
          <w:rtl w:val="true"/>
        </w:rPr>
        <w:t>ד דותן דניאלי לייצוגו של מר זר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לאחר מספר חודשים פנה מר זר אל הסנגוריה הציבורית והודיע כי אינו מעוניין שעו</w:t>
      </w:r>
      <w:r>
        <w:rPr>
          <w:rtl w:val="true"/>
        </w:rPr>
        <w:t>"</w:t>
      </w:r>
      <w:r>
        <w:rPr>
          <w:rtl w:val="true"/>
        </w:rPr>
        <w:t>ד דניאלי ימשיך לייצגו</w:t>
      </w:r>
      <w:r>
        <w:rPr>
          <w:rtl w:val="true"/>
        </w:rPr>
        <w:t xml:space="preserve">, </w:t>
      </w:r>
      <w:r>
        <w:rPr>
          <w:rtl w:val="true"/>
        </w:rPr>
        <w:t>והוא מבקש כי יוחלף בסנגור אחר מהסנגוריה הציבורית</w:t>
      </w:r>
      <w:r>
        <w:rPr>
          <w:rtl w:val="true"/>
        </w:rPr>
        <w:t xml:space="preserve">. </w:t>
      </w:r>
      <w:r>
        <w:rPr>
          <w:rtl w:val="true"/>
        </w:rPr>
        <w:t>למרות שהסנגוריה הציבורית סברה שעו</w:t>
      </w:r>
      <w:r>
        <w:rPr>
          <w:rtl w:val="true"/>
        </w:rPr>
        <w:t>"</w:t>
      </w:r>
      <w:r>
        <w:rPr>
          <w:rtl w:val="true"/>
        </w:rPr>
        <w:t>ד דניאלי ביצע תפקידו נאמנה</w:t>
      </w:r>
      <w:r>
        <w:rPr>
          <w:rtl w:val="true"/>
        </w:rPr>
        <w:t xml:space="preserve">, </w:t>
      </w:r>
      <w:r>
        <w:rPr>
          <w:rtl w:val="true"/>
        </w:rPr>
        <w:t>היא נעתרה לבקשתו של מר זר להחלפתו</w:t>
      </w:r>
      <w:r>
        <w:rPr>
          <w:rtl w:val="true"/>
        </w:rPr>
        <w:t xml:space="preserve">, </w:t>
      </w:r>
      <w:r>
        <w:rPr>
          <w:rtl w:val="true"/>
        </w:rPr>
        <w:t xml:space="preserve">לנוכח מורכבות התיק </w:t>
      </w:r>
      <w:r>
        <w:rPr>
          <w:rtl w:val="true"/>
        </w:rPr>
        <w:t>ומתוך</w:t>
      </w:r>
      <w:r>
        <w:rPr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 </w:t>
      </w:r>
      <w:r>
        <w:rPr>
          <w:rtl w:val="true"/>
        </w:rPr>
        <w:t>שיחדל</w:t>
      </w:r>
      <w:r>
        <w:rPr>
          <w:rtl w:val="true"/>
        </w:rPr>
        <w:t xml:space="preserve"> </w:t>
      </w:r>
      <w:r>
        <w:rPr>
          <w:rtl w:val="true"/>
        </w:rPr>
        <w:t>מהגשת</w:t>
      </w:r>
      <w:r>
        <w:rPr>
          <w:rtl w:val="true"/>
        </w:rPr>
        <w:t xml:space="preserve"> </w:t>
      </w:r>
      <w:r>
        <w:rPr>
          <w:rtl w:val="true"/>
        </w:rPr>
        <w:t>בקשות</w:t>
      </w:r>
      <w:r>
        <w:rPr>
          <w:rtl w:val="true"/>
        </w:rPr>
        <w:t xml:space="preserve"> </w:t>
      </w:r>
      <w:r>
        <w:rPr>
          <w:rtl w:val="true"/>
        </w:rPr>
        <w:t xml:space="preserve">באופן </w:t>
      </w:r>
      <w:r>
        <w:rPr>
          <w:rtl w:val="true"/>
        </w:rPr>
        <w:t>עצמאי</w:t>
      </w:r>
      <w:r>
        <w:rPr>
          <w:rtl w:val="true"/>
        </w:rPr>
        <w:t xml:space="preserve"> </w:t>
      </w:r>
      <w:r>
        <w:rPr>
          <w:rtl w:val="true"/>
        </w:rPr>
        <w:t>וישכיל</w:t>
      </w:r>
      <w:r>
        <w:rPr>
          <w:rtl w:val="true"/>
        </w:rPr>
        <w:t xml:space="preserve"> </w:t>
      </w:r>
      <w:r>
        <w:rPr>
          <w:rtl w:val="true"/>
        </w:rPr>
        <w:t>לנצל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החלפת</w:t>
      </w:r>
      <w:r>
        <w:rPr>
          <w:rtl w:val="true"/>
        </w:rPr>
        <w:t xml:space="preserve"> </w:t>
      </w:r>
      <w:r>
        <w:rPr>
          <w:rtl w:val="true"/>
        </w:rPr>
        <w:t>הייצוג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18.9.2017</w:t>
      </w:r>
      <w:r>
        <w:rPr>
          <w:rtl w:val="true"/>
        </w:rPr>
        <w:t xml:space="preserve"> </w:t>
      </w:r>
      <w:r>
        <w:rPr>
          <w:rtl w:val="true"/>
        </w:rPr>
        <w:t>קיבלה על עצמה עו</w:t>
      </w:r>
      <w:r>
        <w:rPr>
          <w:rtl w:val="true"/>
        </w:rPr>
        <w:t>"</w:t>
      </w:r>
      <w:r>
        <w:rPr>
          <w:rtl w:val="true"/>
        </w:rPr>
        <w:t>ד נאוה דהאן את הייצוג בתיק מטעם הסנגוריה הציבורית</w:t>
      </w:r>
      <w:r>
        <w:rPr>
          <w:rtl w:val="true"/>
        </w:rPr>
        <w:t xml:space="preserve">. </w:t>
      </w:r>
      <w:r>
        <w:rPr>
          <w:rtl w:val="true"/>
        </w:rPr>
        <w:t xml:space="preserve">לאור מורכבות התיק מונה ביום </w:t>
      </w:r>
      <w:r>
        <w:rPr/>
        <w:t>21.2.2018</w:t>
      </w:r>
      <w:r>
        <w:rPr>
          <w:rtl w:val="true"/>
        </w:rPr>
        <w:t xml:space="preserve"> </w:t>
      </w:r>
      <w:r>
        <w:rPr>
          <w:rtl w:val="true"/>
        </w:rPr>
        <w:t xml:space="preserve">סנגור נוסף לצוות ההגנה של מר זר </w:t>
      </w:r>
      <w:r>
        <w:rPr>
          <w:rtl w:val="true"/>
        </w:rPr>
        <w:t>–</w:t>
      </w:r>
      <w:r>
        <w:rPr>
          <w:rtl w:val="true"/>
        </w:rPr>
        <w:t xml:space="preserve"> עו</w:t>
      </w:r>
      <w:r>
        <w:rPr>
          <w:rtl w:val="true"/>
        </w:rPr>
        <w:t>"</w:t>
      </w:r>
      <w:r>
        <w:rPr>
          <w:rtl w:val="true"/>
        </w:rPr>
        <w:t>ד אלי בניה</w:t>
      </w:r>
      <w:r>
        <w:rPr>
          <w:rtl w:val="true"/>
        </w:rPr>
        <w:t xml:space="preserve">. </w:t>
      </w:r>
      <w:r>
        <w:rPr>
          <w:rtl w:val="true"/>
        </w:rPr>
        <w:t>מספר חודשים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19.7.2018</w:t>
      </w:r>
      <w:r>
        <w:rPr>
          <w:rtl w:val="true"/>
        </w:rPr>
        <w:t xml:space="preserve"> </w:t>
      </w:r>
      <w:r>
        <w:rPr>
          <w:rtl w:val="true"/>
        </w:rPr>
        <w:t>הגיש עו</w:t>
      </w:r>
      <w:r>
        <w:rPr>
          <w:rtl w:val="true"/>
        </w:rPr>
        <w:t>"</w:t>
      </w:r>
      <w:r>
        <w:rPr>
          <w:rtl w:val="true"/>
        </w:rPr>
        <w:t>ד בניה לבית המשפט קמא בקשה לשחרורו מהייצוג</w:t>
      </w:r>
      <w:r>
        <w:rPr>
          <w:rtl w:val="true"/>
        </w:rPr>
        <w:t xml:space="preserve">, </w:t>
      </w:r>
      <w:r>
        <w:rPr>
          <w:rtl w:val="true"/>
        </w:rPr>
        <w:t>לאור מחלוקות מקצועיות מהותיות שנתגלעו בינו לבין מר זר</w:t>
      </w:r>
      <w:r>
        <w:rPr>
          <w:rtl w:val="true"/>
        </w:rPr>
        <w:t xml:space="preserve">, </w:t>
      </w:r>
      <w:r>
        <w:rPr>
          <w:rtl w:val="true"/>
        </w:rPr>
        <w:t>אשר לטענת עו</w:t>
      </w:r>
      <w:r>
        <w:rPr>
          <w:rtl w:val="true"/>
        </w:rPr>
        <w:t>"</w:t>
      </w:r>
      <w:r>
        <w:rPr>
          <w:rtl w:val="true"/>
        </w:rPr>
        <w:t>ד בניה מבקש לנהל את הגנתו בנפרד מסנגוריו</w:t>
      </w:r>
      <w:r>
        <w:rPr>
          <w:rtl w:val="true"/>
        </w:rPr>
        <w:t xml:space="preserve">. </w:t>
      </w:r>
      <w:r>
        <w:rPr>
          <w:rtl w:val="true"/>
        </w:rPr>
        <w:t>לאור הקשיים האמורים</w:t>
      </w:r>
      <w:r>
        <w:rPr>
          <w:rtl w:val="true"/>
        </w:rPr>
        <w:t xml:space="preserve">, </w:t>
      </w:r>
      <w:r>
        <w:rPr>
          <w:rtl w:val="true"/>
        </w:rPr>
        <w:t>וכן בעקבות קשיים נוספים הנוגעים לאינטנסיביות בסדר הזמנים של המשפט</w:t>
      </w:r>
      <w:r>
        <w:rPr>
          <w:rtl w:val="true"/>
        </w:rPr>
        <w:t xml:space="preserve">, </w:t>
      </w:r>
      <w:r>
        <w:rPr>
          <w:rtl w:val="true"/>
        </w:rPr>
        <w:t>שדרשו התמסרות מלאה לייצוג בתיק</w:t>
      </w:r>
      <w:r>
        <w:rPr>
          <w:rtl w:val="true"/>
        </w:rPr>
        <w:t xml:space="preserve">, </w:t>
      </w:r>
      <w:r>
        <w:rPr>
          <w:rtl w:val="true"/>
        </w:rPr>
        <w:t xml:space="preserve">מינתה הסנגוריה הציבורית בתחילת יולי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את עו</w:t>
      </w:r>
      <w:r>
        <w:rPr>
          <w:rtl w:val="true"/>
        </w:rPr>
        <w:t>"</w:t>
      </w:r>
      <w:r>
        <w:rPr>
          <w:rtl w:val="true"/>
        </w:rPr>
        <w:t>ד טלי חזום</w:t>
      </w:r>
      <w:r>
        <w:rPr>
          <w:rtl w:val="true"/>
        </w:rPr>
        <w:t xml:space="preserve">, </w:t>
      </w:r>
      <w:r>
        <w:rPr>
          <w:rtl w:val="true"/>
        </w:rPr>
        <w:t>במקומו של עו</w:t>
      </w:r>
      <w:r>
        <w:rPr>
          <w:rtl w:val="true"/>
        </w:rPr>
        <w:t>"</w:t>
      </w:r>
      <w:r>
        <w:rPr>
          <w:rtl w:val="true"/>
        </w:rPr>
        <w:t>ד בניה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לשחרור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מייצוג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>לטענת הסנגוריה הציבורית מר זר פועל באופן עקבי במקביל לסנגוריו תוך שהוא מנהל למעשה באופן עצמאי לחלוטין קו הגנה שונה</w:t>
      </w:r>
      <w:r>
        <w:rPr>
          <w:rtl w:val="true"/>
        </w:rPr>
        <w:t xml:space="preserve">, </w:t>
      </w:r>
      <w:r>
        <w:rPr>
          <w:rtl w:val="true"/>
        </w:rPr>
        <w:t>בניגוד להמלצותיהם</w:t>
      </w:r>
      <w:r>
        <w:rPr>
          <w:rtl w:val="true"/>
        </w:rPr>
        <w:t xml:space="preserve">. </w:t>
      </w:r>
      <w:r>
        <w:rPr>
          <w:rtl w:val="true"/>
        </w:rPr>
        <w:t>הדבר בא לידי ביטוי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בכך שהוא מגיש באופן עצמאי בקשות לבית המשפט</w:t>
      </w:r>
      <w:r>
        <w:rPr>
          <w:rtl w:val="true"/>
        </w:rPr>
        <w:t xml:space="preserve">, </w:t>
      </w:r>
      <w:r>
        <w:rPr>
          <w:rtl w:val="true"/>
        </w:rPr>
        <w:t>מחזיק בדעה שאם לא יידונו כל טענותיו כפי שהן</w:t>
      </w:r>
      <w:r>
        <w:rPr>
          <w:rtl w:val="true"/>
        </w:rPr>
        <w:t xml:space="preserve">, </w:t>
      </w:r>
      <w:r>
        <w:rPr>
          <w:rtl w:val="true"/>
        </w:rPr>
        <w:t>לא תהיה הגנתו ראויה</w:t>
      </w:r>
      <w:r>
        <w:rPr>
          <w:rtl w:val="true"/>
        </w:rPr>
        <w:t xml:space="preserve">, </w:t>
      </w:r>
      <w:r>
        <w:rPr>
          <w:rtl w:val="true"/>
        </w:rPr>
        <w:t>ולמעשה מבקש להחזיק בהגה המשפטי כשתפקיד הסנגורים הוא להיענות לכל דרישותיו או גחמותיו</w:t>
      </w:r>
      <w:r>
        <w:rPr>
          <w:rtl w:val="true"/>
        </w:rPr>
        <w:t xml:space="preserve">. </w:t>
      </w:r>
      <w:r>
        <w:rPr>
          <w:rtl w:val="true"/>
        </w:rPr>
        <w:t>בעקבות כל אלה הגישה הסנגוריה הציבורית בקשה להשתחרר מייצוגו של מר זר</w:t>
      </w:r>
      <w:r>
        <w:rPr>
          <w:rtl w:val="true"/>
        </w:rPr>
        <w:t xml:space="preserve">. </w:t>
      </w:r>
      <w:r>
        <w:rPr>
          <w:rtl w:val="true"/>
        </w:rPr>
        <w:t xml:space="preserve">דיון בבקשה התקיים בבית המשפט קמא ביום </w:t>
      </w:r>
      <w:r>
        <w:rPr/>
        <w:t>20.9.2018</w:t>
      </w:r>
      <w:r>
        <w:rPr>
          <w:rtl w:val="true"/>
        </w:rPr>
        <w:t xml:space="preserve">. </w:t>
      </w:r>
      <w:r>
        <w:rPr>
          <w:rtl w:val="true"/>
        </w:rPr>
        <w:t>בדיון נטען כי הסנגוריות בתיק נאלצות לפעול בניגוד להשקפתן המקצועית</w:t>
      </w:r>
      <w:r>
        <w:rPr>
          <w:rtl w:val="true"/>
        </w:rPr>
        <w:t xml:space="preserve">, </w:t>
      </w:r>
      <w:r>
        <w:rPr>
          <w:rtl w:val="true"/>
        </w:rPr>
        <w:t>והדבר מביא לכך שקו ההגנה איננו אחיד</w:t>
      </w:r>
      <w:r>
        <w:rPr>
          <w:rtl w:val="true"/>
        </w:rPr>
        <w:t xml:space="preserve">. </w:t>
      </w:r>
      <w:r>
        <w:rPr>
          <w:rtl w:val="true"/>
        </w:rPr>
        <w:t>כן טענה הסנגוריה הציבורית</w:t>
      </w:r>
      <w:r>
        <w:rPr>
          <w:rtl w:val="true"/>
        </w:rPr>
        <w:t xml:space="preserve">, </w:t>
      </w:r>
      <w:r>
        <w:rPr>
          <w:rtl w:val="true"/>
        </w:rPr>
        <w:t>כי במצב הקיים לא מתאפשר ייצוג אופטימלי של מר זר</w:t>
      </w:r>
      <w:r>
        <w:rPr>
          <w:rtl w:val="true"/>
        </w:rPr>
        <w:t xml:space="preserve">, </w:t>
      </w:r>
      <w:r>
        <w:rPr>
          <w:rtl w:val="true"/>
        </w:rPr>
        <w:t>שכן קולו נחסם</w:t>
      </w:r>
      <w:r>
        <w:rPr>
          <w:rtl w:val="true"/>
        </w:rPr>
        <w:t xml:space="preserve">, </w:t>
      </w:r>
      <w:r>
        <w:rPr>
          <w:rtl w:val="true"/>
        </w:rPr>
        <w:t>ומן העבר השני של הדברים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865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לפרוטוקול הדיון בבית המשפט קמא מיום </w:t>
      </w:r>
      <w:r>
        <w:rPr>
          <w:rFonts w:cs="Century" w:ascii="Century" w:hAnsi="Century"/>
          <w:sz w:val="22"/>
        </w:rPr>
        <w:t>20.9.2018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מר זר טען בדיון כי הסנגוריה הציבורית למעשה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מנסה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להכניס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צפרדע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בפה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ותגיד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תבלע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אותה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אם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תבלע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אותה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שיתפת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פעולה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אם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בלעת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שיתפת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פעולה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863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בבית המשפט קמא מיום </w:t>
      </w:r>
      <w:r>
        <w:rPr/>
        <w:t>20.9.2018</w:t>
      </w:r>
      <w:r>
        <w:rPr>
          <w:rtl w:val="true"/>
        </w:rPr>
        <w:t xml:space="preserve">). </w:t>
      </w:r>
      <w:r>
        <w:rPr>
          <w:rtl w:val="true"/>
        </w:rPr>
        <w:t>עוד ציין מר זר כי גם במקרה של הנאשמת הנוספת בתיק התגלעו חילוקי דעות בינה לבין סנגוריה</w:t>
      </w:r>
      <w:r>
        <w:rPr>
          <w:rtl w:val="true"/>
        </w:rPr>
        <w:t xml:space="preserve">, </w:t>
      </w:r>
      <w:r>
        <w:rPr>
          <w:rtl w:val="true"/>
        </w:rPr>
        <w:t>ונמצאו לה סנגורים אחרים על ידי הסנגוריה הציבורית</w:t>
      </w:r>
      <w:r>
        <w:rPr>
          <w:rtl w:val="true"/>
        </w:rPr>
        <w:t xml:space="preserve">, </w:t>
      </w:r>
      <w:r>
        <w:rPr>
          <w:rtl w:val="true"/>
        </w:rPr>
        <w:t>וכך צריך להיעשות גם במקרה שלו</w:t>
      </w:r>
      <w:r>
        <w:rPr>
          <w:rtl w:val="true"/>
        </w:rPr>
        <w:t xml:space="preserve">. </w:t>
      </w:r>
      <w:r>
        <w:rPr>
          <w:rtl w:val="true"/>
        </w:rPr>
        <w:t>מר זר הוסיף וטען כי הבעיה העיקרית בעניינו היא משבר האמון שנוצר בינו לבין הסנגוריות הנוכחיות</w:t>
      </w:r>
      <w:r>
        <w:rPr>
          <w:rtl w:val="true"/>
        </w:rPr>
        <w:t xml:space="preserve">. </w:t>
      </w:r>
      <w:r>
        <w:rPr>
          <w:rtl w:val="true"/>
        </w:rPr>
        <w:t>טענה נוספת שנטענה על ידי מר זר היא כי אחת הסנגוריות ציינה לפניו שהסנגוריה הציבורית טרם הסדירה את שכר הטרחה שלה</w:t>
      </w:r>
      <w:r>
        <w:rPr>
          <w:rtl w:val="true"/>
        </w:rPr>
        <w:t xml:space="preserve">, </w:t>
      </w:r>
      <w:r>
        <w:rPr>
          <w:rtl w:val="true"/>
        </w:rPr>
        <w:t>מה שמביא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לפגיעה באיכות הייצוג המתקבל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בסיומו של הדיון ניתנה החלטת בית המשפט קמא</w:t>
      </w:r>
      <w:r>
        <w:rPr>
          <w:rtl w:val="true"/>
        </w:rPr>
        <w:t xml:space="preserve">, </w:t>
      </w:r>
      <w:r>
        <w:rPr>
          <w:rtl w:val="true"/>
        </w:rPr>
        <w:t>במסגרתה נדחתה בקשת הסנגוריה לשחרור מייצוג</w:t>
      </w:r>
      <w:r>
        <w:rPr>
          <w:rtl w:val="true"/>
        </w:rPr>
        <w:t xml:space="preserve">. </w:t>
      </w:r>
      <w:r>
        <w:rPr>
          <w:rtl w:val="true"/>
        </w:rPr>
        <w:t>נקבע כי מדובר במשפט מורכב</w:t>
      </w:r>
      <w:r>
        <w:rPr>
          <w:rtl w:val="true"/>
        </w:rPr>
        <w:t xml:space="preserve">, </w:t>
      </w:r>
      <w:r>
        <w:rPr>
          <w:rtl w:val="true"/>
        </w:rPr>
        <w:t>ומעבר למחלוקות העובדתיות הקיימות</w:t>
      </w:r>
      <w:r>
        <w:rPr>
          <w:rtl w:val="true"/>
        </w:rPr>
        <w:t xml:space="preserve">, </w:t>
      </w:r>
      <w:r>
        <w:rPr>
          <w:rtl w:val="true"/>
        </w:rPr>
        <w:t>ישנן גם מחלוקות משפטיות משמעותיות וסוגיות חוקתיות הנוגעות לחופש הביטוי שיש להידרש אליהן</w:t>
      </w:r>
      <w:r>
        <w:rPr>
          <w:rtl w:val="true"/>
        </w:rPr>
        <w:t xml:space="preserve">. </w:t>
      </w:r>
      <w:r>
        <w:rPr>
          <w:rtl w:val="true"/>
        </w:rPr>
        <w:t>צוין כי גם אם קיימות מחלוקות בין מר זר לבין הסנגוריה הציבורית</w:t>
      </w:r>
      <w:r>
        <w:rPr>
          <w:rtl w:val="true"/>
        </w:rPr>
        <w:t xml:space="preserve">, </w:t>
      </w:r>
      <w:r>
        <w:rPr>
          <w:rtl w:val="true"/>
        </w:rPr>
        <w:t>היקפו של התיק ומורכבותו מחייבות עשיית מאמץ עליון לגשר עליהן כך שייצוגו של מר זר יימשך</w:t>
      </w:r>
      <w:r>
        <w:rPr>
          <w:rtl w:val="true"/>
        </w:rPr>
        <w:t xml:space="preserve">. </w:t>
      </w:r>
      <w:r>
        <w:rPr>
          <w:rtl w:val="true"/>
        </w:rPr>
        <w:t>עוד הוסיף בית המשפט קמא כי ישנה חשיבות לכך שמר זר מעוניין בייצוג הסנגוריה</w:t>
      </w:r>
      <w:r>
        <w:rPr>
          <w:rtl w:val="true"/>
        </w:rPr>
        <w:t xml:space="preserve">, </w:t>
      </w:r>
      <w:r>
        <w:rPr>
          <w:rtl w:val="true"/>
        </w:rPr>
        <w:t>גם אם בפועל לטעמו עליה לנהוג לפי דרכו המשפטית</w:t>
      </w:r>
      <w:r>
        <w:rPr>
          <w:rtl w:val="true"/>
        </w:rPr>
        <w:t xml:space="preserve">. </w:t>
      </w:r>
      <w:r>
        <w:rPr>
          <w:rtl w:val="true"/>
        </w:rPr>
        <w:t>לפי בית המשפט קמא חשיבות זו מתבררת גם מהבקשות השונות שהגיש מר זר על דעת עצמו</w:t>
      </w:r>
      <w:r>
        <w:rPr>
          <w:rtl w:val="true"/>
        </w:rPr>
        <w:t xml:space="preserve">, </w:t>
      </w:r>
      <w:r>
        <w:rPr>
          <w:rtl w:val="true"/>
        </w:rPr>
        <w:t>אשר חלקן אינן עולות בקנה אחד עם כללי סדר הדין הפלילי</w:t>
      </w:r>
      <w:r>
        <w:rPr>
          <w:rtl w:val="true"/>
        </w:rPr>
        <w:t xml:space="preserve">. </w:t>
      </w:r>
      <w:r>
        <w:rPr>
          <w:rtl w:val="true"/>
        </w:rPr>
        <w:t>בית המשפט קמא סבר כי הדבר נובע מהיעדר הדרכה מתאימה באשר לאופן בו מתנהלים הליכים פליליים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על אף שמר זר הוא משפטן בהשכלתו</w:t>
      </w:r>
      <w:r>
        <w:rPr>
          <w:rtl w:val="true"/>
        </w:rPr>
        <w:t xml:space="preserve">. </w:t>
      </w:r>
      <w:r>
        <w:rPr>
          <w:rtl w:val="true"/>
        </w:rPr>
        <w:t>באשר לבקשות העצמאיות שמגיש מר זר</w:t>
      </w:r>
      <w:r>
        <w:rPr>
          <w:rtl w:val="true"/>
        </w:rPr>
        <w:t xml:space="preserve">, </w:t>
      </w:r>
      <w:r>
        <w:rPr>
          <w:rtl w:val="true"/>
        </w:rPr>
        <w:t>קבע בית המשפט קמא כי בקשות אלה לא יתבררו בפני בית המשפט אלא אם יוגשו על ידי הסנגוריה הציבורית</w:t>
      </w:r>
      <w:r>
        <w:rPr>
          <w:rtl w:val="true"/>
        </w:rPr>
        <w:t xml:space="preserve">, </w:t>
      </w:r>
      <w:r>
        <w:rPr>
          <w:rtl w:val="true"/>
        </w:rPr>
        <w:t xml:space="preserve">למעט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בקשות בחודש שיוכל מר זר להגיש בעצמו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החלטה זו של בית משפט קמא הוגש הערעור שלפנינו</w:t>
      </w:r>
      <w:r>
        <w:rPr>
          <w:rtl w:val="true"/>
        </w:rPr>
        <w:t xml:space="preserve">. </w:t>
      </w:r>
      <w:r>
        <w:rPr>
          <w:rtl w:val="true"/>
        </w:rPr>
        <w:t>במסגרת הערעור עמדה הסנגוריה הציבורית</w:t>
      </w:r>
      <w:r>
        <w:rPr>
          <w:rtl w:val="true"/>
        </w:rPr>
        <w:t xml:space="preserve">, </w:t>
      </w:r>
      <w:r>
        <w:rPr>
          <w:rtl w:val="true"/>
        </w:rPr>
        <w:t>הן בכתב והן בעל פה</w:t>
      </w:r>
      <w:r>
        <w:rPr>
          <w:rtl w:val="true"/>
        </w:rPr>
        <w:t xml:space="preserve">, </w:t>
      </w:r>
      <w:r>
        <w:rPr>
          <w:rtl w:val="true"/>
        </w:rPr>
        <w:t>על כך שעניינו של הערעור עוסק בסיטואציה בלתי שגרתית</w:t>
      </w:r>
      <w:r>
        <w:rPr>
          <w:rtl w:val="true"/>
        </w:rPr>
        <w:t xml:space="preserve">, </w:t>
      </w:r>
      <w:r>
        <w:rPr>
          <w:rtl w:val="true"/>
        </w:rPr>
        <w:t>בה מר זר טוען כי הוא מעוניין בייצוג הסנגוריה הציבורית</w:t>
      </w:r>
      <w:r>
        <w:rPr>
          <w:rtl w:val="true"/>
        </w:rPr>
        <w:t xml:space="preserve">, </w:t>
      </w:r>
      <w:r>
        <w:rPr>
          <w:rtl w:val="true"/>
        </w:rPr>
        <w:t>אולם התנהלותו בפועל מכשילה לשיטתה באופן עקבי את אפשרות הייצוג על ידי הסנגוריה הציבורית</w:t>
      </w:r>
      <w:r>
        <w:rPr>
          <w:rtl w:val="true"/>
        </w:rPr>
        <w:t xml:space="preserve">. </w:t>
      </w:r>
      <w:r>
        <w:rPr>
          <w:rtl w:val="true"/>
        </w:rPr>
        <w:t>מר זר אינו נשמע לעצות סנגוריו</w:t>
      </w:r>
      <w:r>
        <w:rPr>
          <w:rtl w:val="true"/>
        </w:rPr>
        <w:t xml:space="preserve">, </w:t>
      </w:r>
      <w:r>
        <w:rPr>
          <w:rtl w:val="true"/>
        </w:rPr>
        <w:t>מנסה לכפות עליהם קווי הגנה המנוגדים לעצותיהם</w:t>
      </w:r>
      <w:r>
        <w:rPr>
          <w:rtl w:val="true"/>
        </w:rPr>
        <w:t xml:space="preserve">, </w:t>
      </w:r>
      <w:r>
        <w:rPr>
          <w:rtl w:val="true"/>
        </w:rPr>
        <w:t>פונה לבית המשפט בבקשות עצמאיות</w:t>
      </w:r>
      <w:r>
        <w:rPr>
          <w:rtl w:val="true"/>
        </w:rPr>
        <w:t xml:space="preserve">, </w:t>
      </w:r>
      <w:r>
        <w:rPr>
          <w:rtl w:val="true"/>
        </w:rPr>
        <w:t>ונוקט בטקטיקות אשר אינן מקובלות על סנגוריו</w:t>
      </w:r>
      <w:r>
        <w:rPr>
          <w:rtl w:val="true"/>
        </w:rPr>
        <w:t xml:space="preserve">, </w:t>
      </w:r>
      <w:r>
        <w:rPr>
          <w:rtl w:val="true"/>
        </w:rPr>
        <w:t>ולדעתם אף מזיקות לו</w:t>
      </w:r>
      <w:r>
        <w:rPr>
          <w:rtl w:val="true"/>
        </w:rPr>
        <w:t xml:space="preserve">. </w:t>
      </w:r>
      <w:r>
        <w:rPr>
          <w:rtl w:val="true"/>
        </w:rPr>
        <w:t>לטענת הסנגוריה הציבורית</w:t>
      </w:r>
      <w:r>
        <w:rPr>
          <w:rtl w:val="true"/>
        </w:rPr>
        <w:t xml:space="preserve">, </w:t>
      </w:r>
      <w:r>
        <w:rPr>
          <w:rtl w:val="true"/>
        </w:rPr>
        <w:t>מדובר במקרה מובהק של חוסר שיתוף פעולה</w:t>
      </w:r>
      <w:r>
        <w:rPr>
          <w:rtl w:val="true"/>
        </w:rPr>
        <w:t xml:space="preserve">, </w:t>
      </w:r>
      <w:r>
        <w:rPr>
          <w:rtl w:val="true"/>
        </w:rPr>
        <w:t>ושל חילוקי דעות היורדים לשורש העניין ופוגעים באפשרות הסנגוריה הציבורית להעניק למר זר ייצוג נאות</w:t>
      </w:r>
      <w:r>
        <w:rPr>
          <w:rtl w:val="true"/>
        </w:rPr>
        <w:t xml:space="preserve">. </w:t>
      </w:r>
      <w:r>
        <w:rPr>
          <w:rtl w:val="true"/>
        </w:rPr>
        <w:t>כן טענה לפנינו הסנגוריה הציבורית כי הייצוג במתכונתו הנוכחית אינו מועיל ואין בו כל ערך מוסף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Fonts w:ascii="Century" w:hAnsi="Century" w:cs="Century"/>
          <w:sz w:val="22"/>
          <w:sz w:val="22"/>
          <w:rtl w:val="true"/>
        </w:rPr>
        <w:t>אף סנגור אינו יכול לענות על ציפיותיו</w:t>
      </w:r>
      <w:r>
        <w:rPr>
          <w:rtl w:val="true"/>
        </w:rPr>
        <w:t xml:space="preserve"> של מר זר מסנגוריו</w:t>
      </w:r>
      <w:r>
        <w:rPr>
          <w:rtl w:val="true"/>
        </w:rPr>
        <w:t xml:space="preserve">. </w:t>
      </w:r>
      <w:r>
        <w:rPr>
          <w:rtl w:val="true"/>
        </w:rPr>
        <w:t>עוד טענה הסנגוריה הציבורית כי תפקידו של סנגור ציבורי איננו למלא בצורה עיוורת אחר כל הוראה של הנאשם</w:t>
      </w:r>
      <w:r>
        <w:rPr>
          <w:rtl w:val="true"/>
        </w:rPr>
        <w:t xml:space="preserve">, </w:t>
      </w:r>
      <w:r>
        <w:rPr>
          <w:rtl w:val="true"/>
        </w:rPr>
        <w:t>ומצב כזה עלול להביא לפגיעה בתדמיתה של הסנגוריה הציבורית בעיני הציבור</w:t>
      </w:r>
      <w:r>
        <w:rPr>
          <w:rtl w:val="true"/>
        </w:rPr>
        <w:t xml:space="preserve">, </w:t>
      </w:r>
      <w:r>
        <w:rPr>
          <w:rtl w:val="true"/>
        </w:rPr>
        <w:t>וכן עשוי להוביל לפגיעה באיכות הייצוג</w:t>
      </w:r>
      <w:r>
        <w:rPr>
          <w:rtl w:val="true"/>
        </w:rPr>
        <w:t xml:space="preserve">, </w:t>
      </w:r>
      <w:r>
        <w:rPr>
          <w:rtl w:val="true"/>
        </w:rPr>
        <w:t>הנעשה למראית עין בלבד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במצב בו אין תיאום בין נאשם לבין סנגוריו</w:t>
      </w:r>
      <w:r>
        <w:rPr>
          <w:rtl w:val="true"/>
        </w:rPr>
        <w:t xml:space="preserve">, </w:t>
      </w:r>
      <w:r>
        <w:rPr>
          <w:rtl w:val="true"/>
        </w:rPr>
        <w:t>מתערער יסוד השליחות העומד בבסיס מערכת היחסים שבין עורך דין ללקוחו</w:t>
      </w:r>
      <w:r>
        <w:rPr>
          <w:rtl w:val="true"/>
        </w:rPr>
        <w:t xml:space="preserve">, </w:t>
      </w:r>
      <w:r>
        <w:rPr>
          <w:rtl w:val="true"/>
        </w:rPr>
        <w:t>ועורך הדין אף עשוי למצוא עצמו מפר את חובותיו האתיות</w:t>
      </w:r>
      <w:r>
        <w:rPr>
          <w:rtl w:val="true"/>
        </w:rPr>
        <w:t xml:space="preserve">, </w:t>
      </w:r>
      <w:r>
        <w:rPr>
          <w:rtl w:val="true"/>
        </w:rPr>
        <w:t>ולהיות חשוף להעמדה לדין משמעתי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טענה הסנגוריה הציבורית כי במקרה דנן</w:t>
      </w:r>
      <w:r>
        <w:rPr>
          <w:rtl w:val="true"/>
        </w:rPr>
        <w:t xml:space="preserve">, </w:t>
      </w:r>
      <w:r>
        <w:rPr>
          <w:rtl w:val="true"/>
        </w:rPr>
        <w:t>מדובר בנאשם המסוגל לייצג את עצמו</w:t>
      </w:r>
      <w:r>
        <w:rPr>
          <w:rtl w:val="true"/>
        </w:rPr>
        <w:t xml:space="preserve">, </w:t>
      </w:r>
      <w:r>
        <w:rPr>
          <w:rtl w:val="true"/>
        </w:rPr>
        <w:t>שכן הוא בעל השכלה משפטית</w:t>
      </w:r>
      <w:r>
        <w:rPr>
          <w:rtl w:val="true"/>
        </w:rPr>
        <w:t xml:space="preserve">, </w:t>
      </w:r>
      <w:r>
        <w:rPr>
          <w:rtl w:val="true"/>
        </w:rPr>
        <w:t>עוסק בעריכת דין ומכיר היטב את התיק ואת חומר הראיות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cs="Miriam"/>
          <w:b/>
          <w:spacing w:val="0"/>
          <w:sz w:val="22"/>
          <w:szCs w:val="24"/>
        </w:rPr>
      </w:pPr>
      <w:r>
        <w:rPr>
          <w:rtl w:val="true"/>
        </w:rPr>
        <w:t>מר זר הבהיר בדיון שהתקיים לפנינו כי הוא איננו מעוניין בהפסקת הייצוג על ידי הסנגוריה הציבורית</w:t>
      </w:r>
      <w:r>
        <w:rPr>
          <w:rtl w:val="true"/>
        </w:rPr>
        <w:t xml:space="preserve">, </w:t>
      </w:r>
      <w:r>
        <w:rPr>
          <w:rtl w:val="true"/>
        </w:rPr>
        <w:t xml:space="preserve">הגם שנוצר משבר אמון בין הצדדים והוא חש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שהסניגוריה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ולחזור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אליהם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קל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לפרוטוקול הדיון מיום </w:t>
      </w:r>
      <w:r>
        <w:rPr>
          <w:sz w:val="22"/>
        </w:rPr>
        <w:t>29.11.2018</w:t>
      </w:r>
      <w:r>
        <w:rPr>
          <w:sz w:val="22"/>
          <w:rtl w:val="true"/>
        </w:rPr>
        <w:t xml:space="preserve">). </w:t>
      </w:r>
      <w:r>
        <w:rPr>
          <w:rtl w:val="true"/>
        </w:rPr>
        <w:t>כן טען מר זר כי להרגשתו</w:t>
      </w:r>
      <w:r>
        <w:rPr>
          <w:rtl w:val="true"/>
        </w:rPr>
        <w:t xml:space="preserve">, </w:t>
      </w:r>
      <w:r>
        <w:rPr>
          <w:rtl w:val="true"/>
        </w:rPr>
        <w:t>הוא מכיר את התיק בצורה טובה יותר מצוות ההגנה שמונה לו</w:t>
      </w:r>
      <w:r>
        <w:rPr>
          <w:rtl w:val="true"/>
        </w:rPr>
        <w:t xml:space="preserve">, </w:t>
      </w:r>
      <w:r>
        <w:rPr>
          <w:rtl w:val="true"/>
        </w:rPr>
        <w:t>והדבר נובע משכרן הנמוך של הסנגוריות הפוגע באיכות הייצוג שניתן לו</w:t>
      </w:r>
      <w:r>
        <w:rPr>
          <w:rtl w:val="true"/>
        </w:rPr>
        <w:t xml:space="preserve">, </w:t>
      </w:r>
      <w:r>
        <w:rPr>
          <w:rtl w:val="true"/>
        </w:rPr>
        <w:t>שכן לטענתו</w:t>
      </w:r>
      <w:r>
        <w:rPr>
          <w:rtl w:val="true"/>
        </w:rPr>
        <w:t xml:space="preserve">,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להן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לשבת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ולקרוא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משלמים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להן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לפרוטוקול הדיון מיום </w:t>
      </w:r>
      <w:r>
        <w:rPr>
          <w:sz w:val="22"/>
        </w:rPr>
        <w:t>29.11.2018</w:t>
      </w:r>
      <w:r>
        <w:rPr>
          <w:sz w:val="22"/>
          <w:rtl w:val="true"/>
        </w:rPr>
        <w:t xml:space="preserve">). </w:t>
      </w:r>
    </w:p>
    <w:p>
      <w:pPr>
        <w:pStyle w:val="Ruller4"/>
        <w:ind w:end="0"/>
        <w:jc w:val="both"/>
        <w:rPr>
          <w:rFonts w:cs="Miriam"/>
          <w:b/>
          <w:spacing w:val="0"/>
          <w:sz w:val="22"/>
          <w:szCs w:val="24"/>
        </w:rPr>
      </w:pPr>
      <w:r>
        <w:rPr>
          <w:rFonts w:cs="Miriam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 כוח המדינה מסר כי עמדת המדינה היא שקיים צורך שמר זר יהיה מיוצג</w:t>
      </w:r>
      <w:r>
        <w:rPr>
          <w:rtl w:val="true"/>
        </w:rPr>
        <w:t xml:space="preserve">. </w:t>
      </w:r>
      <w:r>
        <w:rPr>
          <w:rtl w:val="true"/>
        </w:rPr>
        <w:t>זאת מכיוון שמדובר במצב בו קיימת חובת ייצוג</w:t>
      </w:r>
      <w:r>
        <w:rPr>
          <w:rtl w:val="true"/>
        </w:rPr>
        <w:t xml:space="preserve">, </w:t>
      </w:r>
      <w:r>
        <w:rPr>
          <w:rtl w:val="true"/>
        </w:rPr>
        <w:t>מר זר איננו טוען שרצונו הוא לייצג את עצמו</w:t>
      </w:r>
      <w:r>
        <w:rPr>
          <w:rtl w:val="true"/>
        </w:rPr>
        <w:t xml:space="preserve">, </w:t>
      </w:r>
      <w:r>
        <w:rPr>
          <w:rtl w:val="true"/>
        </w:rPr>
        <w:t>ומדובר בתיק מאד מורכב</w:t>
      </w:r>
      <w:r>
        <w:rPr>
          <w:rtl w:val="true"/>
        </w:rPr>
        <w:t xml:space="preserve">. </w:t>
      </w:r>
      <w:r>
        <w:rPr>
          <w:rtl w:val="true"/>
        </w:rPr>
        <w:t>מכאן שלצורך ניהול יעיל של ההליך וכן לצורך הבטחת זכויותיו</w:t>
      </w:r>
      <w:r>
        <w:rPr>
          <w:rtl w:val="true"/>
        </w:rPr>
        <w:t xml:space="preserve">, </w:t>
      </w:r>
      <w:r>
        <w:rPr>
          <w:rtl w:val="true"/>
        </w:rPr>
        <w:t>אין לשחרר את הסנגוריה הציבורית מייצוג מר זר</w:t>
      </w:r>
      <w:r>
        <w:rPr>
          <w:rtl w:val="true"/>
        </w:rPr>
        <w:t xml:space="preserve">. </w:t>
      </w:r>
      <w:r>
        <w:rPr>
          <w:rtl w:val="true"/>
        </w:rPr>
        <w:t>עוד ציין בא כוח המדינה כי עצם העובדה שלמר זר השכלה משפטית</w:t>
      </w:r>
      <w:r>
        <w:rPr>
          <w:rtl w:val="true"/>
        </w:rPr>
        <w:t xml:space="preserve">, </w:t>
      </w:r>
      <w:r>
        <w:rPr>
          <w:rtl w:val="true"/>
        </w:rPr>
        <w:t>אינה מקנה לו מומחיות במשפט פלילי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ציין בא כוח המדינה כי בית המשפט קמא קבע מערכת שאיננה חד צדדית</w:t>
      </w:r>
      <w:r>
        <w:rPr>
          <w:rtl w:val="true"/>
        </w:rPr>
        <w:t xml:space="preserve">, </w:t>
      </w:r>
      <w:r>
        <w:rPr>
          <w:rtl w:val="true"/>
        </w:rPr>
        <w:t>ומאפשרת למר זר להגיש בקשות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ולסנגוריה לייצגו בהליך</w:t>
      </w:r>
      <w:r>
        <w:rPr>
          <w:rtl w:val="true"/>
        </w:rPr>
        <w:t xml:space="preserve">, </w:t>
      </w:r>
      <w:r>
        <w:rPr>
          <w:rtl w:val="true"/>
        </w:rPr>
        <w:t>מאידך גיסא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 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חשיבותו של הייצוג המשפטי להבטחת זכויות הנאשם להליך פלילי הוגן אין צורך להרבות במילים</w:t>
      </w:r>
      <w:r>
        <w:rPr>
          <w:rtl w:val="true"/>
        </w:rPr>
        <w:t xml:space="preserve">. </w:t>
      </w:r>
      <w:r>
        <w:rPr>
          <w:rtl w:val="true"/>
        </w:rPr>
        <w:t xml:space="preserve">די לנו בדבריו הנכוחים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אשר ציין כך באחד ממאמריו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שורש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מיוצג</w:t>
      </w:r>
      <w:r>
        <w:rPr>
          <w:rtl w:val="true"/>
        </w:rPr>
        <w:t xml:space="preserve">: </w:t>
      </w:r>
      <w:r>
        <w:rPr>
          <w:rtl w:val="true"/>
        </w:rPr>
        <w:t>הבה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ייצוגו</w:t>
      </w:r>
      <w:r>
        <w:rPr>
          <w:rtl w:val="true"/>
        </w:rPr>
        <w:t xml:space="preserve">. </w:t>
      </w:r>
      <w:r>
        <w:rPr>
          <w:rtl w:val="true"/>
        </w:rPr>
        <w:t>בעולם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MS Mincho;‚l‚r –¾’©"/>
          <w:rtl w:val="true"/>
        </w:rPr>
        <w:t>כשלנו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המסתורין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והפרוצדורה</w:t>
      </w:r>
      <w:r>
        <w:rPr>
          <w:rtl w:val="true"/>
        </w:rPr>
        <w:t xml:space="preserve">,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והראשונית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כהן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הנאשם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, </w:t>
      </w:r>
      <w:r>
        <w:rPr/>
        <w:t>49</w:t>
      </w:r>
      <w:r>
        <w:rPr>
          <w:rtl w:val="true"/>
        </w:rPr>
        <w:t xml:space="preserve"> (</w:t>
      </w:r>
      <w:r>
        <w:rPr/>
        <w:t>1970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כל מי שנטל חלק בהליך פלילי</w:t>
      </w:r>
      <w:r>
        <w:rPr>
          <w:rtl w:val="true"/>
        </w:rPr>
        <w:t xml:space="preserve">, </w:t>
      </w:r>
      <w:r>
        <w:rPr>
          <w:rtl w:val="true"/>
        </w:rPr>
        <w:t>בין כצד להליך ובין כמתבונן</w:t>
      </w:r>
      <w:r>
        <w:rPr>
          <w:rtl w:val="true"/>
        </w:rPr>
        <w:t xml:space="preserve">, </w:t>
      </w:r>
      <w:r>
        <w:rPr>
          <w:rtl w:val="true"/>
        </w:rPr>
        <w:t>יתרשם על נקלה כי האפשרות לנהל הליך פלילי כהלכתו</w:t>
      </w:r>
      <w:r>
        <w:rPr>
          <w:rtl w:val="true"/>
        </w:rPr>
        <w:t xml:space="preserve">, </w:t>
      </w:r>
      <w:r>
        <w:rPr>
          <w:rtl w:val="true"/>
        </w:rPr>
        <w:t>תוך שמירה על זכויות החשוד במלואן</w:t>
      </w:r>
      <w:r>
        <w:rPr>
          <w:rtl w:val="true"/>
        </w:rPr>
        <w:t xml:space="preserve">, </w:t>
      </w:r>
      <w:r>
        <w:rPr>
          <w:rtl w:val="true"/>
        </w:rPr>
        <w:t>מחייבת שהגנתו של החשוד או הנאשם לא תהיה נתונה בידו בלבד</w:t>
      </w:r>
      <w:r>
        <w:rPr>
          <w:rtl w:val="true"/>
        </w:rPr>
        <w:t xml:space="preserve">, </w:t>
      </w:r>
      <w:r>
        <w:rPr>
          <w:rtl w:val="true"/>
        </w:rPr>
        <w:t>אלא שיוכל להסתייע לצורך פריסת הגנתו באיש מקצוע</w:t>
      </w:r>
      <w:r>
        <w:rPr>
          <w:rtl w:val="true"/>
        </w:rPr>
        <w:t xml:space="preserve">, </w:t>
      </w:r>
      <w:r>
        <w:rPr>
          <w:rtl w:val="true"/>
        </w:rPr>
        <w:t>הבקי ברזי המשפט</w:t>
      </w:r>
      <w:r>
        <w:rPr>
          <w:rtl w:val="true"/>
        </w:rPr>
        <w:t xml:space="preserve">, </w:t>
      </w:r>
      <w:r>
        <w:rPr>
          <w:rtl w:val="true"/>
        </w:rPr>
        <w:t>והפועל לטובת עניינו</w:t>
      </w:r>
      <w:r>
        <w:rPr>
          <w:rtl w:val="true"/>
        </w:rPr>
        <w:t xml:space="preserve">, </w:t>
      </w:r>
      <w:r>
        <w:rPr>
          <w:rtl w:val="true"/>
        </w:rPr>
        <w:t>בנאמנות ובמסירות</w:t>
      </w:r>
      <w:r>
        <w:rPr>
          <w:rtl w:val="true"/>
        </w:rPr>
        <w:t xml:space="preserve">, </w:t>
      </w:r>
      <w:r>
        <w:rPr>
          <w:rtl w:val="true"/>
        </w:rPr>
        <w:t>לפי מיטב הבנתו המקצועית</w:t>
      </w:r>
      <w:r>
        <w:rPr>
          <w:rtl w:val="true"/>
        </w:rPr>
        <w:t xml:space="preserve">, </w:t>
      </w:r>
      <w:r>
        <w:rPr>
          <w:rtl w:val="true"/>
        </w:rPr>
        <w:t>ובכפוף להוראות 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הקמת הסנגוריה הציבורית על ידי פרופ</w:t>
      </w:r>
      <w:r>
        <w:rPr>
          <w:rtl w:val="true"/>
        </w:rPr>
        <w:t xml:space="preserve">' </w:t>
      </w:r>
      <w:r>
        <w:rPr>
          <w:rtl w:val="true"/>
        </w:rPr>
        <w:t>קנת מן</w:t>
      </w:r>
      <w:r>
        <w:rPr>
          <w:rtl w:val="true"/>
        </w:rPr>
        <w:t xml:space="preserve">, </w:t>
      </w:r>
      <w:r>
        <w:rPr>
          <w:rtl w:val="true"/>
        </w:rPr>
        <w:t xml:space="preserve">בעקבות חקיקת 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הסניגוריה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הציבורית</w:t>
        </w:r>
      </w:hyperlink>
      <w:r>
        <w:rPr>
          <w:rtl w:val="true"/>
        </w:rPr>
        <w:t xml:space="preserve">,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hyperlink r:id="rId1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הסנגוריה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הציבורית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היוותה מהפכה של ממש במשפט הפלילי הישראלי</w:t>
      </w:r>
      <w:r>
        <w:rPr>
          <w:rtl w:val="true"/>
        </w:rPr>
        <w:t xml:space="preserve">. </w:t>
      </w:r>
      <w:r>
        <w:rPr>
          <w:rtl w:val="true"/>
        </w:rPr>
        <w:t>אם עד לאותו מועד הייתה הזכות לייצוג משפטי בהליך פלילי אידאה</w:t>
      </w:r>
      <w:r>
        <w:rPr>
          <w:rtl w:val="true"/>
        </w:rPr>
        <w:t xml:space="preserve">, </w:t>
      </w:r>
      <w:r>
        <w:rPr>
          <w:rtl w:val="true"/>
        </w:rPr>
        <w:t>שבמקרים רבים נותרה בלתי ממומשת</w:t>
      </w:r>
      <w:r>
        <w:rPr>
          <w:rtl w:val="true"/>
        </w:rPr>
        <w:t xml:space="preserve">, </w:t>
      </w:r>
      <w:r>
        <w:rPr>
          <w:rtl w:val="true"/>
        </w:rPr>
        <w:t>הרי שבעקבות החוק קרמה האידאה עור וגידים</w:t>
      </w:r>
      <w:r>
        <w:rPr>
          <w:rtl w:val="true"/>
        </w:rPr>
        <w:t xml:space="preserve">, </w:t>
      </w:r>
      <w:r>
        <w:rPr>
          <w:rtl w:val="true"/>
        </w:rPr>
        <w:t>והפכה לאבן מסד בשאיפה להבטיח לכל חשוד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נאשם או נידון</w:t>
      </w:r>
      <w:r>
        <w:rPr>
          <w:rtl w:val="true"/>
        </w:rPr>
        <w:t xml:space="preserve">, </w:t>
      </w:r>
      <w:r>
        <w:rPr>
          <w:rtl w:val="true"/>
        </w:rPr>
        <w:t>שחירותו צפויה להיפגע</w:t>
      </w:r>
      <w:r>
        <w:rPr>
          <w:rtl w:val="true"/>
        </w:rPr>
        <w:t xml:space="preserve">, </w:t>
      </w:r>
      <w:r>
        <w:rPr>
          <w:rtl w:val="true"/>
        </w:rPr>
        <w:t>הליך פלילי ראוי והוגן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ואולם גם משקרמה האידאה עור וגידים</w:t>
      </w:r>
      <w:r>
        <w:rPr>
          <w:rtl w:val="true"/>
        </w:rPr>
        <w:t xml:space="preserve">, </w:t>
      </w:r>
      <w:r>
        <w:rPr>
          <w:rtl w:val="true"/>
        </w:rPr>
        <w:t>הרי שיתכנו מקרים פרטניים בהם מקשה המציאות על הגשמתה</w:t>
      </w:r>
      <w:r>
        <w:rPr>
          <w:rtl w:val="true"/>
        </w:rPr>
        <w:t xml:space="preserve">. </w:t>
      </w:r>
      <w:r>
        <w:rPr>
          <w:rtl w:val="true"/>
        </w:rPr>
        <w:t>המחוקק היה ער לכך</w:t>
      </w:r>
      <w:r>
        <w:rPr>
          <w:rtl w:val="true"/>
        </w:rPr>
        <w:t xml:space="preserve">, </w:t>
      </w:r>
      <w:r>
        <w:rPr>
          <w:rtl w:val="true"/>
        </w:rPr>
        <w:t>ובצד ההוראות המגדירות מתי עומדת לאדם זכות לייצוג על ידי הסנגוריה הציבורית</w:t>
      </w:r>
      <w:r>
        <w:rPr>
          <w:rtl w:val="true"/>
        </w:rPr>
        <w:t xml:space="preserve">, </w:t>
      </w:r>
      <w:r>
        <w:rPr>
          <w:rtl w:val="true"/>
        </w:rPr>
        <w:t xml:space="preserve">קבע </w:t>
      </w:r>
      <w:hyperlink r:id="rId1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הסנגוריה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הציבורית</w:t>
        </w:r>
      </w:hyperlink>
      <w:r>
        <w:rPr>
          <w:rtl w:val="true"/>
        </w:rPr>
        <w:t xml:space="preserve"> הוראה שכותרתה </w:t>
      </w:r>
      <w:r>
        <w:rPr>
          <w:rtl w:val="true"/>
        </w:rPr>
        <w:t>"</w:t>
      </w:r>
      <w:r>
        <w:rPr>
          <w:rFonts w:ascii="Century" w:hAnsi="Century" w:eastAsia="MS Mincho;‚l‚r –¾’©" w:cs="Miriam"/>
          <w:b/>
          <w:b/>
          <w:spacing w:val="0"/>
          <w:sz w:val="22"/>
          <w:sz w:val="22"/>
          <w:szCs w:val="24"/>
          <w:rtl w:val="true"/>
        </w:rPr>
        <w:t>הפסקת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MS Mincho;‚l‚r –¾’©" w:cs="Miriam"/>
          <w:b/>
          <w:b/>
          <w:spacing w:val="0"/>
          <w:sz w:val="22"/>
          <w:sz w:val="22"/>
          <w:szCs w:val="24"/>
          <w:rtl w:val="true"/>
        </w:rPr>
        <w:t>ייצוג</w:t>
      </w:r>
      <w:r>
        <w:rPr>
          <w:rtl w:val="true"/>
        </w:rPr>
        <w:t xml:space="preserve">". </w:t>
      </w:r>
      <w:r>
        <w:rPr>
          <w:rtl w:val="true"/>
        </w:rPr>
        <w:t>וזו לשון ההוראה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lang w:eastAsia="he-IL"/>
        </w:rPr>
      </w:pP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)</w:t>
        <w:tab/>
      </w:r>
      <w:r>
        <w:rPr>
          <w:rFonts w:eastAsia="MS Mincho;‚l‚r –¾’©"/>
          <w:rtl w:val="true"/>
        </w:rPr>
        <w:t>סניגור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יפסיק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לייצג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הסניגור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ברשות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>.</w:t>
      </w:r>
    </w:p>
    <w:p>
      <w:pPr>
        <w:pStyle w:val="Ruller5"/>
        <w:ind w:end="1282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5"/>
        <w:ind w:end="1282"/>
        <w:jc w:val="both"/>
        <w:rPr>
          <w:lang w:eastAsia="he-IL"/>
        </w:rPr>
      </w:pP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)</w:t>
        <w:tab/>
      </w:r>
      <w:r>
        <w:rPr>
          <w:rtl w:val="true"/>
          <w:lang w:eastAsia="he-IL"/>
        </w:rPr>
        <w:t>סניגור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מחוזי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הפסקת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ייצוג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הסניגוריה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>.</w:t>
      </w:r>
    </w:p>
    <w:p>
      <w:pPr>
        <w:pStyle w:val="Ruller5"/>
        <w:ind w:end="1282"/>
        <w:jc w:val="both"/>
        <w:rPr>
          <w:rFonts w:ascii="Times New Roman" w:hAnsi="Times New Roman" w:cs="Times New Roman"/>
          <w:spacing w:val="0"/>
          <w:szCs w:val="26"/>
          <w:lang w:eastAsia="he-IL"/>
        </w:rPr>
      </w:pP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</w:r>
    </w:p>
    <w:p>
      <w:pPr>
        <w:pStyle w:val="Ruller5"/>
        <w:ind w:end="1282"/>
        <w:jc w:val="both"/>
        <w:rPr>
          <w:rFonts w:ascii="Times New Roman" w:hAnsi="Times New Roman" w:cs="Times New Roman"/>
          <w:spacing w:val="0"/>
          <w:szCs w:val="26"/>
          <w:lang w:eastAsia="he-IL"/>
        </w:rPr>
      </w:pPr>
      <w:r>
        <w:rPr>
          <w:rFonts w:cs="Times New Roman" w:ascii="Times New Roman" w:hAnsi="Times New Roman"/>
          <w:spacing w:val="0"/>
          <w:szCs w:val="26"/>
          <w:rtl w:val="true"/>
          <w:lang w:eastAsia="he-IL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הוראה זו מהדהדת</w:t>
      </w:r>
      <w:r>
        <w:rPr>
          <w:rtl w:val="true"/>
        </w:rPr>
        <w:t xml:space="preserve">, </w:t>
      </w:r>
      <w:r>
        <w:rPr>
          <w:rtl w:val="true"/>
        </w:rPr>
        <w:t>בהקשר של הסנגוריה הציבורית</w:t>
      </w:r>
      <w:r>
        <w:rPr>
          <w:rtl w:val="true"/>
        </w:rPr>
        <w:t xml:space="preserve">, </w:t>
      </w:r>
      <w:r>
        <w:rPr>
          <w:rtl w:val="true"/>
        </w:rPr>
        <w:t xml:space="preserve">את ההסדר הכללי ביחס לשחרור סנגור פלילי מתפקידו </w:t>
      </w:r>
      <w:r>
        <w:rPr>
          <w:rtl w:val="true"/>
        </w:rPr>
        <w:t>–</w:t>
      </w:r>
      <w:r>
        <w:rPr>
          <w:rtl w:val="true"/>
        </w:rPr>
        <w:t xml:space="preserve"> הסדר הקבוע </w:t>
      </w:r>
      <w:hyperlink r:id="rId1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מפאת היותה ההסדר הספציפי הרלוואנטי לענייננו</w:t>
      </w:r>
      <w:r>
        <w:rPr>
          <w:rtl w:val="true"/>
        </w:rPr>
        <w:t xml:space="preserve">, </w:t>
      </w:r>
      <w:r>
        <w:rPr>
          <w:rtl w:val="true"/>
        </w:rPr>
        <w:t>ובהעדר סתירה בין ההסדרים</w:t>
      </w:r>
      <w:r>
        <w:rPr>
          <w:rtl w:val="true"/>
        </w:rPr>
        <w:t xml:space="preserve">, </w:t>
      </w:r>
      <w:r>
        <w:rPr>
          <w:rtl w:val="true"/>
        </w:rPr>
        <w:t>נמקד מבטנו בהסדר הספציפי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הוראת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הסנגוריה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הציבורית</w:t>
        </w:r>
      </w:hyperlink>
      <w:r>
        <w:rPr>
          <w:rtl w:val="true"/>
        </w:rPr>
        <w:t xml:space="preserve"> מלמדת כי לא בנקל תשוחרר הסנגוריה הציבורית מייצוג חשוד או נאשם המיוצג על ידה</w:t>
      </w:r>
      <w:r>
        <w:rPr>
          <w:rtl w:val="true"/>
        </w:rPr>
        <w:t xml:space="preserve">. </w:t>
      </w:r>
      <w:r>
        <w:rPr>
          <w:rtl w:val="true"/>
        </w:rPr>
        <w:t>שתי משוכות נקבעו לכך בחוק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אישור הסנגור הציבורי המחוזי</w:t>
      </w:r>
      <w:r>
        <w:rPr>
          <w:rtl w:val="true"/>
        </w:rPr>
        <w:t xml:space="preserve">;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רשות בית המשפט</w:t>
      </w:r>
      <w:r>
        <w:rPr>
          <w:rtl w:val="true"/>
        </w:rPr>
        <w:t xml:space="preserve">. </w:t>
      </w:r>
      <w:r>
        <w:rPr>
          <w:rtl w:val="true"/>
        </w:rPr>
        <w:t>בענייננו הסנגור הציבורי המחוזי של מחוז תל אביב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אלקנה לייסט</w:t>
      </w:r>
      <w:r>
        <w:rPr>
          <w:rtl w:val="true"/>
        </w:rPr>
        <w:t xml:space="preserve">, </w:t>
      </w:r>
      <w:r>
        <w:rPr>
          <w:rtl w:val="true"/>
        </w:rPr>
        <w:t>הוא שמבקש את השחרור מהייצוג</w:t>
      </w:r>
      <w:r>
        <w:rPr>
          <w:rtl w:val="true"/>
        </w:rPr>
        <w:t xml:space="preserve">, </w:t>
      </w:r>
      <w:r>
        <w:rPr>
          <w:rtl w:val="true"/>
        </w:rPr>
        <w:t>וממילא נעברה המשוכה הראשונה</w:t>
      </w:r>
      <w:r>
        <w:rPr>
          <w:rtl w:val="true"/>
        </w:rPr>
        <w:t xml:space="preserve">. </w:t>
      </w:r>
      <w:r>
        <w:rPr>
          <w:rtl w:val="true"/>
        </w:rPr>
        <w:t>השאלה שלפנינו היא האם יש מקום להתערב בהחלטתו של בית המשפט קמא</w:t>
      </w:r>
      <w:r>
        <w:rPr>
          <w:rtl w:val="true"/>
        </w:rPr>
        <w:t xml:space="preserve">, </w:t>
      </w:r>
      <w:r>
        <w:rPr>
          <w:rtl w:val="true"/>
        </w:rPr>
        <w:t>שהוא הערכאה הדיונית הדנה בהליך הפלילי נגד מר זר</w:t>
      </w:r>
      <w:r>
        <w:rPr>
          <w:rtl w:val="true"/>
        </w:rPr>
        <w:t xml:space="preserve">, </w:t>
      </w:r>
      <w:r>
        <w:rPr>
          <w:rtl w:val="true"/>
        </w:rPr>
        <w:t>לפיה אין מקום לתת בשלב זה את רשות בית המשפט</w:t>
      </w:r>
      <w:r>
        <w:rPr>
          <w:rtl w:val="true"/>
        </w:rPr>
        <w:t xml:space="preserve">, </w:t>
      </w:r>
      <w:r>
        <w:rPr>
          <w:rtl w:val="true"/>
        </w:rPr>
        <w:t>באופן שיאפשר את השלמת המהלך</w:t>
      </w:r>
      <w:r>
        <w:rPr>
          <w:rtl w:val="true"/>
        </w:rPr>
        <w:t xml:space="preserve">, </w:t>
      </w:r>
      <w:r>
        <w:rPr>
          <w:rtl w:val="true"/>
        </w:rPr>
        <w:t>ויביא לשחרור הסנגוריה הציבורית מהייצוג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הסנגוריה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הציבורית</w:t>
        </w:r>
      </w:hyperlink>
      <w:r>
        <w:rPr>
          <w:rtl w:val="true"/>
        </w:rPr>
        <w:t xml:space="preserve"> אינו קובע קווים מנחים בשאלה מתי יותר לשחרר את הסנגוריה הציבורית מחובת הייצוג</w:t>
      </w:r>
      <w:r>
        <w:rPr>
          <w:rtl w:val="true"/>
        </w:rPr>
        <w:t xml:space="preserve">. </w:t>
      </w:r>
      <w:r>
        <w:rPr>
          <w:rtl w:val="true"/>
        </w:rPr>
        <w:t xml:space="preserve">חסר זה מושלם </w:t>
      </w:r>
      <w:hyperlink r:id="rId24">
        <w:r>
          <w:rPr>
            <w:rStyle w:val="Hyperlink"/>
            <w:color w:val="0000FF"/>
            <w:u w:val="single"/>
            <w:rtl w:val="true"/>
          </w:rPr>
          <w:t>בתקנה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הסניגוריה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הציבורית</w:t>
        </w:r>
      </w:hyperlink>
      <w:r>
        <w:rPr>
          <w:rtl w:val="true"/>
        </w:rPr>
        <w:t xml:space="preserve">,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שזו לשונו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cs="Times New Roman"/>
          <w:spacing w:val="0"/>
          <w:lang w:eastAsia="he-IL"/>
        </w:rPr>
      </w:pPr>
      <w:r>
        <w:rPr>
          <w:rtl w:val="true"/>
        </w:rPr>
        <w:t>ר</w:t>
      </w:r>
      <w:r>
        <w:rPr>
          <w:rtl w:val="true"/>
        </w:rPr>
        <w:t>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לייצוג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נאות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spacing w:val="0"/>
          <w:rtl w:val="true"/>
          <w:lang w:eastAsia="he-IL"/>
        </w:rPr>
        <w:t>.</w:t>
      </w:r>
    </w:p>
    <w:p>
      <w:pPr>
        <w:pStyle w:val="Ruller5"/>
        <w:ind w:end="1282"/>
        <w:jc w:val="both"/>
        <w:rPr>
          <w:rFonts w:cs="Times New Roman"/>
          <w:spacing w:val="0"/>
          <w:lang w:eastAsia="he-IL"/>
        </w:rPr>
      </w:pPr>
      <w:r>
        <w:rPr>
          <w:rFonts w:cs="Times New Roman"/>
          <w:spacing w:val="0"/>
          <w:rtl w:val="true"/>
          <w:lang w:eastAsia="he-IL"/>
        </w:rPr>
      </w:r>
    </w:p>
    <w:p>
      <w:pPr>
        <w:pStyle w:val="Ruller5"/>
        <w:ind w:end="1282"/>
        <w:jc w:val="both"/>
        <w:rPr>
          <w:rFonts w:cs="Times New Roman"/>
          <w:spacing w:val="0"/>
          <w:lang w:eastAsia="he-IL"/>
        </w:rPr>
      </w:pPr>
      <w:r>
        <w:rPr>
          <w:rFonts w:cs="Times New Roman"/>
          <w:spacing w:val="0"/>
          <w:rtl w:val="true"/>
          <w:lang w:eastAsia="he-IL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הוראה זו מלמדת</w:t>
      </w:r>
      <w:r>
        <w:rPr>
          <w:rtl w:val="true"/>
        </w:rPr>
        <w:t xml:space="preserve">, </w:t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כי קיימות ארבע סיבות שונות היכולות לאפשר שחרור הסנגוריה הציבורית מייצוג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חדלה להתקיים הזכאות לייצוג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המינוי הושג שלא כדין</w:t>
      </w:r>
      <w:r>
        <w:rPr>
          <w:rtl w:val="true"/>
        </w:rPr>
        <w:t xml:space="preserve">; 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סירוב לשתף פעולה עם הסנגור הציבורי</w:t>
      </w:r>
      <w:r>
        <w:rPr>
          <w:rtl w:val="true"/>
        </w:rPr>
        <w:t xml:space="preserve">;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חילוקי דעות הפוגעים באפשרות לתת ייצוג נאות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במקרה שלפנינו פשיטא כי לא מתקיימים שני הטעמים הראשונים לשחרור הסנגוריה מחובת הייצוג</w:t>
      </w:r>
      <w:r>
        <w:rPr>
          <w:rtl w:val="true"/>
        </w:rPr>
        <w:t xml:space="preserve">. </w:t>
      </w:r>
      <w:r>
        <w:rPr>
          <w:rtl w:val="true"/>
        </w:rPr>
        <w:t>למר זר הייתה ויש זכאות לייצוג בשים לב לחומרת האישומים נגדו</w:t>
      </w:r>
      <w:r>
        <w:rPr>
          <w:rtl w:val="true"/>
        </w:rPr>
        <w:t xml:space="preserve">, </w:t>
      </w:r>
      <w:r>
        <w:rPr>
          <w:rtl w:val="true"/>
        </w:rPr>
        <w:t>ואין כל טענה כי מינוי הסנגוריה הציבורית לטפל בעניינו נעשה שלא כדין</w:t>
      </w:r>
      <w:r>
        <w:rPr>
          <w:rtl w:val="true"/>
        </w:rPr>
        <w:t xml:space="preserve">. </w:t>
      </w:r>
      <w:r>
        <w:rPr>
          <w:rtl w:val="true"/>
        </w:rPr>
        <w:t>בקשת הסנגוריה הציבורית נסמכת</w:t>
      </w:r>
      <w:r>
        <w:rPr>
          <w:rtl w:val="true"/>
        </w:rPr>
        <w:t xml:space="preserve">, </w:t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על שני הטעמים האחרים</w:t>
      </w:r>
      <w:r>
        <w:rPr>
          <w:rtl w:val="true"/>
        </w:rPr>
        <w:t xml:space="preserve">: </w:t>
      </w:r>
      <w:r>
        <w:rPr>
          <w:rtl w:val="true"/>
        </w:rPr>
        <w:t>סירוב לשתף פעולה עם הסנגוריה הציבורית וחילוקי דעות המונעים אפשרות לתת ייצוג נאות</w:t>
      </w:r>
      <w:r>
        <w:rPr>
          <w:rtl w:val="true"/>
        </w:rPr>
        <w:t xml:space="preserve">. </w:t>
      </w:r>
      <w:r>
        <w:rPr>
          <w:rtl w:val="true"/>
        </w:rPr>
        <w:t>נקרב מבטנו</w:t>
      </w:r>
      <w:r>
        <w:rPr>
          <w:rtl w:val="true"/>
        </w:rPr>
        <w:t xml:space="preserve">, </w:t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לטעמים אלה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החלופה של הפסקת ייצוג מחמת סירוב לשתף פעולה עם הסנגוריה הציבורית </w:t>
      </w:r>
      <w:r>
        <w:rPr>
          <w:rtl w:val="true"/>
        </w:rPr>
        <w:t>(</w:t>
      </w:r>
      <w:r>
        <w:rPr>
          <w:rtl w:val="true"/>
        </w:rPr>
        <w:t xml:space="preserve">חלופה הנזכרת גם </w:t>
      </w:r>
      <w:hyperlink r:id="rId2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), </w:t>
      </w:r>
      <w:r>
        <w:rPr>
          <w:rtl w:val="true"/>
        </w:rPr>
        <w:t>פורשה על ידי בית משפט זה בצורה צרה</w:t>
      </w:r>
      <w:r>
        <w:rPr>
          <w:rtl w:val="true"/>
        </w:rPr>
        <w:t xml:space="preserve">, </w:t>
      </w:r>
      <w:r>
        <w:rPr>
          <w:rtl w:val="true"/>
        </w:rPr>
        <w:t>כמתייחסת למקרים חריגים בלבד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כאשר הנאשם הבהיר באופן חד משמעי כי איננו מעוניין בייצוג</w:t>
      </w:r>
      <w:r>
        <w:rPr>
          <w:rtl w:val="true"/>
        </w:rPr>
        <w:t xml:space="preserve">, </w:t>
      </w:r>
      <w:r>
        <w:rPr>
          <w:rtl w:val="true"/>
        </w:rPr>
        <w:t xml:space="preserve">על אף שהוסברה לו מלוא משמעות הדבר על ידי בית המשפט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7335/05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הסניגוריה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הציבורית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מחוז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והצפון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345</w:t>
      </w:r>
      <w:r>
        <w:rPr>
          <w:rtl w:val="true"/>
        </w:rPr>
        <w:t xml:space="preserve">, </w:t>
      </w:r>
      <w:r>
        <w:rPr/>
        <w:t>357-353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5889/01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נחום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817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825-824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2005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או כאשר הנאשם נהג בסנגוריו בצורה אלימה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פיזית או מילולית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3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7576/09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הסנגוריה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הציבורית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24.9.2009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5434/12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אזנקוט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פסקאות </w:t>
      </w:r>
      <w:r>
        <w:rPr>
          <w:rFonts w:cs="Times New Roman" w:ascii="Times New Roman" w:hAnsi="Times New Roman"/>
          <w:sz w:val="22"/>
        </w:rPr>
        <w:t>15-14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(‏</w:t>
      </w:r>
      <w:r>
        <w:rPr>
          <w:rFonts w:cs="Arial TUR;Arial" w:ascii="Arial TUR;Arial" w:hAnsi="Arial TUR;Arial"/>
          <w:sz w:val="22"/>
        </w:rPr>
        <w:t>5.8.2012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המקרה דנן</w:t>
      </w:r>
      <w:r>
        <w:rPr>
          <w:rtl w:val="true"/>
        </w:rPr>
        <w:t xml:space="preserve">, </w:t>
      </w:r>
      <w:r>
        <w:rPr>
          <w:rtl w:val="true"/>
        </w:rPr>
        <w:t>בוודאי אינו נמנה על מקרים חריגים אלה</w:t>
      </w:r>
      <w:r>
        <w:rPr>
          <w:rtl w:val="true"/>
        </w:rPr>
        <w:t xml:space="preserve">. </w:t>
      </w:r>
      <w:r>
        <w:rPr>
          <w:rtl w:val="true"/>
        </w:rPr>
        <w:t>מר זר הבהיר במהלך הדיון כי הוא אינו מעוניין בהפסקת הייצוג על ידי הסנגוריה הציבורית</w:t>
      </w:r>
      <w:r>
        <w:rPr>
          <w:rtl w:val="true"/>
        </w:rPr>
        <w:t xml:space="preserve">, </w:t>
      </w:r>
      <w:r>
        <w:rPr>
          <w:rtl w:val="true"/>
        </w:rPr>
        <w:t>וכי עיקר טענותיו הוא לגבי המשאבים הכספיים שהסנגוריה הציבורית מקצה לטובת התיק</w:t>
      </w:r>
      <w:r>
        <w:rPr>
          <w:rtl w:val="true"/>
        </w:rPr>
        <w:t xml:space="preserve">, </w:t>
      </w:r>
      <w:r>
        <w:rPr>
          <w:rtl w:val="true"/>
        </w:rPr>
        <w:t>וחוסר האמון שנוצר בעקבות הבקשה להשתחרר מייצוגו</w:t>
      </w:r>
      <w:r>
        <w:rPr>
          <w:rtl w:val="true"/>
        </w:rPr>
        <w:t xml:space="preserve">, </w:t>
      </w:r>
      <w:r>
        <w:rPr>
          <w:rtl w:val="true"/>
        </w:rPr>
        <w:t>ולא לגבי מקצועיות הסנגוריות שמונו לו</w:t>
      </w:r>
      <w:r>
        <w:rPr>
          <w:rtl w:val="true"/>
        </w:rPr>
        <w:t xml:space="preserve">. </w:t>
      </w:r>
      <w:r>
        <w:rPr>
          <w:rtl w:val="true"/>
        </w:rPr>
        <w:t>להתרשמותי</w:t>
      </w:r>
      <w:r>
        <w:rPr>
          <w:rtl w:val="true"/>
        </w:rPr>
        <w:t xml:space="preserve">, </w:t>
      </w:r>
      <w:r>
        <w:rPr>
          <w:rtl w:val="true"/>
        </w:rPr>
        <w:t>הדברים לא נאמרו מן הפה אל החוץ בלבד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מר זר אינו שבע רצון באופן מלא מהייצוג הניתן לו</w:t>
      </w:r>
      <w:r>
        <w:rPr>
          <w:rtl w:val="true"/>
        </w:rPr>
        <w:t xml:space="preserve">, </w:t>
      </w:r>
      <w:r>
        <w:rPr>
          <w:rtl w:val="true"/>
        </w:rPr>
        <w:t>ומחזיק בדעות משל עצמו ביחס לאופן בו יש לייצג את עניינו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שיתוף פעולה של נאשם עם סנגורו אין משמעו כי על הנאשם לקבל כל עצה של הסנגור</w:t>
      </w:r>
      <w:r>
        <w:rPr>
          <w:rtl w:val="true"/>
        </w:rPr>
        <w:t xml:space="preserve">, </w:t>
      </w:r>
      <w:r>
        <w:rPr>
          <w:rtl w:val="true"/>
        </w:rPr>
        <w:t>ולומר אמן אחר כל המלצותיו</w:t>
      </w:r>
      <w:r>
        <w:rPr>
          <w:rtl w:val="true"/>
        </w:rPr>
        <w:t xml:space="preserve">. </w:t>
      </w:r>
      <w:r>
        <w:rPr>
          <w:rtl w:val="true"/>
        </w:rPr>
        <w:t>עמדת הסנגור כבודה במקומה מונח</w:t>
      </w:r>
      <w:r>
        <w:rPr>
          <w:rtl w:val="true"/>
        </w:rPr>
        <w:t xml:space="preserve">, </w:t>
      </w:r>
      <w:r>
        <w:rPr>
          <w:rtl w:val="true"/>
        </w:rPr>
        <w:t>ולרוב טוב יעשה נאשם אם ישמע לה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הסנגור מנהל את הגנת הנאשם</w:t>
      </w:r>
      <w:r>
        <w:rPr>
          <w:rtl w:val="true"/>
        </w:rPr>
        <w:t xml:space="preserve">, </w:t>
      </w:r>
      <w:r>
        <w:rPr>
          <w:rtl w:val="true"/>
        </w:rPr>
        <w:t>ולא את הגנתו שלו</w:t>
      </w:r>
      <w:r>
        <w:rPr>
          <w:rtl w:val="true"/>
        </w:rPr>
        <w:t xml:space="preserve">. </w:t>
      </w:r>
      <w:r>
        <w:rPr>
          <w:rtl w:val="true"/>
        </w:rPr>
        <w:t>מכאן שלנאשם הזכות לומר את דברו</w:t>
      </w:r>
      <w:r>
        <w:rPr>
          <w:rtl w:val="true"/>
        </w:rPr>
        <w:t xml:space="preserve">, </w:t>
      </w:r>
      <w:r>
        <w:rPr>
          <w:rtl w:val="true"/>
        </w:rPr>
        <w:t>ובעניינים מסוימים אף מסורה לו זכות המילה האחרונה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גם אם הסנגור סבור כי על הנאשם להודות בעניין זה או אחר</w:t>
      </w:r>
      <w:r>
        <w:rPr>
          <w:rtl w:val="true"/>
        </w:rPr>
        <w:t xml:space="preserve">, </w:t>
      </w:r>
      <w:r>
        <w:rPr>
          <w:rtl w:val="true"/>
        </w:rPr>
        <w:t>לא ניתן לכפות על הנאשם לקבל את עצת הסנגור</w:t>
      </w:r>
      <w:r>
        <w:rPr>
          <w:rtl w:val="true"/>
        </w:rPr>
        <w:t xml:space="preserve">, </w:t>
      </w:r>
      <w:r>
        <w:rPr>
          <w:rtl w:val="true"/>
        </w:rPr>
        <w:t>ואם הוא מסרב לעשות כן</w:t>
      </w:r>
      <w:r>
        <w:rPr>
          <w:rtl w:val="true"/>
        </w:rPr>
        <w:t xml:space="preserve">, </w:t>
      </w:r>
      <w:r>
        <w:rPr>
          <w:rtl w:val="true"/>
        </w:rPr>
        <w:t>אין לראות בכך משום סירוב לשתף פעולה עם הסנגוריה הציבורית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החלופה הנותרת</w:t>
      </w:r>
      <w:r>
        <w:rPr>
          <w:rtl w:val="true"/>
        </w:rPr>
        <w:t xml:space="preserve">, </w:t>
      </w:r>
      <w:r>
        <w:rPr>
          <w:rtl w:val="true"/>
        </w:rPr>
        <w:t xml:space="preserve">הפסקת ייצוג מחמת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חילוקי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הפוגעים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ייצוג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cs="Miriam" w:ascii="Times New Roman" w:hAnsi="Times New Roman"/>
          <w:spacing w:val="0"/>
          <w:sz w:val="28"/>
          <w:szCs w:val="24"/>
          <w:rtl w:val="true"/>
          <w:lang w:eastAsia="he-IL"/>
        </w:rPr>
        <w:t>"</w:t>
      </w:r>
      <w:r>
        <w:rPr>
          <w:rFonts w:cs="Century" w:ascii="Century" w:hAnsi="Century"/>
          <w:sz w:val="22"/>
          <w:rtl w:val="true"/>
          <w:lang w:eastAsia="he-IL"/>
        </w:rPr>
        <w:t>,</w:t>
      </w:r>
      <w:r>
        <w:rPr>
          <w:rFonts w:cs="Times New Roman" w:ascii="Arial TUR;Arial" w:hAnsi="Arial TUR;Arial"/>
          <w:spacing w:val="0"/>
          <w:sz w:val="22"/>
          <w:rtl w:val="true"/>
          <w:lang w:eastAsia="he-IL"/>
        </w:rPr>
        <w:t xml:space="preserve"> </w:t>
      </w:r>
      <w:r>
        <w:rPr>
          <w:rtl w:val="true"/>
        </w:rPr>
        <w:t>מעוררת קושי לא מבוטל</w:t>
      </w:r>
      <w:r>
        <w:rPr>
          <w:rtl w:val="true"/>
        </w:rPr>
        <w:t xml:space="preserve">, </w:t>
      </w:r>
      <w:r>
        <w:rPr>
          <w:rtl w:val="true"/>
        </w:rPr>
        <w:t>משלושה טעמים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 היא נזכרת ב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הסנגוריה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הציבורית</w:t>
        </w:r>
      </w:hyperlink>
      <w:r>
        <w:rPr>
          <w:rtl w:val="true"/>
        </w:rPr>
        <w:t xml:space="preserve"> וב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אלא הוספה ב</w:t>
      </w:r>
      <w:hyperlink r:id="rId34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הסנגוריה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הציבורית</w:t>
        </w:r>
      </w:hyperlink>
      <w:r>
        <w:rPr>
          <w:rtl w:val="true"/>
        </w:rPr>
        <w:t xml:space="preserve"> בלבד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לא הוצג לפנינו ולו מקרה אחד בו אושר שחרור הסנגוריה הציבורית מייצוג מטעם זה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שימוש בחלופה זו עלול ליצור התנגשות בין שתי זכויות העומדות לנאשם</w:t>
      </w:r>
      <w:r>
        <w:rPr>
          <w:rtl w:val="true"/>
        </w:rPr>
        <w:t xml:space="preserve">, </w:t>
      </w:r>
      <w:r>
        <w:rPr>
          <w:rtl w:val="true"/>
        </w:rPr>
        <w:t>ולהטיל עליו חובה לבחור ביניהן</w:t>
      </w:r>
      <w:r>
        <w:rPr>
          <w:rtl w:val="true"/>
        </w:rPr>
        <w:t xml:space="preserve">: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זכות הנאשם לייצוג</w:t>
      </w:r>
      <w:r>
        <w:rPr>
          <w:rtl w:val="true"/>
        </w:rPr>
        <w:t xml:space="preserve">,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>זכותו לבחור את קו הגנתו</w:t>
      </w:r>
      <w:r>
        <w:rPr>
          <w:rtl w:val="true"/>
        </w:rPr>
        <w:t xml:space="preserve">. </w:t>
      </w:r>
      <w:r>
        <w:rPr>
          <w:rtl w:val="true"/>
        </w:rPr>
        <w:t xml:space="preserve">בשל הקשיים הללו ניתן לטעון שאין להכיר בכלל בקיומה של חלופה זו </w:t>
      </w:r>
      <w:r>
        <w:rPr>
          <w:rtl w:val="true"/>
        </w:rPr>
        <w:t>(</w:t>
      </w:r>
      <w:r>
        <w:rPr>
          <w:rtl w:val="true"/>
        </w:rPr>
        <w:t>אלא כשהיא עולה לכדי סירוב מוחלט לשתף פעולה עם הסנגוריה הציבורית</w:t>
      </w:r>
      <w:r>
        <w:rPr>
          <w:rtl w:val="true"/>
        </w:rPr>
        <w:t xml:space="preserve">, </w:t>
      </w:r>
      <w:r>
        <w:rPr>
          <w:rtl w:val="true"/>
        </w:rPr>
        <w:t>אז למעשה יכנס המקרה בגדר החלופה של הפסקת ייצוג מחמת סירוב לשתף פעולה</w:t>
      </w:r>
      <w:r>
        <w:rPr>
          <w:rtl w:val="true"/>
        </w:rPr>
        <w:t xml:space="preserve">), </w:t>
      </w:r>
      <w:r>
        <w:rPr>
          <w:rtl w:val="true"/>
        </w:rPr>
        <w:t>ומכל מקום אף אם נראה אותה כעומדת בפני עצמה</w:t>
      </w:r>
      <w:r>
        <w:rPr>
          <w:rtl w:val="true"/>
        </w:rPr>
        <w:t xml:space="preserve">, </w:t>
      </w:r>
      <w:r>
        <w:rPr>
          <w:rtl w:val="true"/>
        </w:rPr>
        <w:t>יש לפרשה בצמצום רב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במקרה דנן סברה הערכאה לפניה מתנהל ההליך הפלילי</w:t>
      </w:r>
      <w:r>
        <w:rPr>
          <w:rtl w:val="true"/>
        </w:rPr>
        <w:t xml:space="preserve">, </w:t>
      </w:r>
      <w:r>
        <w:rPr>
          <w:rtl w:val="true"/>
        </w:rPr>
        <w:t xml:space="preserve">כבוד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שגיא</w:t>
      </w:r>
      <w:r>
        <w:rPr>
          <w:rtl w:val="true"/>
        </w:rPr>
        <w:t xml:space="preserve">, </w:t>
      </w:r>
      <w:r>
        <w:rPr>
          <w:rtl w:val="true"/>
        </w:rPr>
        <w:t>כי חילוקי הדעות בין מר זר לבין הסנגוריות שמונו לו מטעם הסנגוריה הציבורית</w:t>
      </w:r>
      <w:r>
        <w:rPr>
          <w:rtl w:val="true"/>
        </w:rPr>
        <w:t xml:space="preserve">, </w:t>
      </w:r>
      <w:r>
        <w:rPr>
          <w:rtl w:val="true"/>
        </w:rPr>
        <w:t>אשר אין חולק כי הם מקשים על ניהול ההליך</w:t>
      </w:r>
      <w:r>
        <w:rPr>
          <w:rtl w:val="true"/>
        </w:rPr>
        <w:t xml:space="preserve">, </w:t>
      </w:r>
      <w:r>
        <w:rPr>
          <w:rtl w:val="true"/>
        </w:rPr>
        <w:t>אינם מגיעים לדרגה של פגיעה באפשרות לתת ייצוג נאות</w:t>
      </w:r>
      <w:r>
        <w:rPr>
          <w:rtl w:val="true"/>
        </w:rPr>
        <w:t xml:space="preserve">. </w:t>
      </w:r>
      <w:r>
        <w:rPr>
          <w:rtl w:val="true"/>
        </w:rPr>
        <w:t>נהפוך הוא</w:t>
      </w:r>
      <w:r>
        <w:rPr>
          <w:rtl w:val="true"/>
        </w:rPr>
        <w:t xml:space="preserve">, </w:t>
      </w:r>
      <w:r>
        <w:rPr>
          <w:rtl w:val="true"/>
        </w:rPr>
        <w:t>להתרשמות הערכאה הדיונית קיימת חשיבות בהמשך ייצוגו של מר זר על ידי הסנגוריות</w:t>
      </w:r>
      <w:r>
        <w:rPr>
          <w:rtl w:val="true"/>
        </w:rPr>
        <w:t xml:space="preserve">, </w:t>
      </w:r>
      <w:r>
        <w:rPr>
          <w:rtl w:val="true"/>
        </w:rPr>
        <w:t xml:space="preserve">לאור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היקפו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ומורכבותו</w:t>
      </w:r>
      <w:r>
        <w:rPr>
          <w:rtl w:val="true"/>
        </w:rPr>
        <w:t xml:space="preserve">". </w:t>
      </w:r>
      <w:r>
        <w:rPr>
          <w:rtl w:val="true"/>
        </w:rPr>
        <w:t>עמדה זו נכונה וראויה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מלאכתה של הסנגוריה הציבורית בתיק זה אינה קלה</w:t>
      </w:r>
      <w:r>
        <w:rPr>
          <w:rtl w:val="true"/>
        </w:rPr>
        <w:t xml:space="preserve">, </w:t>
      </w:r>
      <w:r>
        <w:rPr>
          <w:rtl w:val="true"/>
        </w:rPr>
        <w:t>שכן הנאשם מגיש בעצמו בקשות שככל הנראה מוטב היה כי ימנע מהגשתן</w:t>
      </w:r>
      <w:r>
        <w:rPr>
          <w:rtl w:val="true"/>
        </w:rPr>
        <w:t xml:space="preserve">, </w:t>
      </w:r>
      <w:r>
        <w:rPr>
          <w:rtl w:val="true"/>
        </w:rPr>
        <w:t>ומסרב להיענות להמלצות שיתכן מאד כי ראוי היה כי ייענה להן</w:t>
      </w:r>
      <w:r>
        <w:rPr>
          <w:rtl w:val="true"/>
        </w:rPr>
        <w:t xml:space="preserve">. </w:t>
      </w: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>המבחן לשחרור הסנגוריה הציבורית מתפקידה אינו נמדד על פי מידת עיקשותו של הנאשם</w:t>
      </w:r>
      <w:r>
        <w:rPr>
          <w:rtl w:val="true"/>
        </w:rPr>
        <w:t xml:space="preserve">, </w:t>
      </w:r>
      <w:r>
        <w:rPr>
          <w:rtl w:val="true"/>
        </w:rPr>
        <w:t>אלא לפי מידת התועלת שיש בייצוג בהינתן המחלוקות הקיימות בין הנאשם לבין הסנגוריה הציבורית</w:t>
      </w:r>
      <w:r>
        <w:rPr>
          <w:rtl w:val="true"/>
        </w:rPr>
        <w:t xml:space="preserve">. </w:t>
      </w:r>
      <w:r>
        <w:rPr>
          <w:rtl w:val="true"/>
        </w:rPr>
        <w:t>בית המשפט קמא סבר שתועלת זו עודה רבה</w:t>
      </w:r>
      <w:r>
        <w:rPr>
          <w:rtl w:val="true"/>
        </w:rPr>
        <w:t xml:space="preserve">, </w:t>
      </w:r>
      <w:r>
        <w:rPr>
          <w:rtl w:val="true"/>
        </w:rPr>
        <w:t>וכאמור הערכה זו מקובלת גם עליי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נגד מר זר הוגש כתב אישום עב כרס</w:t>
      </w:r>
      <w:r>
        <w:rPr>
          <w:rtl w:val="true"/>
        </w:rPr>
        <w:t xml:space="preserve">, </w:t>
      </w:r>
      <w:r>
        <w:rPr>
          <w:rtl w:val="true"/>
        </w:rPr>
        <w:t>והוא כולל בתוכו עבירות רבות וקשות</w:t>
      </w:r>
      <w:r>
        <w:rPr>
          <w:rtl w:val="true"/>
        </w:rPr>
        <w:t xml:space="preserve">. </w:t>
      </w:r>
      <w:r>
        <w:rPr>
          <w:rtl w:val="true"/>
        </w:rPr>
        <w:t>כפי שקבע בית המשפט קמא</w:t>
      </w:r>
      <w:r>
        <w:rPr>
          <w:rtl w:val="true"/>
        </w:rPr>
        <w:t xml:space="preserve">, </w:t>
      </w:r>
      <w:r>
        <w:rPr>
          <w:rtl w:val="true"/>
        </w:rPr>
        <w:t>מדובר בתיק מורכב</w:t>
      </w:r>
      <w:r>
        <w:rPr>
          <w:rtl w:val="true"/>
        </w:rPr>
        <w:t xml:space="preserve">, </w:t>
      </w:r>
      <w:r>
        <w:rPr>
          <w:rtl w:val="true"/>
        </w:rPr>
        <w:t>וכדי להבטיח את זכויות מר זר</w:t>
      </w:r>
      <w:r>
        <w:rPr>
          <w:rtl w:val="true"/>
        </w:rPr>
        <w:t xml:space="preserve">, </w:t>
      </w:r>
      <w:r>
        <w:rPr>
          <w:rtl w:val="true"/>
        </w:rPr>
        <w:t>סברתי כי יש להותיר את הייצוג על כנו</w:t>
      </w:r>
      <w:r>
        <w:rPr>
          <w:rtl w:val="true"/>
        </w:rPr>
        <w:t xml:space="preserve">. </w:t>
      </w:r>
      <w:r>
        <w:rPr>
          <w:rtl w:val="true"/>
        </w:rPr>
        <w:t>יצוין בהקשר זה כי למר זר יש אומנם השכלה משפטית</w:t>
      </w:r>
      <w:r>
        <w:rPr>
          <w:rtl w:val="true"/>
        </w:rPr>
        <w:t xml:space="preserve">, </w:t>
      </w:r>
      <w:r>
        <w:rPr>
          <w:rtl w:val="true"/>
        </w:rPr>
        <w:t>ואולם עובדה זו</w:t>
      </w:r>
      <w:r>
        <w:rPr>
          <w:rtl w:val="true"/>
        </w:rPr>
        <w:t xml:space="preserve">, </w:t>
      </w:r>
      <w:r>
        <w:rPr>
          <w:rtl w:val="true"/>
        </w:rPr>
        <w:t>כמו גם בקיאותו בתיק</w:t>
      </w:r>
      <w:r>
        <w:rPr>
          <w:rtl w:val="true"/>
        </w:rPr>
        <w:t xml:space="preserve">, </w:t>
      </w:r>
      <w:r>
        <w:rPr>
          <w:rtl w:val="true"/>
        </w:rPr>
        <w:t>אין בהן כדי להקנות לו את היכולת לייצג את עצמו בצורה מיטבית</w:t>
      </w:r>
      <w:r>
        <w:rPr>
          <w:rtl w:val="true"/>
        </w:rPr>
        <w:t xml:space="preserve">. </w:t>
      </w:r>
      <w:r>
        <w:rPr>
          <w:rtl w:val="true"/>
        </w:rPr>
        <w:t>בית המשפט קמא התייחס בפסק דינו לכך שהבקשות שהגיש מר זר באופן עצמאי מעידות על כך שהוא זקוק להדרכה והכוונה משפטית</w:t>
      </w:r>
      <w:r>
        <w:rPr>
          <w:rtl w:val="true"/>
        </w:rPr>
        <w:t xml:space="preserve">, </w:t>
      </w:r>
      <w:r>
        <w:rPr>
          <w:rtl w:val="true"/>
        </w:rPr>
        <w:t>וזאת בשל כך שתחום התמחותו המקצועי אינו המשפט הפלילי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גם אם הייתה לנאשם התמחות מקצועית מתאימה</w:t>
      </w:r>
      <w:r>
        <w:rPr>
          <w:rtl w:val="true"/>
        </w:rPr>
        <w:t xml:space="preserve">, </w:t>
      </w:r>
      <w:r>
        <w:rPr>
          <w:rtl w:val="true"/>
        </w:rPr>
        <w:t>אין זה תרחיש רצוי שאדם ייצג את עצמו בהליך פלילי</w:t>
      </w:r>
      <w:r>
        <w:rPr>
          <w:rtl w:val="true"/>
        </w:rPr>
        <w:t xml:space="preserve">, </w:t>
      </w:r>
      <w:r>
        <w:rPr>
          <w:rtl w:val="true"/>
        </w:rPr>
        <w:t>בוודאי כשמדובר בכתב אישום מורכב</w:t>
      </w:r>
      <w:r>
        <w:rPr>
          <w:rtl w:val="true"/>
        </w:rPr>
        <w:t xml:space="preserve">, </w:t>
      </w:r>
      <w:r>
        <w:rPr>
          <w:rtl w:val="true"/>
        </w:rPr>
        <w:t>הנושא אפשרות לעונש מאסר לריצוי בפועל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לנאשם בהליך פלילי ישנה מעורבות אישית רגשית גדולה בהליכים בעניינו</w:t>
      </w:r>
      <w:r>
        <w:rPr>
          <w:rtl w:val="true"/>
        </w:rPr>
        <w:t xml:space="preserve">, </w:t>
      </w:r>
      <w:r>
        <w:rPr>
          <w:rtl w:val="true"/>
        </w:rPr>
        <w:t>ולכן נוכחות סנגור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מנותק רגשית</w:t>
      </w:r>
      <w:r>
        <w:rPr>
          <w:rtl w:val="true"/>
        </w:rPr>
        <w:t xml:space="preserve">" </w:t>
      </w:r>
      <w:r>
        <w:rPr>
          <w:rtl w:val="true"/>
        </w:rPr>
        <w:t>ומסוגל להביט על הדברים באופן מקצועי ואובייקטיבי</w:t>
      </w:r>
      <w:r>
        <w:rPr>
          <w:rtl w:val="true"/>
        </w:rPr>
        <w:t xml:space="preserve">, </w:t>
      </w:r>
      <w:r>
        <w:rPr>
          <w:rtl w:val="true"/>
        </w:rPr>
        <w:t>היא משמעותית ביותר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על אף שהתנהלותו של מר זר מערימה קשיים לא מבוטלים על הסנגוריה הציבורית</w:t>
      </w:r>
      <w:r>
        <w:rPr>
          <w:rtl w:val="true"/>
        </w:rPr>
        <w:t xml:space="preserve">, </w:t>
      </w:r>
      <w:r>
        <w:rPr>
          <w:rtl w:val="true"/>
        </w:rPr>
        <w:t>אין מקום</w:t>
      </w:r>
      <w:r>
        <w:rPr>
          <w:rtl w:val="true"/>
        </w:rPr>
        <w:t xml:space="preserve">, </w:t>
      </w:r>
      <w:r>
        <w:rPr>
          <w:rtl w:val="true"/>
        </w:rPr>
        <w:t>בעת הזו</w:t>
      </w:r>
      <w:r>
        <w:rPr>
          <w:rtl w:val="true"/>
        </w:rPr>
        <w:t xml:space="preserve">, </w:t>
      </w:r>
      <w:r>
        <w:rPr>
          <w:rtl w:val="true"/>
        </w:rPr>
        <w:t>לשחררה מייצוגו של מר זר</w:t>
      </w:r>
      <w:r>
        <w:rPr>
          <w:rtl w:val="true"/>
        </w:rPr>
        <w:t xml:space="preserve">.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ככל שיוחמרו הנסיבות</w:t>
      </w:r>
      <w:r>
        <w:rPr>
          <w:rtl w:val="true"/>
        </w:rPr>
        <w:t xml:space="preserve">, </w:t>
      </w:r>
      <w:r>
        <w:rPr>
          <w:rtl w:val="true"/>
        </w:rPr>
        <w:t>והסנגור הציבורי המחוזי יתרשם כי הן עולות לכדי עילה לשחרור הסנגוריה הציבורית מתפקידה</w:t>
      </w:r>
      <w:r>
        <w:rPr>
          <w:rtl w:val="true"/>
        </w:rPr>
        <w:t xml:space="preserve">, </w:t>
      </w:r>
      <w:r>
        <w:rPr>
          <w:rtl w:val="true"/>
        </w:rPr>
        <w:t>פתוחה הדרך לפניו להגיש בקשה חדשה לערכאה הדיונית</w:t>
      </w:r>
      <w:r>
        <w:rPr>
          <w:rtl w:val="true"/>
        </w:rPr>
        <w:t xml:space="preserve">, </w:t>
      </w:r>
      <w:r>
        <w:rPr>
          <w:rtl w:val="true"/>
        </w:rPr>
        <w:t>אשר תיבחן לגופה</w:t>
      </w:r>
      <w:r>
        <w:rPr>
          <w:rtl w:val="true"/>
        </w:rPr>
        <w:t xml:space="preserve">, </w:t>
      </w:r>
      <w:r>
        <w:rPr>
          <w:rtl w:val="true"/>
        </w:rPr>
        <w:t>בשים לב להנחיות המפורטות לעיל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לפיכך אמליץ לחבריי לדחות את הערעור</w:t>
      </w:r>
      <w:r>
        <w:rPr>
          <w:rtl w:val="true"/>
        </w:rPr>
        <w:t xml:space="preserve">, </w:t>
      </w:r>
      <w:r>
        <w:rPr>
          <w:rtl w:val="true"/>
        </w:rPr>
        <w:t>ולאשר את קביעת בית המשפט קמא כי בשלב הנוכחי אין מקום לשחרור הסנגוריה הציבורית מחובתה לייצג את מר זר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spacing w:lineRule="auto" w:line="360"/>
        <w:ind w:firstLine="720"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spacing w:lineRule="auto" w:line="360"/>
        <w:ind w:firstLine="720"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גרוסקופף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12.12.2018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18072110</w:t>
      </w:r>
      <w:r>
        <w:rPr>
          <w:sz w:val="16"/>
          <w:rtl w:val="true"/>
        </w:rPr>
        <w:t>_</w:t>
      </w:r>
      <w:r>
        <w:rPr>
          <w:sz w:val="16"/>
        </w:rPr>
        <w:t>Y04.doc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54678313-7211/18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altName w:val="Arial Narrow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7211/18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הסנגוריה הציבורית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;Arial Narrow" w:hAnsi="Tahoma;Arial Narrow" w:cs="Tahoma;Arial Narrow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;Arial Narrow" w:hAnsi="Tahoma;Arial Narrow" w:cs="Tahoma;Arial Narrow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23407" TargetMode="External"/><Relationship Id="rId3" Type="http://schemas.openxmlformats.org/officeDocument/2006/relationships/hyperlink" Target="http://www.nevo.co.il/law/4202" TargetMode="External"/><Relationship Id="rId4" Type="http://schemas.openxmlformats.org/officeDocument/2006/relationships/hyperlink" Target="http://www.nevo.co.il/law/4202/16" TargetMode="External"/><Relationship Id="rId5" Type="http://schemas.openxmlformats.org/officeDocument/2006/relationships/hyperlink" Target="http://www.nevo.co.il/law/74903" TargetMode="External"/><Relationship Id="rId6" Type="http://schemas.openxmlformats.org/officeDocument/2006/relationships/hyperlink" Target="http://www.nevo.co.il/law/74903/17" TargetMode="External"/><Relationship Id="rId7" Type="http://schemas.openxmlformats.org/officeDocument/2006/relationships/hyperlink" Target="http://www.nevo.co.il/law/74903/17.b" TargetMode="External"/><Relationship Id="rId8" Type="http://schemas.openxmlformats.org/officeDocument/2006/relationships/hyperlink" Target="http://www.nevo.co.il/law/4203" TargetMode="External"/><Relationship Id="rId9" Type="http://schemas.openxmlformats.org/officeDocument/2006/relationships/hyperlink" Target="http://www.nevo.co.il/law/4203/8.a" TargetMode="External"/><Relationship Id="rId10" Type="http://schemas.openxmlformats.org/officeDocument/2006/relationships/hyperlink" Target="http://www.nevo.co.il/safrut/book/2408" TargetMode="External"/><Relationship Id="rId11" Type="http://schemas.openxmlformats.org/officeDocument/2006/relationships/hyperlink" Target="http://www.nevo.co.il/safrut/book/2408" TargetMode="External"/><Relationship Id="rId12" Type="http://schemas.openxmlformats.org/officeDocument/2006/relationships/hyperlink" Target="http://www.nevo.co.il/case/22523407" TargetMode="External"/><Relationship Id="rId13" Type="http://schemas.openxmlformats.org/officeDocument/2006/relationships/hyperlink" Target="http://www.nevo.co.il/safrut/book/2408" TargetMode="External"/><Relationship Id="rId14" Type="http://schemas.openxmlformats.org/officeDocument/2006/relationships/hyperlink" Target="http://www.nevo.co.il/law/4202" TargetMode="External"/><Relationship Id="rId15" Type="http://schemas.openxmlformats.org/officeDocument/2006/relationships/hyperlink" Target="http://www.nevo.co.il/law/4202" TargetMode="External"/><Relationship Id="rId16" Type="http://schemas.openxmlformats.org/officeDocument/2006/relationships/hyperlink" Target="http://www.nevo.co.il/law/4202/16" TargetMode="External"/><Relationship Id="rId17" Type="http://schemas.openxmlformats.org/officeDocument/2006/relationships/hyperlink" Target="http://www.nevo.co.il/law/4202" TargetMode="External"/><Relationship Id="rId18" Type="http://schemas.openxmlformats.org/officeDocument/2006/relationships/hyperlink" Target="http://www.nevo.co.il/law/74903/17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law/4202/16" TargetMode="External"/><Relationship Id="rId21" Type="http://schemas.openxmlformats.org/officeDocument/2006/relationships/hyperlink" Target="http://www.nevo.co.il/law/4202" TargetMode="External"/><Relationship Id="rId22" Type="http://schemas.openxmlformats.org/officeDocument/2006/relationships/hyperlink" Target="http://www.nevo.co.il/law/4202/16" TargetMode="External"/><Relationship Id="rId23" Type="http://schemas.openxmlformats.org/officeDocument/2006/relationships/hyperlink" Target="http://www.nevo.co.il/law/4202" TargetMode="External"/><Relationship Id="rId24" Type="http://schemas.openxmlformats.org/officeDocument/2006/relationships/hyperlink" Target="http://www.nevo.co.il/law/4203/8.a" TargetMode="External"/><Relationship Id="rId25" Type="http://schemas.openxmlformats.org/officeDocument/2006/relationships/hyperlink" Target="http://www.nevo.co.il/law/4203" TargetMode="External"/><Relationship Id="rId26" Type="http://schemas.openxmlformats.org/officeDocument/2006/relationships/hyperlink" Target="http://www.nevo.co.il/law/74903/17.b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case/5861357" TargetMode="External"/><Relationship Id="rId29" Type="http://schemas.openxmlformats.org/officeDocument/2006/relationships/hyperlink" Target="http://www.nevo.co.il/case/5796741" TargetMode="External"/><Relationship Id="rId30" Type="http://schemas.openxmlformats.org/officeDocument/2006/relationships/hyperlink" Target="http://www.nevo.co.il/case/5607593" TargetMode="External"/><Relationship Id="rId31" Type="http://schemas.openxmlformats.org/officeDocument/2006/relationships/hyperlink" Target="http://www.nevo.co.il/case/5587621" TargetMode="External"/><Relationship Id="rId32" Type="http://schemas.openxmlformats.org/officeDocument/2006/relationships/hyperlink" Target="http://www.nevo.co.il/law/4202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law/4203" TargetMode="External"/><Relationship Id="rId35" Type="http://schemas.openxmlformats.org/officeDocument/2006/relationships/hyperlink" Target="https://supreme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2018-12-13T11:30:00Z</dcterms:created>
  <dc:creator> </dc:creator>
  <dc:description/>
  <cp:keywords/>
  <dc:language>en-IL</dc:language>
  <cp:lastModifiedBy>orly</cp:lastModifiedBy>
  <cp:lastPrinted>2018-12-11T15:12:00Z</cp:lastPrinted>
  <dcterms:modified xsi:type="dcterms:W3CDTF">2018-12-13T11:30:00Z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הסנגוריה הציבורית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ישראל;צבי זר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2408</vt:lpwstr>
  </property>
  <property fmtid="{D5CDD505-2E9C-101B-9397-08002B2CF9AE}" pid="9" name="CASESLISTTMP1">
    <vt:lpwstr>22523407:2;5861357;5796741;5607593;5587621</vt:lpwstr>
  </property>
  <property fmtid="{D5CDD505-2E9C-101B-9397-08002B2CF9AE}" pid="10" name="CITY">
    <vt:lpwstr/>
  </property>
  <property fmtid="{D5CDD505-2E9C-101B-9397-08002B2CF9AE}" pid="11" name="DATE">
    <vt:lpwstr>20181212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ע' פוגלמן;ע' ברון;ע' גרוסקופף</vt:lpwstr>
  </property>
  <property fmtid="{D5CDD505-2E9C-101B-9397-08002B2CF9AE}" pid="15" name="LAWLISTTMP1">
    <vt:lpwstr>4202/016:3</vt:lpwstr>
  </property>
  <property fmtid="{D5CDD505-2E9C-101B-9397-08002B2CF9AE}" pid="16" name="LAWLISTTMP2">
    <vt:lpwstr>74903/017;017.b</vt:lpwstr>
  </property>
  <property fmtid="{D5CDD505-2E9C-101B-9397-08002B2CF9AE}" pid="17" name="LAWLISTTMP3">
    <vt:lpwstr>4203/008.a</vt:lpwstr>
  </property>
  <property fmtid="{D5CDD505-2E9C-101B-9397-08002B2CF9AE}" pid="18" name="LAWYER">
    <vt:lpwstr>יאיר חמודות;מירב גבע;טל ענר;גלית מבורך;טלי חזום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דיון פלילי</vt:lpwstr>
  </property>
  <property fmtid="{D5CDD505-2E9C-101B-9397-08002B2CF9AE}" pid="32" name="NOSE13">
    <vt:lpwstr>דיון פלילי</vt:lpwstr>
  </property>
  <property fmtid="{D5CDD505-2E9C-101B-9397-08002B2CF9AE}" pid="33" name="NOSE14">
    <vt:lpwstr>דיון פלילי</vt:lpwstr>
  </property>
  <property fmtid="{D5CDD505-2E9C-101B-9397-08002B2CF9AE}" pid="34" name="NOSE15">
    <vt:lpwstr>עורכי-דין</vt:lpwstr>
  </property>
  <property fmtid="{D5CDD505-2E9C-101B-9397-08002B2CF9AE}" pid="35" name="NOSE16">
    <vt:lpwstr>עורכי-דין</vt:lpwstr>
  </property>
  <property fmtid="{D5CDD505-2E9C-101B-9397-08002B2CF9AE}" pid="36" name="NOSE17">
    <vt:lpwstr>משפט חוקתי</vt:lpwstr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18;18;18;18;78;78;59</vt:lpwstr>
  </property>
  <property fmtid="{D5CDD505-2E9C-101B-9397-08002B2CF9AE}" pid="40" name="NOSE21">
    <vt:lpwstr>ייצוג</vt:lpwstr>
  </property>
  <property fmtid="{D5CDD505-2E9C-101B-9397-08002B2CF9AE}" pid="41" name="NOSE210">
    <vt:lpwstr/>
  </property>
  <property fmtid="{D5CDD505-2E9C-101B-9397-08002B2CF9AE}" pid="42" name="NOSE22">
    <vt:lpwstr>ייצוג</vt:lpwstr>
  </property>
  <property fmtid="{D5CDD505-2E9C-101B-9397-08002B2CF9AE}" pid="43" name="NOSE23">
    <vt:lpwstr>ייצוג</vt:lpwstr>
  </property>
  <property fmtid="{D5CDD505-2E9C-101B-9397-08002B2CF9AE}" pid="44" name="NOSE24">
    <vt:lpwstr>נאשם</vt:lpwstr>
  </property>
  <property fmtid="{D5CDD505-2E9C-101B-9397-08002B2CF9AE}" pid="45" name="NOSE25">
    <vt:lpwstr>ייצוג</vt:lpwstr>
  </property>
  <property fmtid="{D5CDD505-2E9C-101B-9397-08002B2CF9AE}" pid="46" name="NOSE26">
    <vt:lpwstr>ייצוג</vt:lpwstr>
  </property>
  <property fmtid="{D5CDD505-2E9C-101B-9397-08002B2CF9AE}" pid="47" name="NOSE27">
    <vt:lpwstr>זכויות הפרט</vt:lpwstr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480;480;480;489;1468;1468;1108</vt:lpwstr>
  </property>
  <property fmtid="{D5CDD505-2E9C-101B-9397-08002B2CF9AE}" pid="51" name="NOSE31">
    <vt:lpwstr>סניגור ציבורי</vt:lpwstr>
  </property>
  <property fmtid="{D5CDD505-2E9C-101B-9397-08002B2CF9AE}" pid="52" name="NOSE310">
    <vt:lpwstr/>
  </property>
  <property fmtid="{D5CDD505-2E9C-101B-9397-08002B2CF9AE}" pid="53" name="NOSE32">
    <vt:lpwstr>מינוי סניגור</vt:lpwstr>
  </property>
  <property fmtid="{D5CDD505-2E9C-101B-9397-08002B2CF9AE}" pid="54" name="NOSE33">
    <vt:lpwstr>הפסקתו</vt:lpwstr>
  </property>
  <property fmtid="{D5CDD505-2E9C-101B-9397-08002B2CF9AE}" pid="55" name="NOSE34">
    <vt:lpwstr>ייצוגו</vt:lpwstr>
  </property>
  <property fmtid="{D5CDD505-2E9C-101B-9397-08002B2CF9AE}" pid="56" name="NOSE35">
    <vt:lpwstr>שחרור מייצוג</vt:lpwstr>
  </property>
  <property fmtid="{D5CDD505-2E9C-101B-9397-08002B2CF9AE}" pid="57" name="NOSE36">
    <vt:lpwstr>הזכות להיות מיוצג</vt:lpwstr>
  </property>
  <property fmtid="{D5CDD505-2E9C-101B-9397-08002B2CF9AE}" pid="58" name="NOSE37">
    <vt:lpwstr>הזכות לייצוג</vt:lpwstr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3713;3709;3705;3782;9132;9122;15063</vt:lpwstr>
  </property>
  <property fmtid="{D5CDD505-2E9C-101B-9397-08002B2CF9AE}" pid="62" name="PADIDATE">
    <vt:lpwstr>20181213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7211</vt:lpwstr>
  </property>
  <property fmtid="{D5CDD505-2E9C-101B-9397-08002B2CF9AE}" pid="68" name="PROCYEAR">
    <vt:lpwstr>18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410120181212</vt:lpwstr>
  </property>
  <property fmtid="{D5CDD505-2E9C-101B-9397-08002B2CF9AE}" pid="72" name="TYPE_N_DATE">
    <vt:lpwstr>41020181212</vt:lpwstr>
  </property>
  <property fmtid="{D5CDD505-2E9C-101B-9397-08002B2CF9AE}" pid="73" name="VOLUME">
    <vt:lpwstr/>
  </property>
  <property fmtid="{D5CDD505-2E9C-101B-9397-08002B2CF9AE}" pid="74" name="WORDNUMPAGES">
    <vt:lpwstr>12</vt:lpwstr>
  </property>
</Properties>
</file>