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7216/20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שמואל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קינן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קליין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25403-11-18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06.09.2020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21.01.2021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שוורץ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יורם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הירשברג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אוריין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רוזנטל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המכס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]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211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היבוא והיצוא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7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צו הפיקוח על יהלומים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יבואם ויצואם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9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2000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לא מרובד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5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bookmarkStart w:id="8" w:name="ABSTRACT_START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משהקל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השניים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האחרים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בפרשה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ויוטעם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להעמיד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האחרים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העמדתו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כשלעצמו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נלווית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טיעון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הברחת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יהלומים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ומס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המידה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השניים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האחרים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בפרשה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חמאני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וענבי</w:t>
      </w:r>
      <w:r>
        <w:rPr>
          <w:rFonts w:cs="FrankRuehl;Times New Roman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ובולטת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קיצוני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 w:val="24"/>
          <w:szCs w:val="26"/>
          <w:rtl w:val="true"/>
        </w:rPr>
        <w:t>משהקל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חמאני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וענבי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 w:val="24"/>
          <w:szCs w:val="26"/>
          <w:rtl w:val="true"/>
        </w:rPr>
        <w:t>יוטעם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העמדתו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כשלעצמו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להעמיד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כשלעצמה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בד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כ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שהצביע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שרירותיות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בהחלטות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להעמיד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בפרשייה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מסוימת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יתכנו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שהתשתית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הראייתית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החשדות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להעמיד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וממילא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חמאני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האחרון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הבריח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יהלומים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28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חמאני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הוצגו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וייחודיות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מסוימת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שנמשכו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ארוכה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פעם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וקדם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תכנון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מוקפד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כסף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כלכליות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מחייבות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מוחשית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להרתיע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עבריינים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פוטנציאליים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תוחלת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כלכלית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 w:val="24"/>
          <w:szCs w:val="26"/>
          <w:rtl w:val="true"/>
        </w:rPr>
        <w:t>יוצא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אפוא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שבמעשיו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הסדרת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הכנסה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היעדר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 w:val="24"/>
          <w:szCs w:val="26"/>
          <w:rtl w:val="true"/>
        </w:rPr>
        <w:t>יוער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תמוה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בלשון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המעטה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להימשכות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ההליכים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והגורמת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לעינוי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ואולם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למרות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התמשכות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ההליכים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ובייחוד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לכברת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גזר דינו של בית המשפט המחוזי מרכז–לוד 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25403-11-18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tl w:val="true"/>
        </w:rPr>
        <w:t xml:space="preserve">), </w:t>
      </w:r>
      <w:r>
        <w:rPr>
          <w:rtl w:val="true"/>
        </w:rPr>
        <w:t xml:space="preserve">מיום </w:t>
      </w:r>
      <w:r>
        <w:rPr/>
        <w:t>6.9.2020</w:t>
      </w:r>
      <w:r>
        <w:rPr>
          <w:rtl w:val="true"/>
        </w:rPr>
        <w:t xml:space="preserve">, </w:t>
      </w:r>
      <w:r>
        <w:rPr>
          <w:rtl w:val="true"/>
        </w:rPr>
        <w:t xml:space="preserve">בגדרו השית בית משפט קמא על המערער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וכן ענישה נלווית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בגין הרשעתו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הברחת יהלומים ומס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 נהג להבריח יהלומים לבקשת אחרים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2009</w:t>
      </w:r>
      <w:r>
        <w:rPr>
          <w:rtl w:val="true"/>
        </w:rPr>
        <w:t>–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מדרום אפריקה לישראל</w:t>
      </w:r>
      <w:r>
        <w:rPr>
          <w:rtl w:val="true"/>
        </w:rPr>
        <w:t xml:space="preserve">. </w:t>
      </w:r>
      <w:r>
        <w:rPr>
          <w:rtl w:val="true"/>
        </w:rPr>
        <w:t>היהלומים הם בגדר טובין שיבואם מוגבל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כמתואר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נכנס לישראל ביום </w:t>
      </w:r>
      <w:r>
        <w:rPr/>
        <w:t>6.7.2014</w:t>
      </w:r>
      <w:r>
        <w:rPr>
          <w:rtl w:val="true"/>
        </w:rPr>
        <w:t xml:space="preserve">, </w:t>
      </w:r>
      <w:r>
        <w:rPr>
          <w:rtl w:val="true"/>
        </w:rPr>
        <w:t xml:space="preserve">כשבאמתחתו יהלומים בשווי </w:t>
      </w:r>
      <w:r>
        <w:rPr/>
        <w:t>1,282,436</w:t>
      </w:r>
      <w:r>
        <w:rPr>
          <w:rtl w:val="true"/>
        </w:rPr>
        <w:t xml:space="preserve"> </w:t>
      </w:r>
      <w:r>
        <w:rPr>
          <w:rtl w:val="true"/>
        </w:rPr>
        <w:t xml:space="preserve">דולר כמו גם כסף מזומן בסך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>
          <w:rtl w:val="true"/>
        </w:rPr>
        <w:t xml:space="preserve">אשר שוויו באותו יום </w:t>
      </w:r>
      <w:r>
        <w:rPr/>
        <w:t>171,450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לאחר חיפוש ראשוני בכליו של המערער</w:t>
      </w:r>
      <w:r>
        <w:rPr>
          <w:rtl w:val="true"/>
        </w:rPr>
        <w:t xml:space="preserve">, </w:t>
      </w:r>
      <w:r>
        <w:rPr>
          <w:rtl w:val="true"/>
        </w:rPr>
        <w:t>בו נתפסו חלק מהיהלומים</w:t>
      </w:r>
      <w:r>
        <w:rPr>
          <w:rtl w:val="true"/>
        </w:rPr>
        <w:t xml:space="preserve">, </w:t>
      </w:r>
      <w:r>
        <w:rPr>
          <w:rtl w:val="true"/>
        </w:rPr>
        <w:t>ומשהתבקש להצהיר על כל שברשותו הדורש הצהרה</w:t>
      </w:r>
      <w:r>
        <w:rPr>
          <w:rtl w:val="true"/>
        </w:rPr>
        <w:t xml:space="preserve">, </w:t>
      </w:r>
      <w:r>
        <w:rPr>
          <w:rtl w:val="true"/>
        </w:rPr>
        <w:t>הצהיר רק על חלק מהיהלומים שברשותו ולא הצהיר על הכספים המזומנים כלל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נטען 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>–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מהיהלומים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גלם</w:t>
      </w:r>
      <w:r>
        <w:rPr>
          <w:rtl w:val="true"/>
        </w:rPr>
        <w:t xml:space="preserve">, </w:t>
      </w:r>
      <w:r>
        <w:rPr>
          <w:rtl w:val="true"/>
        </w:rPr>
        <w:t>הדורשים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ו–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קימברלי</w:t>
      </w:r>
      <w:r>
        <w:rPr>
          <w:rtl w:val="true"/>
        </w:rPr>
        <w:t xml:space="preserve">", </w:t>
      </w:r>
      <w:r>
        <w:rPr>
          <w:rtl w:val="true"/>
        </w:rPr>
        <w:t>שמטרתה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הבינלאומית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באפריקה</w:t>
      </w:r>
      <w:r>
        <w:rPr>
          <w:rtl w:val="true"/>
        </w:rPr>
        <w:t xml:space="preserve">",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המכס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מעיסוקו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1,850,000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חשבונאי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המכס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];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הייבוא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והייצוא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ט–</w:t>
      </w:r>
      <w:r>
        <w:rPr/>
        <w:t>1979</w:t>
      </w:r>
      <w:r>
        <w:rPr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צו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הפיקוח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יהלומים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יבואם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ויצואם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ט–</w:t>
      </w:r>
      <w:r>
        <w:rPr/>
        <w:t>1979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ס–</w:t>
      </w:r>
      <w:r>
        <w:rPr/>
        <w:t>2000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הכנסה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הורשע ביום </w:t>
      </w:r>
      <w:r>
        <w:rPr/>
        <w:t>25.11.2019</w:t>
      </w:r>
      <w:r>
        <w:rPr>
          <w:rtl w:val="true"/>
        </w:rPr>
        <w:t xml:space="preserve"> </w:t>
      </w:r>
      <w:r>
        <w:rPr>
          <w:rtl w:val="true"/>
        </w:rPr>
        <w:t>על פי הודאתו במסגרת הסדר טיעון בעבירות שיוחסו לו בכתב האישום המתוקן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שקל בגזר דינו את הערכים המוגנים שנפגעו כתוצאה מביצוע העבירות</w:t>
      </w:r>
      <w:r>
        <w:rPr>
          <w:rtl w:val="true"/>
        </w:rPr>
        <w:t xml:space="preserve">, </w:t>
      </w:r>
      <w:r>
        <w:rPr>
          <w:rtl w:val="true"/>
        </w:rPr>
        <w:t>ובפרט הפגיעה בקופה הציבורית</w:t>
      </w:r>
      <w:r>
        <w:rPr>
          <w:rtl w:val="true"/>
        </w:rPr>
        <w:t xml:space="preserve">; </w:t>
      </w:r>
      <w:r>
        <w:rPr>
          <w:rtl w:val="true"/>
        </w:rPr>
        <w:t>הפגיעה בסמכות המדינה להסדיר את ייבוא היהלומים בתחומה</w:t>
      </w:r>
      <w:r>
        <w:rPr>
          <w:rtl w:val="true"/>
        </w:rPr>
        <w:t xml:space="preserve">; </w:t>
      </w:r>
      <w:r>
        <w:rPr>
          <w:rtl w:val="true"/>
        </w:rPr>
        <w:t xml:space="preserve">וכן הפגיעה במסחר עם מדינות אחרות המחויבות למכירת יהלומי גלם העומדים כאמור בדרישת </w:t>
      </w:r>
      <w:r>
        <w:rPr>
          <w:rtl w:val="true"/>
        </w:rPr>
        <w:t>"</w:t>
      </w:r>
      <w:r>
        <w:rPr>
          <w:rtl w:val="true"/>
        </w:rPr>
        <w:t>תעודת קימברלי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במספרם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שהוברחו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ענבי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חמאני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הסתיימו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שחמאני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וענבי</w:t>
      </w:r>
      <w:r>
        <w:rPr>
          <w:rtl w:val="true"/>
        </w:rPr>
        <w:t xml:space="preserve">"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וההגינות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)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בין היתר את גילו</w:t>
      </w:r>
      <w:r>
        <w:rPr>
          <w:rtl w:val="true"/>
        </w:rPr>
        <w:t xml:space="preserve">, </w:t>
      </w:r>
      <w:r>
        <w:rPr>
          <w:rtl w:val="true"/>
        </w:rPr>
        <w:t>מצבו האישי והמשפחתי של המערער</w:t>
      </w:r>
      <w:r>
        <w:rPr>
          <w:rtl w:val="true"/>
        </w:rPr>
        <w:t xml:space="preserve">, </w:t>
      </w:r>
      <w:r>
        <w:rPr>
          <w:rtl w:val="true"/>
        </w:rPr>
        <w:t>לרבות תמיכתו בבנו החולה</w:t>
      </w:r>
      <w:r>
        <w:rPr>
          <w:rtl w:val="true"/>
        </w:rPr>
        <w:t xml:space="preserve">; </w:t>
      </w:r>
      <w:r>
        <w:rPr>
          <w:rtl w:val="true"/>
        </w:rPr>
        <w:t>את היעדרו של  עבר פלילי בעניינו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את הודאת המערער ושיתוף הפעולה שלו עם גורמי אכיפת החוק</w:t>
      </w:r>
      <w:r>
        <w:rPr>
          <w:rtl w:val="true"/>
        </w:rPr>
        <w:t xml:space="preserve">; </w:t>
      </w:r>
      <w:r>
        <w:rPr>
          <w:rtl w:val="true"/>
        </w:rPr>
        <w:t>את הסדרת חובותיו לרשויות המס עוד בטרם הוגש כתב האישום נגדו</w:t>
      </w:r>
      <w:r>
        <w:rPr>
          <w:rtl w:val="true"/>
        </w:rPr>
        <w:t xml:space="preserve">; </w:t>
      </w:r>
      <w:r>
        <w:rPr>
          <w:rtl w:val="true"/>
        </w:rPr>
        <w:t>וכן את חלוף הזמן שעבר – כשש שנים – בין ביצוע העבירות ועד להגשת 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לנוכח האמור לעיל וכן התרשמות שירות המבחן והמלצתו להטיל על המערער </w:t>
      </w:r>
      <w:r>
        <w:rPr>
          <w:rtl w:val="true"/>
        </w:rPr>
        <w:t>"</w:t>
      </w:r>
      <w:r>
        <w:rPr>
          <w:rtl w:val="true"/>
        </w:rPr>
        <w:t>ענישה מוחשית בדמות מאסר בפועל</w:t>
      </w:r>
      <w:r>
        <w:rPr>
          <w:rtl w:val="true"/>
        </w:rPr>
        <w:t xml:space="preserve">", </w:t>
      </w:r>
      <w:r>
        <w:rPr>
          <w:rtl w:val="true"/>
        </w:rPr>
        <w:t xml:space="preserve">גזר בית המשפט המחוזי על המערער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עבירה מסוג פשע לפי 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עבירה של הברחת טובין</w:t>
      </w:r>
      <w:r>
        <w:rPr>
          <w:rtl w:val="true"/>
        </w:rPr>
        <w:t xml:space="preserve">, </w:t>
      </w:r>
      <w:r>
        <w:rPr>
          <w:rtl w:val="true"/>
        </w:rPr>
        <w:t xml:space="preserve">יבוא יהלומים שלא לפי רישיון בכתב או עבירה לפי 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וכן קנס כספי בסך 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 בית המשפט המחוזי החמיר עמו יתר על המידה</w:t>
      </w:r>
      <w:r>
        <w:rPr>
          <w:rtl w:val="true"/>
        </w:rPr>
        <w:t xml:space="preserve">, </w:t>
      </w:r>
      <w:r>
        <w:rPr>
          <w:rtl w:val="true"/>
        </w:rPr>
        <w:t>וזאת בשים לב לטענת האכיפה הבררנית אל מול חמאני וענבי</w:t>
      </w:r>
      <w:r>
        <w:rPr>
          <w:rtl w:val="true"/>
        </w:rPr>
        <w:t xml:space="preserve">. </w:t>
      </w:r>
      <w:r>
        <w:rPr>
          <w:rtl w:val="true"/>
        </w:rPr>
        <w:t>בהקשר זה סבור המערער כי שגה בית המשפט בקביעת מתחם הענישה ויתרה מכך</w:t>
      </w:r>
      <w:r>
        <w:rPr>
          <w:rtl w:val="true"/>
        </w:rPr>
        <w:t xml:space="preserve">, </w:t>
      </w:r>
      <w:r>
        <w:rPr>
          <w:rtl w:val="true"/>
        </w:rPr>
        <w:t>יש למקם את עונשו אף מתחת לרף התחתון של מתחם העונש ההולם את מעשיו</w:t>
      </w:r>
      <w:r>
        <w:rPr>
          <w:rtl w:val="true"/>
        </w:rPr>
        <w:t xml:space="preserve">, </w:t>
      </w:r>
      <w:r>
        <w:rPr>
          <w:rtl w:val="true"/>
        </w:rPr>
        <w:t>קרי מאסר בפועל אשר ירוצה בדרך של עבודות 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ענבי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בדיון לפנינו טען בא כוח המשיבה כי פערי הענישה בין המערער לבין חמאני נובעים משוני מהותי בין השניים</w:t>
      </w:r>
      <w:r>
        <w:rPr>
          <w:rtl w:val="true"/>
        </w:rPr>
        <w:t xml:space="preserve">. </w:t>
      </w:r>
      <w:r>
        <w:rPr>
          <w:rtl w:val="true"/>
        </w:rPr>
        <w:t>בייחוד העובדה כי חמאני הורשע בעובדות נשוא האישום הראשון בלבד</w:t>
      </w:r>
      <w:r>
        <w:rPr>
          <w:rtl w:val="true"/>
        </w:rPr>
        <w:t xml:space="preserve">, </w:t>
      </w:r>
      <w:r>
        <w:rPr>
          <w:rtl w:val="true"/>
        </w:rPr>
        <w:t xml:space="preserve">אשר לא כלל הברחת יהלומי גלם המחייבים </w:t>
      </w:r>
      <w:r>
        <w:rPr>
          <w:rtl w:val="true"/>
        </w:rPr>
        <w:t>"</w:t>
      </w:r>
      <w:r>
        <w:rPr>
          <w:rtl w:val="true"/>
        </w:rPr>
        <w:t>תעודת קימברלי</w:t>
      </w:r>
      <w:r>
        <w:rPr>
          <w:rtl w:val="true"/>
        </w:rPr>
        <w:t xml:space="preserve">", </w:t>
      </w:r>
      <w:r>
        <w:rPr>
          <w:rtl w:val="true"/>
        </w:rPr>
        <w:t>וכן נסיבותיו האישיות</w:t>
      </w:r>
      <w:r>
        <w:rPr>
          <w:rtl w:val="true"/>
        </w:rPr>
        <w:t xml:space="preserve">, </w:t>
      </w:r>
      <w:r>
        <w:rPr>
          <w:rtl w:val="true"/>
        </w:rPr>
        <w:t>ובכלל זה היותו תושב חוץ ובעל מצב רפואי חריג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לענבי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ענבי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יוער כי בעניינו של המערער הונח בפנינו תסקיר משלים מטעם שירות המבחן ממנו עולה כי הוא מביע חרטה ולוקח אחריות מלאה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כדי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הכרה רחבה יותר בדפוסים שהובילו לביצוען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של העבירות וכי להתרשמות שירות המבחן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מורתע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מההליך המשפטי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שעיינו בגזר דינו של בית המשפט המחוזי ושמענו את טיעוני הצדדים לפנינו</w:t>
      </w:r>
      <w:r>
        <w:rPr>
          <w:rtl w:val="true"/>
        </w:rPr>
        <w:t xml:space="preserve">, </w:t>
      </w:r>
      <w:r>
        <w:rPr>
          <w:rtl w:val="true"/>
        </w:rPr>
        <w:t>באנו לכלל מסקנה כי דין הערעור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לא תתערב בנקל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חריגות שבהן נפלה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שעה שהעונש שהוטל חורג באופן קיצוני מהענישה המקובלת במקרים דומים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(</w:t>
      </w:r>
      <w:r>
        <w:rPr/>
        <w:t>7.6.2020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 של המערער אינו נמנה עם אותם מקרים חריגים המצדיקים את התערבותה של ערכאת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משהקל בית המשפט המחוזי בעונשו של המערער לנוכח הפערים בין המערער לבין חמאני וענבי</w:t>
      </w:r>
      <w:r>
        <w:rPr>
          <w:rtl w:val="true"/>
        </w:rPr>
        <w:t xml:space="preserve">, </w:t>
      </w:r>
      <w:r>
        <w:rPr>
          <w:rtl w:val="true"/>
        </w:rPr>
        <w:t>לא מצאנו כי יש מקום להקלה נוספת על ידי ערכאת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יוטעם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שרירותיות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יתכנו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ובתנאי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קליינמן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28.12.2020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להבחנה בין עונשו של המערער לבין עונשו המקל של חמאני</w:t>
      </w:r>
      <w:r>
        <w:rPr>
          <w:rtl w:val="true"/>
        </w:rPr>
        <w:t xml:space="preserve">, </w:t>
      </w:r>
      <w:r>
        <w:rPr>
          <w:rtl w:val="true"/>
        </w:rPr>
        <w:t>יאמר כי זה האחרון הורשע באישום אחד בלבד ואילו המערער הבריח יהלומים ב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מקרים נוספים ואף ביצע עבירות מס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בעניינו של חמאני הוצגו נסיבות אישיות חריגות וייחודיות</w:t>
      </w:r>
      <w:r>
        <w:rPr>
          <w:rtl w:val="true"/>
        </w:rPr>
        <w:t xml:space="preserve">, </w:t>
      </w:r>
      <w:r>
        <w:rPr>
          <w:rtl w:val="true"/>
        </w:rPr>
        <w:t>ובפרט מצבו הרפואי הקשה והיותו תושב חוץ</w:t>
      </w:r>
      <w:r>
        <w:rPr>
          <w:rtl w:val="true"/>
        </w:rPr>
        <w:t xml:space="preserve">, </w:t>
      </w:r>
      <w:r>
        <w:rPr>
          <w:rtl w:val="true"/>
        </w:rPr>
        <w:t>אשר הביאו להקלה מסוימת בעונשו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להקל ראש במעשיו החמורים של המערער</w:t>
      </w:r>
      <w:r>
        <w:rPr>
          <w:rtl w:val="true"/>
        </w:rPr>
        <w:t xml:space="preserve">, </w:t>
      </w:r>
      <w:r>
        <w:rPr>
          <w:rtl w:val="true"/>
        </w:rPr>
        <w:t>שנמשכו על פני תקופה ארוכה</w:t>
      </w:r>
      <w:r>
        <w:rPr>
          <w:rtl w:val="true"/>
        </w:rPr>
        <w:t xml:space="preserve">,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>וקדם להם תכנון מוקפד – כל זאת מתוך בצע כסף של המערער</w:t>
      </w:r>
      <w:r>
        <w:rPr>
          <w:rtl w:val="true"/>
        </w:rPr>
        <w:t xml:space="preserve">. </w:t>
      </w:r>
      <w:r>
        <w:rPr>
          <w:rtl w:val="true"/>
        </w:rPr>
        <w:t>עבירות כלכליות כבמקרה דנן מחייבות ככלל ענישה מוחשית על מנת להרתיע עבריינים פוטנציאליים כי אין במעשים מעין אלו תוחלת כלכלית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יוצא אפוא כי בית המשפט המחוזי הקל מאוד עם המערער</w:t>
      </w:r>
      <w:r>
        <w:rPr>
          <w:rtl w:val="true"/>
        </w:rPr>
        <w:t xml:space="preserve">, </w:t>
      </w:r>
      <w:r>
        <w:rPr>
          <w:rtl w:val="true"/>
        </w:rPr>
        <w:t>על אף החומרה הרבה שבמעשיו</w:t>
      </w:r>
      <w:r>
        <w:rPr>
          <w:rtl w:val="true"/>
        </w:rPr>
        <w:t xml:space="preserve">, </w:t>
      </w:r>
      <w:r>
        <w:rPr>
          <w:rtl w:val="true"/>
        </w:rPr>
        <w:t>וזאת לנוכח נסיבותיו האישיות</w:t>
      </w:r>
      <w:r>
        <w:rPr>
          <w:rtl w:val="true"/>
        </w:rPr>
        <w:t xml:space="preserve">, </w:t>
      </w:r>
      <w:r>
        <w:rPr>
          <w:rtl w:val="true"/>
        </w:rPr>
        <w:t>לרבות הסדרת חובותיו למס הכנסה</w:t>
      </w:r>
      <w:r>
        <w:rPr>
          <w:rtl w:val="true"/>
        </w:rPr>
        <w:t xml:space="preserve">, </w:t>
      </w:r>
      <w:r>
        <w:rPr>
          <w:rtl w:val="true"/>
        </w:rPr>
        <w:t>היעדר עבר פלילי וכן נטילת האחריות על מעשיו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מצאנו כי יש מקום להקלה נוספת בעונשו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בטרם סיום נבקש להעיר כי חלוף הזמן מאז ביצוע העבירות – ובפרט בין ביצוע העבירה מושא האישום הראשון בשנת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במהלכה נתפס המערער על ידי הרשויות</w:t>
      </w:r>
      <w:r>
        <w:rPr>
          <w:rtl w:val="true"/>
        </w:rPr>
        <w:t xml:space="preserve">, </w:t>
      </w:r>
      <w:r>
        <w:rPr>
          <w:rtl w:val="true"/>
        </w:rPr>
        <w:t xml:space="preserve">ועד למועד הגשת כתב האישום בסוף שנת </w:t>
      </w:r>
      <w:r>
        <w:rPr/>
        <w:t>2018</w:t>
      </w:r>
      <w:r>
        <w:rPr>
          <w:rtl w:val="true"/>
        </w:rPr>
        <w:t xml:space="preserve"> – </w:t>
      </w:r>
      <w:r>
        <w:rPr>
          <w:rtl w:val="true"/>
        </w:rPr>
        <w:t>תמוה</w:t>
      </w:r>
      <w:r>
        <w:rPr>
          <w:rtl w:val="true"/>
        </w:rPr>
        <w:t xml:space="preserve">, </w:t>
      </w:r>
      <w:r>
        <w:rPr>
          <w:rtl w:val="true"/>
        </w:rPr>
        <w:t>בלשון המעטה</w:t>
      </w:r>
      <w:r>
        <w:rPr>
          <w:rtl w:val="true"/>
        </w:rPr>
        <w:t xml:space="preserve">, </w:t>
      </w:r>
      <w:r>
        <w:rPr>
          <w:rtl w:val="true"/>
        </w:rPr>
        <w:t>כך על כל פנים בנסיבות דנן</w:t>
      </w:r>
      <w:r>
        <w:rPr>
          <w:rtl w:val="true"/>
        </w:rPr>
        <w:t xml:space="preserve">. </w:t>
      </w:r>
      <w:r>
        <w:rPr>
          <w:rtl w:val="true"/>
        </w:rPr>
        <w:t>לא אחת אנו עדים להימשכות ההליכים על ידי רשויות התביעה שאין בה צורך והגורמת לעינוי דין חמור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למרות התמשכות ההליכים בנסיבות המקרה דנן ובייחוד לנוכח חומרת העבירות שביצע המערער ובשים לב לכברת הדרך שעשה בית המשפט המחוזי עמו</w:t>
      </w:r>
      <w:r>
        <w:rPr>
          <w:rtl w:val="true"/>
        </w:rPr>
        <w:t xml:space="preserve">, </w:t>
      </w:r>
      <w:r>
        <w:rPr>
          <w:rtl w:val="true"/>
        </w:rPr>
        <w:t>לא מצאנו כי יש בנתון זה כדי להצדיק התערבות בחומרת העונש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1.3.2021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 סוהר</w:t>
      </w:r>
      <w:r>
        <w:rPr>
          <w:rtl w:val="true"/>
        </w:rPr>
        <w:t xml:space="preserve"> הדרים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18.2.2021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20072160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54678313-7216/20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276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7216/20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שמואל קינן קליין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35750" TargetMode="External"/><Relationship Id="rId3" Type="http://schemas.openxmlformats.org/officeDocument/2006/relationships/hyperlink" Target="http://www.nevo.co.il/law/72769" TargetMode="External"/><Relationship Id="rId4" Type="http://schemas.openxmlformats.org/officeDocument/2006/relationships/hyperlink" Target="http://www.nevo.co.il/law/72769/211.a.1" TargetMode="External"/><Relationship Id="rId5" Type="http://schemas.openxmlformats.org/officeDocument/2006/relationships/hyperlink" Target="http://www.nevo.co.il/law/72786" TargetMode="External"/><Relationship Id="rId6" Type="http://schemas.openxmlformats.org/officeDocument/2006/relationships/hyperlink" Target="http://www.nevo.co.il/law/72786/7.a" TargetMode="External"/><Relationship Id="rId7" Type="http://schemas.openxmlformats.org/officeDocument/2006/relationships/hyperlink" Target="http://www.nevo.co.il/law/4627" TargetMode="External"/><Relationship Id="rId8" Type="http://schemas.openxmlformats.org/officeDocument/2006/relationships/hyperlink" Target="http://www.nevo.co.il/law/4627/2" TargetMode="External"/><Relationship Id="rId9" Type="http://schemas.openxmlformats.org/officeDocument/2006/relationships/hyperlink" Target="http://www.nevo.co.il/law/74345" TargetMode="External"/><Relationship Id="rId10" Type="http://schemas.openxmlformats.org/officeDocument/2006/relationships/hyperlink" Target="http://www.nevo.co.il/law/74345/3.b" TargetMode="External"/><Relationship Id="rId11" Type="http://schemas.openxmlformats.org/officeDocument/2006/relationships/hyperlink" Target="http://www.nevo.co.il/law/74345/9" TargetMode="External"/><Relationship Id="rId12" Type="http://schemas.openxmlformats.org/officeDocument/2006/relationships/hyperlink" Target="http://www.nevo.co.il/law/84255" TargetMode="External"/><Relationship Id="rId13" Type="http://schemas.openxmlformats.org/officeDocument/2006/relationships/hyperlink" Target="http://www.nevo.co.il/law/84255/220.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c" TargetMode="External"/><Relationship Id="rId16" Type="http://schemas.openxmlformats.org/officeDocument/2006/relationships/hyperlink" Target="http://www.nevo.co.il/case/25135750" TargetMode="External"/><Relationship Id="rId17" Type="http://schemas.openxmlformats.org/officeDocument/2006/relationships/hyperlink" Target="http://www.nevo.co.il/law/72769/211.a.1" TargetMode="External"/><Relationship Id="rId18" Type="http://schemas.openxmlformats.org/officeDocument/2006/relationships/hyperlink" Target="http://www.nevo.co.il/law/72769" TargetMode="External"/><Relationship Id="rId19" Type="http://schemas.openxmlformats.org/officeDocument/2006/relationships/hyperlink" Target="http://www.nevo.co.il/law/72786/7.a" TargetMode="External"/><Relationship Id="rId20" Type="http://schemas.openxmlformats.org/officeDocument/2006/relationships/hyperlink" Target="http://www.nevo.co.il/law/72786" TargetMode="External"/><Relationship Id="rId21" Type="http://schemas.openxmlformats.org/officeDocument/2006/relationships/hyperlink" Target="http://www.nevo.co.il/law/4627/2" TargetMode="External"/><Relationship Id="rId22" Type="http://schemas.openxmlformats.org/officeDocument/2006/relationships/hyperlink" Target="http://www.nevo.co.il/law/4627" TargetMode="External"/><Relationship Id="rId23" Type="http://schemas.openxmlformats.org/officeDocument/2006/relationships/hyperlink" Target="http://www.nevo.co.il/law/74345/3.b" TargetMode="External"/><Relationship Id="rId24" Type="http://schemas.openxmlformats.org/officeDocument/2006/relationships/hyperlink" Target="http://www.nevo.co.il/law/74345/9" TargetMode="External"/><Relationship Id="rId25" Type="http://schemas.openxmlformats.org/officeDocument/2006/relationships/hyperlink" Target="http://www.nevo.co.il/law/74345" TargetMode="External"/><Relationship Id="rId26" Type="http://schemas.openxmlformats.org/officeDocument/2006/relationships/hyperlink" Target="http://www.nevo.co.il/law/84255/220.5" TargetMode="External"/><Relationship Id="rId27" Type="http://schemas.openxmlformats.org/officeDocument/2006/relationships/hyperlink" Target="http://www.nevo.co.il/law/8425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c" TargetMode="External"/><Relationship Id="rId30" Type="http://schemas.openxmlformats.org/officeDocument/2006/relationships/hyperlink" Target="http://www.nevo.co.il/law/84255" TargetMode="External"/><Relationship Id="rId31" Type="http://schemas.openxmlformats.org/officeDocument/2006/relationships/hyperlink" Target="http://www.nevo.co.il/law/74345" TargetMode="External"/><Relationship Id="rId32" Type="http://schemas.openxmlformats.org/officeDocument/2006/relationships/hyperlink" Target="http://www.nevo.co.il/case/25305595" TargetMode="External"/><Relationship Id="rId33" Type="http://schemas.openxmlformats.org/officeDocument/2006/relationships/hyperlink" Target="http://www.nevo.co.il/case/26019023" TargetMode="External"/><Relationship Id="rId34" Type="http://schemas.openxmlformats.org/officeDocument/2006/relationships/hyperlink" Target="http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2021-02-21T13:29:00Z</dcterms:created>
  <dc:creator>h4</dc:creator>
  <dc:description/>
  <cp:keywords/>
  <dc:language>en-IL</dc:language>
  <cp:lastModifiedBy>orly</cp:lastModifiedBy>
  <cp:lastPrinted>2021-02-18T09:05:00Z</cp:lastPrinted>
  <dcterms:modified xsi:type="dcterms:W3CDTF">2021-02-21T13:29:00Z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שמואל קינן קליין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25135750:2;25305595;26019023</vt:lpwstr>
  </property>
  <property fmtid="{D5CDD505-2E9C-101B-9397-08002B2CF9AE}" pid="9" name="CITY">
    <vt:lpwstr/>
  </property>
  <property fmtid="{D5CDD505-2E9C-101B-9397-08002B2CF9AE}" pid="10" name="DATE">
    <vt:lpwstr>20210218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ברון;י' אלרון</vt:lpwstr>
  </property>
  <property fmtid="{D5CDD505-2E9C-101B-9397-08002B2CF9AE}" pid="14" name="LAWLISTTMP1">
    <vt:lpwstr>72769/211.a.1</vt:lpwstr>
  </property>
  <property fmtid="{D5CDD505-2E9C-101B-9397-08002B2CF9AE}" pid="15" name="LAWLISTTMP2">
    <vt:lpwstr>72786/007.a</vt:lpwstr>
  </property>
  <property fmtid="{D5CDD505-2E9C-101B-9397-08002B2CF9AE}" pid="16" name="LAWLISTTMP3">
    <vt:lpwstr>4627/002</vt:lpwstr>
  </property>
  <property fmtid="{D5CDD505-2E9C-101B-9397-08002B2CF9AE}" pid="17" name="LAWLISTTMP4">
    <vt:lpwstr>74345/003.b;009</vt:lpwstr>
  </property>
  <property fmtid="{D5CDD505-2E9C-101B-9397-08002B2CF9AE}" pid="18" name="LAWLISTTMP5">
    <vt:lpwstr>84255/220.5</vt:lpwstr>
  </property>
  <property fmtid="{D5CDD505-2E9C-101B-9397-08002B2CF9AE}" pid="19" name="LAWLISTTMP6">
    <vt:lpwstr>70301/040c</vt:lpwstr>
  </property>
  <property fmtid="{D5CDD505-2E9C-101B-9397-08002B2CF9AE}" pid="20" name="LAWYER">
    <vt:lpwstr>יורם הירשברג;אוריין רוזנטל;ניר ישראל;שחר שוורץ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קרן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דיון פלילי</vt:lpwstr>
  </property>
  <property fmtid="{D5CDD505-2E9C-101B-9397-08002B2CF9AE}" pid="32" name="NOSE110">
    <vt:lpwstr/>
  </property>
  <property fmtid="{D5CDD505-2E9C-101B-9397-08002B2CF9AE}" pid="33" name="NOSE12">
    <vt:lpwstr>דיון פלילי</vt:lpwstr>
  </property>
  <property fmtid="{D5CDD505-2E9C-101B-9397-08002B2CF9AE}" pid="34" name="NOSE13">
    <vt:lpwstr>עונשין</vt:lpwstr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18;18;77</vt:lpwstr>
  </property>
  <property fmtid="{D5CDD505-2E9C-101B-9397-08002B2CF9AE}" pid="42" name="NOSE21">
    <vt:lpwstr>ערעור</vt:lpwstr>
  </property>
  <property fmtid="{D5CDD505-2E9C-101B-9397-08002B2CF9AE}" pid="43" name="NOSE210">
    <vt:lpwstr/>
  </property>
  <property fmtid="{D5CDD505-2E9C-101B-9397-08002B2CF9AE}" pid="44" name="NOSE22">
    <vt:lpwstr>העמדה לדין</vt:lpwstr>
  </property>
  <property fmtid="{D5CDD505-2E9C-101B-9397-08002B2CF9AE}" pid="45" name="NOSE23">
    <vt:lpwstr>ענישה</vt:lpwstr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504;463;1446</vt:lpwstr>
  </property>
  <property fmtid="{D5CDD505-2E9C-101B-9397-08002B2CF9AE}" pid="53" name="NOSE31">
    <vt:lpwstr>אי-התערבות במידת העונש</vt:lpwstr>
  </property>
  <property fmtid="{D5CDD505-2E9C-101B-9397-08002B2CF9AE}" pid="54" name="NOSE310">
    <vt:lpwstr/>
  </property>
  <property fmtid="{D5CDD505-2E9C-101B-9397-08002B2CF9AE}" pid="55" name="NOSE32">
    <vt:lpwstr>אכיפה בררנית</vt:lpwstr>
  </property>
  <property fmtid="{D5CDD505-2E9C-101B-9397-08002B2CF9AE}" pid="56" name="NOSE33">
    <vt:lpwstr>מדיניות ענישה: עבירות כלכליות</vt:lpwstr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17039;18906;8987</vt:lpwstr>
  </property>
  <property fmtid="{D5CDD505-2E9C-101B-9397-08002B2CF9AE}" pid="64" name="PADIDATE">
    <vt:lpwstr>20210221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7216</vt:lpwstr>
  </property>
  <property fmtid="{D5CDD505-2E9C-101B-9397-08002B2CF9AE}" pid="70" name="PROCYEAR">
    <vt:lpwstr>20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410120210218</vt:lpwstr>
  </property>
  <property fmtid="{D5CDD505-2E9C-101B-9397-08002B2CF9AE}" pid="74" name="TYPE_N_DATE">
    <vt:lpwstr>41020210218</vt:lpwstr>
  </property>
  <property fmtid="{D5CDD505-2E9C-101B-9397-08002B2CF9AE}" pid="75" name="VOLUME">
    <vt:lpwstr/>
  </property>
  <property fmtid="{D5CDD505-2E9C-101B-9397-08002B2CF9AE}" pid="76" name="WORDNUMPAGES">
    <vt:lpwstr>8</vt:lpwstr>
  </property>
</Properties>
</file>