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7221/19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זוהר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אלמקי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אילת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2731-09-19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ברגר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לפסול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עצמו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מלדון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בעניינו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נמרוד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אבירם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רוני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זלושינסקי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4" w:name="ABSTRACT_START"/>
      <w:bookmarkEnd w:id="4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העובדה שהמותב דן בתיק אחר של אותו נאשם או נחשף לעברו הפלילי בהליך מעצר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כשלעצמה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בה אמנם כדי להקים עילה לפסילת המותב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אך בחינת מכלול הנסיבות בהן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העובדה כי המותב דן אך לאחרונה בהליך המעצר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במהלכו נחשף לחומרי החקירה בעניינו של המערער ולעברו הפלילי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העובדה שבשנה האחרונה נדון עניינו של המערער בפני המותב בשני תיקים נוספים אשר אף במהלכם נחשף המותב לעברו הפלילי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והעובדה כי ההליך מצוי בשלביו הראשונים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מובילה למסקנה כי ראוי להעביר את הדיון בהליך לשמיעה בפני מותב אחר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משפט – פסלות שופט – מראית פני הצדק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משפט – שופטים – פסילה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משפט – שופטים – פסלותם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ערעור על החלטת בית משפט שלום באילת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ברגר ולהלן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לפסול עצמו מלדון בעניינו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נגד המערער הוגש כתב אישום המייחס לו עבירות שונות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 קודם לכן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התנהל בפני המותב הליך המעצר לצרכי חקירה בעניינו של המערער בגדרו הוצגו למותב חומרי חקירה וכן עברו הפלילי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סמיכות הזמנים שבין הליך המעצר ובין ההליך העיקרי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וכן העובדה שהמותב דן בעניינו של המערער במסגרת שלושה הליכים פליליים נוספים אשר התנהלו נגדו בשנת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2019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הגיש 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 המערער בקשה להורות על פסילתו של המותב מלדון בעניינו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נטען כי הגם שמדובר בבית משפט אשר בו מכהנים שלושה שופטים בלבד הדנים בהליכים פליליים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 השופטים האחרים אינם מנועים לדון בהליך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כן מן הראוי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ולו מטעמים של מראית פני הצדק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להעביר את שמיעת ההליך למותב 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הבקשה נדחתה ומכאן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הנשיאה 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העובדה שהמותב דן בתיק אחר של אותו נאשם או נחשף לעברו הפלילי בהליך מעצר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היא כשלעצמה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בה אמנם כדי להקים עילה לפסילת המותב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אך בחינת מכלול נסיבות המקרה דנן ובכללן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העובדה כי המותב דן אך לאחרונה בהליך המעצר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במהלכו נחשף לחומרי החקירה בעניינו של המערער ולעברו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העובדה שבשנה האחרונה נדון עניינו של המערער בפני המותב בשני תיקים נוספים אשר אף במהלכם נחשף המותב לעברו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והעובדה כי ההליך מצוי בשלביו הראשונים כך שהעברתו לדיון בפני מותב אחר לא תגרום לסרבול ממשי או לאובדן ניכר של זמן שיפוטי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מובילה למסקנה כי מן הראוי להעביר את הדיון בהליך לשמיעה בפני מותב 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העובדה כי מדובר בבית משפט אשר בו מספר מועט של שופטים מכהנים אכן מהווה שיקול רלבנטי לעניין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העניין הספציפיות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הנשיאה שוכנעה כי אין מניעה להורות על העברת הדיון למותב 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היחשפותו לעברו הפלילי של המערער ולחומר הראיות בהליך היא פחותה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אם בכלל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התיק יועבר לדיון בפני מותב 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7" w:name="PsakDin"/>
            <w:bookmarkStart w:id="8" w:name="BeginProtocol"/>
            <w:bookmarkStart w:id="9" w:name="secretary"/>
            <w:bookmarkEnd w:id="7"/>
            <w:bookmarkEnd w:id="8"/>
            <w:bookmarkEnd w:id="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0" w:name="Writer_Name"/>
      <w:bookmarkEnd w:id="10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27.10.2019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2731-09-19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שלא לפסול עצמו מלדון בעניינו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המערער הוגש בחודש ספטמבר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כתב אישום המייחס לו עבירות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תקיפה סתם</w:t>
      </w:r>
      <w:r>
        <w:rPr>
          <w:rtl w:val="true"/>
        </w:rPr>
        <w:t xml:space="preserve">, </w:t>
      </w:r>
      <w:r>
        <w:rPr>
          <w:rtl w:val="true"/>
        </w:rPr>
        <w:t>החזקת סכין שלא כדין והפרעה לשוטר בשעת מילוי תפקידו</w:t>
      </w:r>
      <w:r>
        <w:rPr>
          <w:rtl w:val="true"/>
        </w:rPr>
        <w:t xml:space="preserve">. </w:t>
      </w:r>
      <w:r>
        <w:rPr>
          <w:rtl w:val="true"/>
        </w:rPr>
        <w:t>עוד בטרם הוגש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התנהל בחודש אוגוסט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הליך המעצר לצרכי חקירה בעניינו של המערער בפני המותב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המעצר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בהליך המעצר התקיימו שני דיונים בפני המותב והוצגו לו חומרי חקירה וכן עברו הפלילי של המערער</w:t>
      </w:r>
      <w:r>
        <w:rPr>
          <w:rtl w:val="true"/>
        </w:rPr>
        <w:t xml:space="preserve">. </w:t>
      </w:r>
      <w:r>
        <w:rPr>
          <w:rtl w:val="true"/>
        </w:rPr>
        <w:t>נוכח סמיכות הזמנים שבין הליך המעצר ובין ההליך העיקרי</w:t>
      </w:r>
      <w:r>
        <w:rPr>
          <w:rtl w:val="true"/>
        </w:rPr>
        <w:t xml:space="preserve">, </w:t>
      </w:r>
      <w:r>
        <w:rPr>
          <w:rtl w:val="true"/>
        </w:rPr>
        <w:t xml:space="preserve">וכן העובדה שהמותב דן בעניינו של המערער במסגרת שלושה הליכים פליליים נוספים אשר התנהלו נגדו בשנת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הגיש בא</w:t>
      </w:r>
      <w:r>
        <w:rPr>
          <w:rtl w:val="true"/>
        </w:rPr>
        <w:t>-</w:t>
      </w:r>
      <w:r>
        <w:rPr>
          <w:rtl w:val="true"/>
        </w:rPr>
        <w:t>כוח המערער בקשה להורות על פסילתו של המותב מלדון בעניינו של המערער</w:t>
      </w:r>
      <w:r>
        <w:rPr>
          <w:rtl w:val="true"/>
        </w:rPr>
        <w:t xml:space="preserve">. </w:t>
      </w:r>
      <w:r>
        <w:rPr>
          <w:rtl w:val="true"/>
        </w:rPr>
        <w:t>נטען כי הגם שמדובר בבית משפט אשר בו מכהנים שלושה שופטים בלבד הדנים בהליכים פליליים</w:t>
      </w:r>
      <w:r>
        <w:rPr>
          <w:rtl w:val="true"/>
        </w:rPr>
        <w:t xml:space="preserve">, </w:t>
      </w:r>
      <w:r>
        <w:rPr>
          <w:rtl w:val="true"/>
        </w:rPr>
        <w:t>שני השופטים האחרים אינם מנועים לדון בהליך</w:t>
      </w:r>
      <w:r>
        <w:rPr>
          <w:rtl w:val="true"/>
        </w:rPr>
        <w:t xml:space="preserve">, </w:t>
      </w:r>
      <w:r>
        <w:rPr>
          <w:rtl w:val="true"/>
        </w:rPr>
        <w:t>ועל כן מן הראוי</w:t>
      </w:r>
      <w:r>
        <w:rPr>
          <w:rtl w:val="true"/>
        </w:rPr>
        <w:t xml:space="preserve">, </w:t>
      </w:r>
      <w:r>
        <w:rPr>
          <w:rtl w:val="true"/>
        </w:rPr>
        <w:t>ולו מטעמים של מראית פני הצדק</w:t>
      </w:r>
      <w:r>
        <w:rPr>
          <w:rtl w:val="true"/>
        </w:rPr>
        <w:t xml:space="preserve">, </w:t>
      </w:r>
      <w:r>
        <w:rPr>
          <w:rtl w:val="true"/>
        </w:rPr>
        <w:t>להעביר את שמיעת ההליך למותב אחר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27.10.2019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למבוקש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באילת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שנאמרו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וחצי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ציין בית המשפט כי רישומו הפלילי של המערער אינו זכור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אובייקטיבי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וענייני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פנים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דנן</w:t>
      </w:r>
      <w:r>
        <w:rPr>
          <w:rtl w:val="true"/>
        </w:rPr>
        <w:t xml:space="preserve">, </w:t>
      </w:r>
      <w:r>
        <w:rPr>
          <w:rtl w:val="true"/>
        </w:rPr>
        <w:t>בו חוזר המערער על טענותיו בפני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מציין כי הגם שהליך המעצר עד תום ההליכים בעניינו נדון בפני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אדלשטיין</w:t>
      </w:r>
      <w:r>
        <w:rPr>
          <w:rtl w:val="true"/>
        </w:rPr>
        <w:t xml:space="preserve">, </w:t>
      </w:r>
      <w:r>
        <w:rPr>
          <w:rtl w:val="true"/>
        </w:rPr>
        <w:t>נוכח הסכמת המערער לקיומן של ראיות לכאורה ושל עילת מעצר</w:t>
      </w:r>
      <w:r>
        <w:rPr>
          <w:rtl w:val="true"/>
        </w:rPr>
        <w:t xml:space="preserve">, </w:t>
      </w:r>
      <w:r>
        <w:rPr>
          <w:rtl w:val="true"/>
        </w:rPr>
        <w:t>לא נדרש בית המשפט להתעמק בחומר הראיות</w:t>
      </w:r>
      <w:r>
        <w:rPr>
          <w:rtl w:val="true"/>
        </w:rPr>
        <w:t xml:space="preserve">, </w:t>
      </w:r>
      <w:r>
        <w:rPr>
          <w:rtl w:val="true"/>
        </w:rPr>
        <w:t>ועל כן הוא סבור כי היא אינה מנועה מלדון בעניינו</w:t>
      </w:r>
      <w:r>
        <w:rPr>
          <w:rtl w:val="true"/>
        </w:rPr>
        <w:t xml:space="preserve">, </w:t>
      </w:r>
      <w:r>
        <w:rPr>
          <w:rtl w:val="true"/>
        </w:rPr>
        <w:t>ואף מצהיר כי לא יעלה טענת פסלות כלפי המותבים האחרים הדנים בהליכים פליליים בבית משפט השלום באילת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מועטים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חששותיו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  <w:r>
        <w:rPr>
          <w:rtl w:val="true"/>
        </w:rPr>
        <w:t>לאחר עיון בטענות הצדדים באתי לידי מסקנה כי דין הערעור להתקבל</w:t>
      </w:r>
      <w:r>
        <w:rPr>
          <w:rtl w:val="true"/>
        </w:rPr>
        <w:t xml:space="preserve">. </w:t>
      </w:r>
      <w:r>
        <w:rPr>
          <w:rtl w:val="true"/>
        </w:rPr>
        <w:t>העובדה שהמותב דן בתיק אחר של אותו נאשם או נחשף לעברו הפלילי בהליך מעצר</w:t>
      </w:r>
      <w:r>
        <w:rPr>
          <w:rtl w:val="true"/>
        </w:rPr>
        <w:t xml:space="preserve">, </w:t>
      </w:r>
      <w:r>
        <w:rPr>
          <w:rtl w:val="true"/>
        </w:rPr>
        <w:t>היא כשלעצמה</w:t>
      </w:r>
      <w:r>
        <w:rPr>
          <w:rtl w:val="true"/>
        </w:rPr>
        <w:t xml:space="preserve">, </w:t>
      </w:r>
      <w:r>
        <w:rPr>
          <w:rtl w:val="true"/>
        </w:rPr>
        <w:t xml:space="preserve">אין בה אמנם כדי להקים עילה לפסילת המותב </w:t>
      </w:r>
      <w:r>
        <w:rPr>
          <w:rtl w:val="true"/>
        </w:rPr>
        <w:t>(</w:t>
      </w:r>
      <w:hyperlink r:id="rId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4967/19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וארשולקאר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21.8.2019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וארשולקאר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732/19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13.2.2019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אך בחינת מכלול נסיבות המקרה דנן ובכללן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העובדה כי המותב דן אך לאחרונה בהליך המעצר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במהלכו נחשף לחומרי החקירה בעניינו של המערער ולעברו הפלילי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העובדה שבשנה האחרונה נדון עניינו של המערער בפני המותב בשני תיקים נוספים אשר אף במהלכם נחשף המותב לעברו הפלילי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והעובדה כי ההליך מצוי בשלביו הראשונים כך שהעברתו לדיון בפני מותב אחר לא תגרום לסרבול ממשי או לאובדן ניכר של זמן שיפוטי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 xml:space="preserve">מובילה למסקנה כי מן הראוי להעביר את הדיון בהליך לשמיעה בפני מותב אחר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וארשולקר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לא נעלמה מעיני טענת המשיבה לפיה מדובר בבית משפט אשר בו מספר מועט של שופטים מכהנים ואכן מדובר בשיקול רלבנטי לעניין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בנסיבות העניין הספציפיות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שוכנעתי כי אין מניעה להורות על העברת הדיון למותב אחר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היחשפותו לעברו הפלילי של המערער ולחומר הראיות בהליך היא פחותה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בכלל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8"/>
          <w:szCs w:val="34"/>
        </w:rPr>
      </w:pPr>
      <w:r>
        <w:rPr>
          <w:sz w:val="28"/>
          <w:szCs w:val="34"/>
          <w:rtl w:val="true"/>
        </w:rPr>
      </w:r>
    </w:p>
    <w:p>
      <w:pPr>
        <w:pStyle w:val="Ruller4"/>
        <w:ind w:end="0"/>
        <w:jc w:val="both"/>
        <w:rPr/>
      </w:pPr>
      <w:bookmarkStart w:id="1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11.11.2019</w:t>
      </w:r>
      <w:r>
        <w:rPr>
          <w:rtl w:val="true"/>
        </w:rPr>
        <w:t xml:space="preserve">). </w:t>
      </w:r>
      <w:bookmarkEnd w:id="11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2" w:name="Start_Write"/>
      <w:bookmarkEnd w:id="12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19072210</w:t>
      </w:r>
      <w:r>
        <w:rPr>
          <w:sz w:val="16"/>
          <w:rtl w:val="true"/>
        </w:rPr>
        <w:t>_</w:t>
      </w:r>
      <w:r>
        <w:rPr>
          <w:sz w:val="16"/>
        </w:rPr>
        <w:t>V02.docx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54678313-7221/19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7221/19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זוהר אלמקיאס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88125" TargetMode="External"/><Relationship Id="rId3" Type="http://schemas.openxmlformats.org/officeDocument/2006/relationships/hyperlink" Target="http://www.nevo.co.il/case/25387757" TargetMode="External"/><Relationship Id="rId4" Type="http://schemas.openxmlformats.org/officeDocument/2006/relationships/hyperlink" Target="http://supreme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2019-11-14T10:33:00Z</dcterms:created>
  <dc:creator>h4</dc:creator>
  <dc:description/>
  <cp:keywords/>
  <dc:language>en-IL</dc:language>
  <cp:lastModifiedBy>orly</cp:lastModifiedBy>
  <cp:lastPrinted>2019-11-11T16:35:00Z</cp:lastPrinted>
  <dcterms:modified xsi:type="dcterms:W3CDTF">2019-11-14T10:33:00Z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זוהר אלמקיאס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26001963:2;25888125;25387757</vt:lpwstr>
  </property>
  <property fmtid="{D5CDD505-2E9C-101B-9397-08002B2CF9AE}" pid="9" name="CITY">
    <vt:lpwstr/>
  </property>
  <property fmtid="{D5CDD505-2E9C-101B-9397-08002B2CF9AE}" pid="10" name="DATE">
    <vt:lpwstr>20191111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YER">
    <vt:lpwstr>רוני זלושינסקי;נמרוד אבירם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נעה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בתי-משפט</vt:lpwstr>
  </property>
  <property fmtid="{D5CDD505-2E9C-101B-9397-08002B2CF9AE}" pid="26" name="NOSE110">
    <vt:lpwstr/>
  </property>
  <property fmtid="{D5CDD505-2E9C-101B-9397-08002B2CF9AE}" pid="27" name="NOSE12">
    <vt:lpwstr>בתי-משפט</vt:lpwstr>
  </property>
  <property fmtid="{D5CDD505-2E9C-101B-9397-08002B2CF9AE}" pid="28" name="NOSE13">
    <vt:lpwstr>בתי-משפט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14;14;14</vt:lpwstr>
  </property>
  <property fmtid="{D5CDD505-2E9C-101B-9397-08002B2CF9AE}" pid="36" name="NOSE21">
    <vt:lpwstr>פסלות שופט</vt:lpwstr>
  </property>
  <property fmtid="{D5CDD505-2E9C-101B-9397-08002B2CF9AE}" pid="37" name="NOSE210">
    <vt:lpwstr/>
  </property>
  <property fmtid="{D5CDD505-2E9C-101B-9397-08002B2CF9AE}" pid="38" name="NOSE22">
    <vt:lpwstr>שופטים</vt:lpwstr>
  </property>
  <property fmtid="{D5CDD505-2E9C-101B-9397-08002B2CF9AE}" pid="39" name="NOSE23">
    <vt:lpwstr>שופטים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336;341;341</vt:lpwstr>
  </property>
  <property fmtid="{D5CDD505-2E9C-101B-9397-08002B2CF9AE}" pid="47" name="NOSE31">
    <vt:lpwstr>מראית פני הצדק</vt:lpwstr>
  </property>
  <property fmtid="{D5CDD505-2E9C-101B-9397-08002B2CF9AE}" pid="48" name="NOSE310">
    <vt:lpwstr/>
  </property>
  <property fmtid="{D5CDD505-2E9C-101B-9397-08002B2CF9AE}" pid="49" name="NOSE32">
    <vt:lpwstr>פסילה</vt:lpwstr>
  </property>
  <property fmtid="{D5CDD505-2E9C-101B-9397-08002B2CF9AE}" pid="50" name="NOSE33">
    <vt:lpwstr>פסלותם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16428;2803;2804</vt:lpwstr>
  </property>
  <property fmtid="{D5CDD505-2E9C-101B-9397-08002B2CF9AE}" pid="58" name="PADIDATE">
    <vt:lpwstr>20191114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7221</vt:lpwstr>
  </property>
  <property fmtid="{D5CDD505-2E9C-101B-9397-08002B2CF9AE}" pid="64" name="PROCYEAR">
    <vt:lpwstr>19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410120191111</vt:lpwstr>
  </property>
  <property fmtid="{D5CDD505-2E9C-101B-9397-08002B2CF9AE}" pid="68" name="TYPE_N_DATE">
    <vt:lpwstr>41020191111</vt:lpwstr>
  </property>
  <property fmtid="{D5CDD505-2E9C-101B-9397-08002B2CF9AE}" pid="69" name="VOLUME">
    <vt:lpwstr/>
  </property>
  <property fmtid="{D5CDD505-2E9C-101B-9397-08002B2CF9AE}" pid="70" name="WORDNUMPAGES">
    <vt:lpwstr>4</vt:lpwstr>
  </property>
</Properties>
</file>