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7222/19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בלאל אלגרגאוי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אלמנת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והורי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39393-03-17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מימים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19.9.2019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אליהו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ט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באב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25.</w:t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2021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 xml:space="preserve">ה </w:t>
            </w:r>
            <w:r>
              <w:rPr>
                <w:rFonts w:cs="David;Times New Roman" w:ascii="David;Times New Roman" w:hAnsi="David;Times New Roman"/>
              </w:rPr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כתבי עת</w:t>
      </w:r>
      <w:hyperlink r:id="rId3">
        <w:r>
          <w:rPr>
            <w:rFonts w:cs="FrankRuehl;Times New Roman" w:ascii="FrankRuehl;Times New Roman" w:hAnsi="FrankRuehl;Times New Roman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4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קרן שפירא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אטינגר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, 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קלות הדעת במשפט הפלילי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האם יש משקל לדעת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?",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מחקרי משפט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כרך יד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179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10" w:name="Links_Start"/>
      <w:bookmarkEnd w:id="10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ספרות</w:t>
      </w:r>
      <w:r>
        <w:rPr>
          <w:rFonts w:cs="FrankRuehl;Times New Roman" w:ascii="FrankRuehl;Times New Roman" w:hAnsi="FrankRuehl;Times New Roman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;Times New Roman" w:hAnsi="FrankRuehl;Times New Roman" w:cs="FrankRuehl;Times New Roman"/>
          <w:sz w:val="24"/>
          <w:u w:val="none"/>
        </w:rPr>
      </w:pPr>
      <w:hyperlink r:id="rId5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ז פלר   </w:t>
        </w:r>
        <w:r>
          <w:rPr>
            <w:rStyle w:val="Hyperlink"/>
            <w:rFonts w:ascii="FrankRuehl;Times New Roman" w:hAnsi="FrankRuehl;Times New Roman" w:cs="FrankRuehl;Times New Roman"/>
            <w:b/>
            <w:b/>
            <w:bCs/>
            <w:sz w:val="24"/>
            <w:sz w:val="24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7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298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301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ג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304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4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תקנות התעבורה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1961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 -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לא מרובדות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16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1982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188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229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ח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230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bookmarkStart w:id="17" w:name="ABSTRACT_START"/>
      <w:bookmarkEnd w:id="17"/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העליון דחה בעיקרו ערעור על הכרעת הדין תוך המרה של עבירת ההריגה בה הורשע המערער בעבירת המתה בקלות דעת 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בעקבות תיקון 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</w:rPr>
        <w:t>137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לחוק עונשין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השופט גרוסקופף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ביסס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מסקנ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תו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על סמך חזקת המודעות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בהעדר הסבר של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ממש מצד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המערער להתנה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ל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ותו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החריגה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על הכביש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המסקנה ה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מתבקשת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היא כי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היה מודע לאופן נהיגתו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דהיינו לכך שהוא נכנס לצומת באור אדום בוהק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על הסיכון הבלתי סביר הכרוך בה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משמע הוכח שהמערער פעל בקלות דעת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הערעור על גזה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ד התקבל באופן חלקי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עונשין – עבירות – המתה בקלות דעת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עונשין – עבירות – הריגה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עונשין – מחשבה פלילית – מודעות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תאונות דרכים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ערעור על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הכרעת דין וגזר דין שניתנו על ידי בימ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ש מחוזי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בגדרם הורשע המערער – בשל מעורבותו בתאונת דרכים קטלנית שארעה בעקבות כניסתו לצומת באור אדום – בעבירה של הריגה 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בקלות דעת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והושתו עליו 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</w:rPr>
        <w:t>6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</w:rPr>
        <w:t>15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שנות פסילה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מאסר מותנה ופיצויים לאלמנת המנוח ולהוריו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ש 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מפי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השופט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ע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גרוסקופף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בהסכמת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המשנה לנשיאה נ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הנדל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 והשופטת י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וילנר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)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דחה בעיקרו את הערעור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 על הכרעת הדין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ו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קיבל בחלקו את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הערעור על 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מהטעמים הבאים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הערעור על הכרעת הדין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בעקבות תיקון 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</w:rPr>
        <w:t>137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ולנוכח הסכמת הצדדים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יש לבטל את הרשעת המערער בעבירת הריגה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,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לפי סעיף 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</w:rPr>
        <w:t>298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ובמקומה להרשיעו בעבירת המתה בקלות דעת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לפי סעיף 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</w:rPr>
        <w:t>301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ג לחוק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אשר היסוד הנפשי הדרוש לה זהה לאחת החלופות של היסוד הנפשי מסוג פזיזות 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אדישות או קלות דעת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אשר נדרש בשעתו להרשעה בעבירת ההריגה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עיקר הטענות שמעלה המערער ביחס להכרעת הדין מופנות נגד מסקנתו העובדתית של ביהמ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ש קמא כי התקיים אצלו ה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יסוד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נפשי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הדרוש לצורך הרשעתו בעבירת המתה בקלות דעת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אין חולק כי יסוד נפשי זה מחייב הוכחת קיומה של מודעות אצל הנאשם לכך שהוא נוטל בהתנהגותו סיכון בלתי סביר לגרום לתוצאה הקטלנית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הגם שמתוך תקווה להצליח למנועה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המערער טוען כי לא הוכח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מעבר לכל ספק סביר שידע בזמן אמת כי הוא נכנס לצומת באור אדום – מעשה שלא ניתן לחלוק על כך שהוא יוצר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במקרה הרגיל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סיכון בלתי סביר לתאונת דרכים קטלנית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לשיטתו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יש לבטל את הרשעתו בעבירה זו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ולהסתפק בהרשעתו בעבירה של גרימת מוות ברשלנות בה הודה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באשר לעניינה די בכך שהוכח שגרימת המוות נגרמה עקב נטילת סיכון בלתי סביר על ידי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ואין צורך להוכיח בנוסף קיומה של מודעות מצדו לסיכון האמור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השופט גרוסקופף מ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סתייג מהקביעה בערכאה קמא לפיה יש לקבוע ממצא ראייתי לחובת המערער על סמך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הסתירות שבין הגרסאות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שמסר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אי ההתאמות בגרסאות המערער אכן קיימות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ויש בהן כדי לעורר חשד בגרסתו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אולם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אילו היו הן עומדות לבדן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ספק אם היה בהן די כדי לבסס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ברמה הדרושה לצורך קביעת ממצא במשפט פלילי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את המסקנה כי המערער היה מודע לכך שהוא נכנס לצומת באור אדום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שאלות הנוגעות להתקיימות היסוד הנפשי בנאשם בכלל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ולמודעות לנסיבות היוצרות סיכון בלתי סביר בפרט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אינן נבחנות רק לפי גרסאותיו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כלי מרכזי אותו פיתחה הפסיקה ללימוד יחסו הסובייקטיבי של אדם למעשים המיוחסים לו ולתוצאותיהם הן חזקות עובדתיות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המאפשרות לביהמ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ש להסיק מסקנה על התקיימות היסוד הנפשי על פי מעשיו של האדם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ולא רק לפי דבריו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ככל שמדובר במודעות אדם למעשיו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מוכרת במשפט החזקה לפיה 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"...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אדם מודע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בדרך כלל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למשמעות התנהגותו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מבחינת טיבה הפיזי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קיום נסיבותיה ואפשרות גרימת התוצאות הטבעיות שעשויות לצמוח ממנה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"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בצד חזקה כללית זו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קיימת בהקשר בו עסקינן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 לימוד מודעות לקיומו של סיכון בלתי סביר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חזקה מיוחדת הקושרת בין רמת הרשלנות בפעולתו של אדם לבין המודעות לקיומו של הסיכון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על פי חזקה מיוחדת זו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כאשר רמת הרשלנות הכרוכה בפעילות היא גבוהה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ובוודאי כשהיא מגיעה לכדי 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התרשלות רבתי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יש להניח לחובתו של הפועל כי למצער היה מודע להתנהגותו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ובחר לפעול כפי שפעל מתוך מניעים אחרים אשר עמדו לנגד עיניו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החזקה בה מדובר היא חזקה עובדתית ועל כן יכול הנאשם להתגבר עליה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אם ישכנע כי המצע הראייתי שהונח לפני ביהמ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ש מעורר ספק סביר בקיומה של מודעות מצדו להתקיימות הנסיבות היוצרות את הסיכון הבלתי סביר 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ישכנע כי למרות שנהיגתו עולה לכדי התרשלות חמורה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המקימה חזקה שהיה מודע לאופן נהיגתו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הרי שהלכה למעשה לא התקיימה אצלו מודעות כאמור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ואולם בהעדר תמיכה בחומר הראיות לסתירת החזקה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ניתן להניח כי נאשם מודע לנסיבות התנהלותו החריגה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באשר המדובר לא ברשלנות סתם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אלא ברשלנות חמורה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במקרה דנא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הנסיבות העובדתיות המבססות כי נהיגת המערער סוטה באופן קיצוני מהמקובל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ועולה לכדי רשלנות חמורה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לא היו שנויות בעיקרן במחלוקת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מאידך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הגרסה אותה העלה המערער על מנת לסתור את החזקה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לפיה בשל היסח הדעת לא היה מודע להתחלפות האורות ברמזור היא גרסה תמוהה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אשר אין לה כל תמיכה לא בחומר הראיות ולא בהיגיון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אם לא די בכך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באות אי ההתאמות בגרסאות המערער אשר עליהן עמד ביהמ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ש קמא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ויוצרות טעם נוסף לדחיית גרסת הסחת הדעת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קיצורו של דבר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בהעדר הסבר של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ממש מצד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המערער להתנה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ל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ותו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החריגה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על הכביש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המסקנה ה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מתבקשת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היא כי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היה מודע לאופן נהיגתו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דהיינו לכך שהוא נכנס לצומת באור אדום בוהק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על הסיכון הבלתי סביר הכרוך בה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משמע הוכח שהמערער פעל בקלות דעת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לפיכך ביהמ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ש מאשר את הרשעת המערער בדין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תוך המרה של עבירת ההריגה בה הורשע בעבירת המתה בקלות דעת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הערעור על 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התקבלה הטענה כי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ש המחוזי החמיר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מעבר למקובל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בעונשו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 של המערער באופן מצדיק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הקל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 במידה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מה בעונש שנגזר עליו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מאידך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לא נמצא בטעמים המרכזיים הנוספים שהעלה המערער הצדקה להתערב בגזה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ד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כך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בין היתר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בניגוד לטענת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רפורמה בעבירות ההמתה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כשלעצמה אינה מצדיקה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הקלה ב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רף הענישה בעבירות של הריגה בקלות דעת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דברי ההסבר להצעת החוק מדגישים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כי הענישה במסגרת העבירה נועדת לעלות 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בקנה אחד עם העונשים שבתי המשפט נוהגים לגזור בעבירות הריגה בנסיבות של תאונת דרכים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מקרים שבהם מטבע הדברים היסוד הנפשי הוא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ככלל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קלות דעת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ולא במטרה להקל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עם הממיתים בקלות דעת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אשר עובר לרפורמה הורשעו בעבירת ההריגה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במכלול הנסיבות הוחלט להפחית שנת מאסר מ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עונשו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,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כך שיעמוד על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יתר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רכיבי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גזר הדין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>יישארו על כנם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1"/>
        <w:shd w:fill="FFFFFF" w:val="clear"/>
        <w:bidi w:val="1"/>
        <w:spacing w:lineRule="auto" w:line="360" w:before="0" w:after="0"/>
        <w:ind w:end="0"/>
        <w:jc w:val="both"/>
        <w:rPr>
          <w:rFonts w:ascii="Century" w:hAnsi="Century" w:cs="FrankRuehl;Times New Roman"/>
          <w:spacing w:val="10"/>
          <w:sz w:val="22"/>
          <w:szCs w:val="28"/>
          <w:u w:val="single"/>
        </w:rPr>
      </w:pPr>
      <w:r>
        <w:rPr>
          <w:rFonts w:cs="FrankRuehl;Times New Roman" w:ascii="Century" w:hAnsi="Century"/>
          <w:spacing w:val="10"/>
          <w:sz w:val="22"/>
          <w:szCs w:val="28"/>
          <w:u w:val="single"/>
          <w:rtl w:val="true"/>
        </w:rPr>
      </w:r>
      <w:bookmarkStart w:id="24" w:name="Start_Write"/>
      <w:bookmarkStart w:id="25" w:name="Start_Write"/>
      <w:bookmarkEnd w:id="25"/>
    </w:p>
    <w:p>
      <w:pPr>
        <w:pStyle w:val="ruller411"/>
        <w:shd w:fill="FFFFFF" w:val="clear"/>
        <w:bidi w:val="1"/>
        <w:spacing w:lineRule="auto" w:line="360" w:before="0" w:after="0"/>
        <w:ind w:firstLine="720"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בבאר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כב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הנשיאה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אליהו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</w:t>
      </w:r>
      <w:hyperlink r:id="rId20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39393-03-17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David;Times New Roman"/>
          <w:sz w:val="22"/>
          <w:rtl w:val="true"/>
        </w:rPr>
        <w:t>[</w:t>
      </w:r>
      <w:r>
        <w:rPr>
          <w:rFonts w:cs="David;Times New Roman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;Times New Roman"/>
          <w:sz w:val="22"/>
          <w:sz w:val="22"/>
          <w:rtl w:val="true"/>
        </w:rPr>
        <w:t>בנבו</w:t>
      </w:r>
      <w:r>
        <w:rPr>
          <w:rFonts w:cs="David;Times New Roman"/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8.1.2019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 w:val="22"/>
          <w:szCs w:val="28"/>
        </w:rPr>
        <w:t>19.9.2019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דעת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 w:val="22"/>
          <w:szCs w:val="28"/>
        </w:rPr>
        <w:t>15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נהיגה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לאלמנת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ולהוריו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19.3.2017</w:t>
      </w:r>
      <w:r>
        <w:rPr>
          <w:rtl w:val="true"/>
        </w:rPr>
        <w:t xml:space="preserve"> </w:t>
      </w:r>
      <w:r>
        <w:rPr>
          <w:rtl w:val="true"/>
        </w:rPr>
        <w:t>הוגש לבית המשפט המחוזי בבאר</w:t>
      </w:r>
      <w:r>
        <w:rPr>
          <w:rtl w:val="true"/>
        </w:rPr>
        <w:t>-</w:t>
      </w:r>
      <w:r>
        <w:rPr>
          <w:rtl w:val="true"/>
        </w:rPr>
        <w:t>שבע כתב אישום נגד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בלאל אלגרגאוי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המקורי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>שבהמשך תוקן פעמיים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. </w:t>
      </w:r>
      <w:r>
        <w:rPr>
          <w:rtl w:val="true"/>
        </w:rPr>
        <w:t>על פי עובדות כתב האישום המקורי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25.1.2017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9:22</w:t>
      </w:r>
      <w:r>
        <w:rPr>
          <w:rtl w:val="true"/>
        </w:rPr>
        <w:t xml:space="preserve">, </w:t>
      </w:r>
      <w:r>
        <w:rPr>
          <w:rtl w:val="true"/>
        </w:rPr>
        <w:t xml:space="preserve">נהג המערער ברכב פולקסווגן בכביש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מכיוון דרום לצפון</w:t>
      </w:r>
      <w:r>
        <w:rPr>
          <w:rtl w:val="true"/>
        </w:rPr>
        <w:t xml:space="preserve">, </w:t>
      </w:r>
      <w:r>
        <w:rPr>
          <w:rtl w:val="true"/>
        </w:rPr>
        <w:t xml:space="preserve">כשהוא מסיע את אחיו עימו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הרכב</w:t>
      </w:r>
      <w:r>
        <w:rPr>
          <w:rtl w:val="true"/>
        </w:rPr>
        <w:t xml:space="preserve">). </w:t>
      </w:r>
      <w:r>
        <w:rPr>
          <w:rtl w:val="true"/>
        </w:rPr>
        <w:t xml:space="preserve">בהגיעו לצומת </w:t>
      </w:r>
      <w:r>
        <w:rPr>
          <w:rtl w:val="true"/>
        </w:rPr>
        <w:t>"</w:t>
      </w:r>
      <w:r>
        <w:rPr>
          <w:rtl w:val="true"/>
        </w:rPr>
        <w:t>אוהלים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הצומת</w:t>
      </w:r>
      <w:r>
        <w:rPr>
          <w:rtl w:val="true"/>
        </w:rPr>
        <w:t xml:space="preserve">), </w:t>
      </w:r>
      <w:r>
        <w:rPr>
          <w:rtl w:val="true"/>
        </w:rPr>
        <w:t xml:space="preserve">חצה המערער את הצומת למרות שרמזור אדום דלק בכיוון נסיעתו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הרמזור</w:t>
      </w:r>
      <w:r>
        <w:rPr>
          <w:rtl w:val="true"/>
        </w:rPr>
        <w:t xml:space="preserve">). </w:t>
      </w:r>
      <w:r>
        <w:rPr>
          <w:rtl w:val="true"/>
        </w:rPr>
        <w:t>המערער התנגש בדופן השמאל של רכבו של יוסף ניר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אשר פנה שמאלה מכיוון צפון</w:t>
      </w:r>
      <w:r>
        <w:rPr>
          <w:rtl w:val="true"/>
        </w:rPr>
        <w:t>-</w:t>
      </w:r>
      <w:r>
        <w:rPr>
          <w:rtl w:val="true"/>
        </w:rPr>
        <w:t>מזרח לדרום</w:t>
      </w:r>
      <w:r>
        <w:rPr>
          <w:rtl w:val="true"/>
        </w:rPr>
        <w:t xml:space="preserve">, </w:t>
      </w:r>
      <w:r>
        <w:rPr>
          <w:rtl w:val="true"/>
        </w:rPr>
        <w:t xml:space="preserve">כאשר בכיוון נסיעתו דלק ברמזור אור ירוק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התאונה</w:t>
      </w:r>
      <w:r>
        <w:rPr>
          <w:rtl w:val="true"/>
        </w:rPr>
        <w:t xml:space="preserve">). </w:t>
      </w:r>
      <w:r>
        <w:rPr>
          <w:rtl w:val="true"/>
        </w:rPr>
        <w:t>כתוצאה מהתאונה נהרג המנוח</w:t>
      </w:r>
      <w:r>
        <w:rPr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על פי הנטען בכתב האישום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 xml:space="preserve">התאונה ותוצאותיה נגרמו בעקבות נהיגתו הפזיזה של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המערער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המעשים המתוארים לעיל יוחסו למערער עבירות של הריגה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ההריגה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); </w:t>
      </w:r>
      <w:r>
        <w:rPr>
          <w:rtl w:val="true"/>
        </w:rPr>
        <w:t>וגרימת תאונת דרכים שתוצאתה חבלה ונזק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. </w:t>
      </w:r>
      <w:r>
        <w:rPr>
          <w:rtl w:val="true"/>
        </w:rPr>
        <w:t>יצוין כבר בשלב זה</w:t>
      </w:r>
      <w:r>
        <w:rPr>
          <w:rtl w:val="true"/>
        </w:rPr>
        <w:t xml:space="preserve">, </w:t>
      </w:r>
      <w:r>
        <w:rPr>
          <w:rtl w:val="true"/>
        </w:rPr>
        <w:t>כי בית המשפט קמא דן את המערער רק לפי עבירת ההריגה</w:t>
      </w:r>
      <w:r>
        <w:rPr>
          <w:rtl w:val="true"/>
        </w:rPr>
        <w:t xml:space="preserve">, </w:t>
      </w:r>
      <w:r>
        <w:rPr>
          <w:rtl w:val="true"/>
        </w:rPr>
        <w:t>ונמנע מלהרשיע אותו בעבירה הנוספת שיוחסה לו</w:t>
      </w:r>
      <w:r>
        <w:rPr>
          <w:rtl w:val="true"/>
        </w:rPr>
        <w:t xml:space="preserve">, </w:t>
      </w:r>
      <w:r>
        <w:rPr>
          <w:rtl w:val="true"/>
        </w:rPr>
        <w:t>וזאת מטעמים שלא הובהרו בהכרעת 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בדיון שנערך ביום </w:t>
      </w:r>
      <w:r>
        <w:rPr/>
        <w:t>14.9.2017</w:t>
      </w:r>
      <w:r>
        <w:rPr>
          <w:rtl w:val="true"/>
        </w:rPr>
        <w:t xml:space="preserve">, </w:t>
      </w:r>
      <w:r>
        <w:rPr>
          <w:rtl w:val="true"/>
        </w:rPr>
        <w:t>עתר בא</w:t>
      </w:r>
      <w:r>
        <w:rPr>
          <w:rtl w:val="true"/>
        </w:rPr>
        <w:t>-</w:t>
      </w:r>
      <w:r>
        <w:rPr>
          <w:rtl w:val="true"/>
        </w:rPr>
        <w:t>כוח המשיבה כי בית המשפט יתיר למשיבה לבצע השלמת חקירה בעניין מהירות נסיעתו של המערער עובר לתאונה</w:t>
      </w:r>
      <w:r>
        <w:rPr>
          <w:rtl w:val="true"/>
        </w:rPr>
        <w:t xml:space="preserve">, </w:t>
      </w:r>
      <w:r>
        <w:rPr>
          <w:rtl w:val="true"/>
        </w:rPr>
        <w:t>על יסוד סרטון שתועד על ידי מצלמת דרך</w:t>
      </w:r>
      <w:r>
        <w:rPr>
          <w:rtl w:val="true"/>
        </w:rPr>
        <w:t xml:space="preserve">, </w:t>
      </w:r>
      <w:r>
        <w:rPr>
          <w:rtl w:val="true"/>
        </w:rPr>
        <w:t xml:space="preserve">ובו נסיעת המערער ברכבו במסך </w:t>
      </w:r>
      <w:r>
        <w:rPr>
          <w:shd w:fill="FFFFFF" w:val="clear"/>
        </w:rPr>
        <w:t>28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שניות עובר לתאונה ופרק זמן נוסף לאחריה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להלן</w:t>
      </w:r>
      <w:r>
        <w:rPr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הסרטון</w:t>
      </w:r>
      <w:r>
        <w:rPr>
          <w:shd w:fill="FFFFFF" w:val="clear"/>
          <w:rtl w:val="true"/>
        </w:rPr>
        <w:t xml:space="preserve"> ו</w:t>
      </w:r>
      <w:r>
        <w:rPr>
          <w:shd w:fill="FFFFFF" w:val="clear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הדרך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בהתאמה</w:t>
      </w:r>
      <w:r>
        <w:rPr>
          <w:shd w:fill="FFFFFF" w:val="clear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בתום הדיון</w:t>
      </w:r>
      <w:r>
        <w:rPr>
          <w:rtl w:val="true"/>
        </w:rPr>
        <w:t xml:space="preserve">, </w:t>
      </w:r>
      <w:r>
        <w:rPr>
          <w:rtl w:val="true"/>
        </w:rPr>
        <w:t>התיר בית המשפט למשיבה לבצע השלמת חקירה כאמור</w:t>
      </w:r>
      <w:r>
        <w:rPr>
          <w:rtl w:val="true"/>
        </w:rPr>
        <w:t xml:space="preserve">, </w:t>
      </w:r>
      <w:r>
        <w:rPr>
          <w:rtl w:val="true"/>
        </w:rPr>
        <w:t xml:space="preserve">תוך שנפסק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שהמשטרה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מבצעת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הנסיעה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שנקלט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tl w:val="true"/>
        </w:rPr>
        <w:t xml:space="preserve">". </w:t>
      </w:r>
      <w:r>
        <w:rPr>
          <w:rtl w:val="true"/>
        </w:rPr>
        <w:t xml:space="preserve">ביום </w:t>
      </w:r>
      <w:r>
        <w:rPr/>
        <w:t>15.1.2018</w:t>
      </w:r>
      <w:r>
        <w:rPr>
          <w:rtl w:val="true"/>
        </w:rPr>
        <w:t xml:space="preserve">, </w:t>
      </w:r>
      <w:r>
        <w:rPr>
          <w:rtl w:val="true"/>
        </w:rPr>
        <w:t>עתרה המשיבה לתיקון כתב האישום</w:t>
      </w:r>
      <w:r>
        <w:rPr>
          <w:rtl w:val="true"/>
        </w:rPr>
        <w:t xml:space="preserve">, </w:t>
      </w:r>
      <w:r>
        <w:rPr>
          <w:rtl w:val="true"/>
        </w:rPr>
        <w:t>כך שיכלול את ממצאי השלמת החקירה</w:t>
      </w:r>
      <w:r>
        <w:rPr>
          <w:rtl w:val="true"/>
        </w:rPr>
        <w:t xml:space="preserve">, </w:t>
      </w:r>
      <w:r>
        <w:rPr>
          <w:rtl w:val="true"/>
        </w:rPr>
        <w:t xml:space="preserve">לפיהם בקטע שאורכו </w:t>
      </w:r>
      <w:r>
        <w:rPr/>
        <w:t>154</w:t>
      </w:r>
      <w:r>
        <w:rPr>
          <w:rtl w:val="true"/>
        </w:rPr>
        <w:t xml:space="preserve"> </w:t>
      </w:r>
      <w:r>
        <w:rPr>
          <w:rtl w:val="true"/>
        </w:rPr>
        <w:t>מטרים לפני הצומת</w:t>
      </w:r>
      <w:r>
        <w:rPr>
          <w:rtl w:val="true"/>
        </w:rPr>
        <w:t xml:space="preserve">, </w:t>
      </w:r>
      <w:r>
        <w:rPr>
          <w:rtl w:val="true"/>
        </w:rPr>
        <w:t xml:space="preserve">נהג המערער במהירות שבין </w:t>
      </w:r>
      <w:r>
        <w:rPr/>
        <w:t>118-117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 xml:space="preserve">כאשר המהירות המותרת היא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 xml:space="preserve">ולאחר הכניסה לצומת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). </w:t>
      </w:r>
      <w:r>
        <w:rPr>
          <w:rtl w:val="true"/>
        </w:rPr>
        <w:t xml:space="preserve">ביום </w:t>
      </w:r>
      <w:r>
        <w:rPr/>
        <w:t>22.1.2018</w:t>
      </w:r>
      <w:r>
        <w:rPr>
          <w:rtl w:val="true"/>
        </w:rPr>
        <w:t xml:space="preserve">, </w:t>
      </w:r>
      <w:r>
        <w:rPr>
          <w:rtl w:val="true"/>
        </w:rPr>
        <w:t>נעתר בית המשפט המחוזי לבקשה</w:t>
      </w:r>
      <w:r>
        <w:rPr>
          <w:rtl w:val="true"/>
        </w:rPr>
        <w:t xml:space="preserve">, </w:t>
      </w:r>
      <w:r>
        <w:rPr>
          <w:rtl w:val="true"/>
        </w:rPr>
        <w:t>חרף התנגדות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כעבור כחודשיים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5.3.2018</w:t>
      </w:r>
      <w:r>
        <w:rPr>
          <w:rtl w:val="true"/>
        </w:rPr>
        <w:t xml:space="preserve">, </w:t>
      </w:r>
      <w:r>
        <w:rPr>
          <w:rtl w:val="true"/>
        </w:rPr>
        <w:t>הודיעו הצדדים כי הגיעו להסדר דיוני</w:t>
      </w:r>
      <w:r>
        <w:rPr>
          <w:rtl w:val="true"/>
        </w:rPr>
        <w:t xml:space="preserve">, </w:t>
      </w:r>
      <w:r>
        <w:rPr>
          <w:rtl w:val="true"/>
        </w:rPr>
        <w:t>המצמצם את יריעת המחלוקת ביניהם</w:t>
      </w:r>
      <w:r>
        <w:rPr>
          <w:rtl w:val="true"/>
        </w:rPr>
        <w:t xml:space="preserve">. </w:t>
      </w:r>
      <w:r>
        <w:rPr>
          <w:rtl w:val="true"/>
        </w:rPr>
        <w:t xml:space="preserve">במסגרת ההסדר הדיוני הוסכם כי יוגש כתב אישום מתוקן בשנית </w:t>
      </w:r>
      <w:r>
        <w:rPr>
          <w:rtl w:val="true"/>
        </w:rPr>
        <w:t>(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 xml:space="preserve">מהירות נסיעתו של המערער עובר לתאונה הייתה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 xml:space="preserve">ולא </w:t>
      </w:r>
      <w:r>
        <w:rPr/>
        <w:t>118-117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), </w:t>
      </w:r>
      <w:r>
        <w:rPr>
          <w:rtl w:val="true"/>
        </w:rPr>
        <w:t xml:space="preserve">וכי המערער יודה בעבירה של גרימת מוות ברשלנות 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ברשלנות</w:t>
      </w:r>
      <w:r>
        <w:rPr>
          <w:rtl w:val="true"/>
        </w:rPr>
        <w:t xml:space="preserve">), </w:t>
      </w:r>
      <w:r>
        <w:rPr>
          <w:rtl w:val="true"/>
        </w:rPr>
        <w:t>ויכפור בעבירת ההריגה</w:t>
      </w:r>
      <w:r>
        <w:rPr>
          <w:rtl w:val="true"/>
        </w:rPr>
        <w:t xml:space="preserve">, </w:t>
      </w:r>
      <w:r>
        <w:rPr>
          <w:rtl w:val="true"/>
        </w:rPr>
        <w:t>שכן לטענתו</w:t>
      </w:r>
      <w:r>
        <w:rPr>
          <w:rtl w:val="true"/>
        </w:rPr>
        <w:t xml:space="preserve">, </w:t>
      </w:r>
      <w:r>
        <w:rPr>
          <w:rtl w:val="true"/>
        </w:rPr>
        <w:t>חצה את הצומת בהיסח הדעת</w:t>
      </w:r>
      <w:r>
        <w:rPr>
          <w:rtl w:val="true"/>
        </w:rPr>
        <w:t xml:space="preserve">, </w:t>
      </w:r>
      <w:r>
        <w:rPr>
          <w:rtl w:val="true"/>
        </w:rPr>
        <w:t>בסברו כי האור שבצומת ירוק ומבלי שהבחין בכך שהתחלף לאדום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ascii="Century" w:hAnsi="Century" w:cs="Miriam"/>
          <w:b/>
          <w:b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בפתח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הכרעת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דינו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מיום </w:t>
      </w:r>
      <w:r>
        <w:rPr>
          <w:rFonts w:cs="FrankRuehl;Times New Roman" w:ascii="FrankRuehl;Times New Roman" w:hAnsi="FrankRuehl;Times New Roman"/>
          <w:sz w:val="28"/>
        </w:rPr>
        <w:t>22.9.2019</w:t>
      </w:r>
      <w:r>
        <w:rPr>
          <w:rFonts w:cs="FrankRuehl;Times New Roman" w:ascii="FrankRuehl;Times New Roman" w:hAnsi="FrankRuehl;Times New Roman"/>
          <w:sz w:val="28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קבע בית המשפט המחוזי</w:t>
      </w:r>
      <w:r>
        <w:rPr>
          <w:shd w:fill="FFFFFF" w:val="clear"/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shd w:fill="FFFFFF" w:val="clear"/>
          <w:rtl w:val="true"/>
        </w:rPr>
        <w:t xml:space="preserve">המחלוקת </w:t>
      </w:r>
      <w:r>
        <w:rPr>
          <w:shd w:fill="FFFFFF" w:val="clear"/>
          <w:rtl w:val="true"/>
        </w:rPr>
        <w:t xml:space="preserve">שנותרה בין הצדדים </w:t>
      </w:r>
      <w:r>
        <w:rPr>
          <w:shd w:fill="FFFFFF" w:val="clear"/>
          <w:rtl w:val="true"/>
        </w:rPr>
        <w:t xml:space="preserve">איננה בשאלת </w:t>
      </w:r>
      <w:r>
        <w:rPr>
          <w:shd w:fill="FFFFFF" w:val="clear"/>
          <w:rtl w:val="true"/>
        </w:rPr>
        <w:t>קיומו של היסוד העובדתי הדרוש לעבירת ההריגה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שכן יסוד זה זהה ליסוד העובדתי הדרוש לעבירת גרימת מוות ברשלנות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בה הודה המערער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 xml:space="preserve">המחלוקת היא </w:t>
      </w:r>
      <w:r>
        <w:rPr>
          <w:shd w:fill="FFFFFF" w:val="clear"/>
          <w:rtl w:val="true"/>
        </w:rPr>
        <w:t>בשא</w:t>
      </w:r>
      <w:r>
        <w:rPr>
          <w:shd w:fill="FFFFFF" w:val="clear"/>
          <w:rtl w:val="true"/>
        </w:rPr>
        <w:t>לת קיומו של היסוד הנפשי הדרוש לעבירת ההריגה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להבדיל מעבירת גרימת מוות ברשלנות</w:t>
      </w:r>
      <w:r>
        <w:rPr>
          <w:shd w:fill="FFFFFF" w:val="clear"/>
          <w:rtl w:val="true"/>
        </w:rPr>
        <w:t xml:space="preserve">, </w:t>
      </w:r>
      <w:r>
        <w:rPr>
          <w:rtl w:val="true"/>
        </w:rPr>
        <w:t>דהיינו בקיומה של מחשבה פלילית</w:t>
      </w:r>
      <w:r>
        <w:rPr>
          <w:rtl w:val="true"/>
        </w:rPr>
        <w:t xml:space="preserve">, </w:t>
      </w:r>
      <w:r>
        <w:rPr>
          <w:rtl w:val="true"/>
        </w:rPr>
        <w:t xml:space="preserve">כהגדרתה </w:t>
      </w:r>
      <w:hyperlink r:id="rId2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Ruehl;Times New Roman" w:hAnsi="FrankRuehl;Times New Roman" w:cs="FrankRuehl;Times New Roman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shd w:fill="FFFFFF" w:val="clear"/>
          <w:rtl w:val="true"/>
        </w:rPr>
        <w:t>בית המשפט המחוזי קיבל את עדותו של הבוחן המשטרתי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רס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ר ארז יעקובובסקי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להלן</w:t>
      </w:r>
      <w:r>
        <w:rPr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הבוחן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המשטרתי</w:t>
      </w:r>
      <w:r>
        <w:rPr>
          <w:shd w:fill="FFFFFF" w:val="clear"/>
          <w:rtl w:val="true"/>
        </w:rPr>
        <w:t xml:space="preserve">), </w:t>
      </w:r>
      <w:r>
        <w:rPr>
          <w:shd w:fill="FFFFFF" w:val="clear"/>
          <w:rtl w:val="true"/>
        </w:rPr>
        <w:t>לפיה המערכות ברכבו של המערער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לרבות מערכות הבלימה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נמצאו תקינות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>הכביש בו אירעה התאונה הוא כביש ישר ושדה הראיה בו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ביום התאונה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היה פתוח למרחק של למעלה מ</w:t>
      </w:r>
      <w:r>
        <w:rPr>
          <w:shd w:fill="FFFFFF" w:val="clear"/>
          <w:rtl w:val="true"/>
        </w:rPr>
        <w:t>-</w:t>
      </w:r>
      <w:r>
        <w:rPr>
          <w:shd w:fill="FFFFFF" w:val="clear"/>
        </w:rPr>
        <w:t>500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מטרים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>התאונה אירעה בשעות הבוקר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והראות הייתה טובה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הבוחן המשטרתי הסביר בעדותו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כי האור הירוק ברמזור החל להבהב כאשר המערער היה במרחק של לפחות </w:t>
      </w:r>
      <w:r>
        <w:rPr>
          <w:shd w:fill="FFFFFF" w:val="clear"/>
        </w:rPr>
        <w:t>345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מטר מהצומת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הפך לצהוב כאשר המערער היה במרחק של לפחות </w:t>
      </w:r>
      <w:r>
        <w:rPr>
          <w:shd w:fill="FFFFFF" w:val="clear"/>
        </w:rPr>
        <w:t>250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מטר מהצומת והתחלף לאדום כאשר המערער היה במרחק של </w:t>
      </w:r>
      <w:r>
        <w:rPr>
          <w:shd w:fill="FFFFFF" w:val="clear"/>
        </w:rPr>
        <w:t>156.9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מטרים מהצומת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האור האדום דלק למשך כ</w:t>
      </w:r>
      <w:r>
        <w:rPr>
          <w:shd w:fill="FFFFFF" w:val="clear"/>
          <w:rtl w:val="true"/>
        </w:rPr>
        <w:t>-</w:t>
      </w:r>
      <w:r>
        <w:rPr>
          <w:shd w:fill="FFFFFF" w:val="clear"/>
        </w:rPr>
        <w:t>6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שניות עד לתאונה</w:t>
      </w:r>
      <w:r>
        <w:rPr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בהקשר לכך נמסר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כי זמן התגובה הממוצע למצב של סכנה הוא שלושת רבעי השנייה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וכי בהנחה שמהירות נסיעת המערער עובר לתאונה הייתה </w:t>
      </w:r>
      <w:r>
        <w:rPr>
          <w:shd w:fill="FFFFFF" w:val="clear"/>
        </w:rPr>
        <w:t>113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קמ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ש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הרי שאם היה בולם את הרכב ברגע שהאור ברמזור הפך לאדום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הוא היה עוצר במרחק של </w:t>
      </w:r>
      <w:r>
        <w:rPr>
          <w:shd w:fill="FFFFFF" w:val="clear"/>
        </w:rPr>
        <w:t>18.5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מטר לפני מקום התאונה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כמו כן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ציין הבוחן המשטרתי כי המערער אמנם לחץ על דוושת הבלם בסמוך לכניסתו לצומת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אך לא היה בלחיצה זו כדי להפעיל את מערכת הבלימה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כך שבפועל לא בלם המערער את רכבו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מסקנת הבוחן המשטרתי הייתה כי המערער ראה שהאור ברמזור אדום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ויכל לבחור לבלום את הרכב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אך בכל זאת המשיך בנסיעתו עד לגרימת התאונה</w:t>
      </w:r>
      <w:r>
        <w:rPr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בהמשך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בחן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בית המשפט המחוזי את ריבוי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הגרסאות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שנשמעו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מפי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וקבע כי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מגרסאות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המתקבל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הדעת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 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25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להכרעת הדין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נפסק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כי </w:t>
      </w:r>
      <w:r>
        <w:rPr>
          <w:rtl w:val="true"/>
        </w:rPr>
        <w:t>טענת המערער במשטרה</w:t>
      </w:r>
      <w:r>
        <w:rPr>
          <w:rtl w:val="true"/>
        </w:rPr>
        <w:t xml:space="preserve">, </w:t>
      </w:r>
      <w:r>
        <w:rPr>
          <w:rtl w:val="true"/>
        </w:rPr>
        <w:t>לפיה איבד את עשתונותיו</w:t>
      </w:r>
      <w:r>
        <w:rPr>
          <w:rtl w:val="true"/>
        </w:rPr>
        <w:t xml:space="preserve">,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הרמתי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פתאום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התבלבלתי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תאונה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הרמתי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מהגז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ככה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עשתונות</w:t>
      </w:r>
      <w:r>
        <w:rPr>
          <w:rtl w:val="true"/>
        </w:rPr>
        <w:t xml:space="preserve">), </w:t>
      </w:r>
      <w:r>
        <w:rPr>
          <w:rtl w:val="true"/>
        </w:rPr>
        <w:t xml:space="preserve">התייחסה גם לשלב בו האור ברמזור התחלף לאדום </w:t>
      </w:r>
      <w:r>
        <w:rPr>
          <w:rtl w:val="true"/>
        </w:rPr>
        <w:t>(</w:t>
      </w:r>
      <w:r>
        <w:rPr>
          <w:rtl w:val="true"/>
        </w:rPr>
        <w:t>ולא רק לשלב רגע לפני התאונה</w:t>
      </w:r>
      <w:r>
        <w:rPr>
          <w:rtl w:val="true"/>
        </w:rPr>
        <w:t xml:space="preserve">), </w:t>
      </w:r>
      <w:r>
        <w:rPr>
          <w:rtl w:val="true"/>
        </w:rPr>
        <w:t>ואף מלמדת על מודעותו של המערער לנסיבות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אילו סבר המערער כי נכנס לצומת כאשר האור ברמזור ירוק</w:t>
      </w:r>
      <w:r>
        <w:rPr>
          <w:rtl w:val="true"/>
        </w:rPr>
        <w:t xml:space="preserve">, </w:t>
      </w:r>
      <w:r>
        <w:rPr>
          <w:rtl w:val="true"/>
        </w:rPr>
        <w:t>אזי לא הייתה סיבה שיאבד את עשתונותיו</w:t>
      </w:r>
      <w:r>
        <w:rPr>
          <w:rtl w:val="true"/>
        </w:rPr>
        <w:t xml:space="preserve">. </w:t>
      </w:r>
      <w:r>
        <w:rPr>
          <w:rtl w:val="true"/>
        </w:rPr>
        <w:t>לגופו של עניין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את טענת איבוד העשתונות</w:t>
      </w:r>
      <w:r>
        <w:rPr>
          <w:rtl w:val="true"/>
        </w:rPr>
        <w:t xml:space="preserve">, </w:t>
      </w:r>
      <w:r>
        <w:rPr>
          <w:rtl w:val="true"/>
        </w:rPr>
        <w:t>וקבע כי היא נטענה במטרה לתרץ את המשך נסיעתו של המערער במהירות גבוהה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למערער לא הייתה כל סיבה לאבד את עשתונותיו בשלב זה</w:t>
      </w:r>
      <w:r>
        <w:rPr>
          <w:rtl w:val="true"/>
        </w:rPr>
        <w:t xml:space="preserve">, </w:t>
      </w:r>
      <w:r>
        <w:rPr>
          <w:rtl w:val="true"/>
        </w:rPr>
        <w:t>בו היה במרחק רב מהצומת ויכל לבלום את הרכב בבטחה לפני מקום התאונה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נקבע כי אין ליתן אמון בגרסת המערער כי אינו זוכר דבר</w:t>
      </w:r>
      <w:r>
        <w:rPr>
          <w:rtl w:val="true"/>
        </w:rPr>
        <w:t xml:space="preserve">, </w:t>
      </w:r>
      <w:r>
        <w:rPr>
          <w:rtl w:val="true"/>
        </w:rPr>
        <w:t>לאור גרסאותיו האחרות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כך גם נדחתה טענת המערער כי </w:t>
      </w:r>
      <w:r>
        <w:rPr>
          <w:rtl w:val="true"/>
        </w:rPr>
        <w:t>נהג בהיסח הדעת</w:t>
      </w:r>
      <w:r>
        <w:rPr>
          <w:rtl w:val="true"/>
        </w:rPr>
        <w:t xml:space="preserve">, </w:t>
      </w:r>
      <w:r>
        <w:rPr>
          <w:rtl w:val="true"/>
        </w:rPr>
        <w:t>מבלי שהבחין בחילופי האורות ברמזור עד לקרות התאונה</w:t>
      </w:r>
      <w:r>
        <w:rPr>
          <w:rtl w:val="true"/>
        </w:rPr>
        <w:t xml:space="preserve">, </w:t>
      </w:r>
      <w:r>
        <w:rPr>
          <w:rtl w:val="true"/>
        </w:rPr>
        <w:t>ולגביה נקבע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אחיזה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בחומר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דחוקה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וקלושה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לעורר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סביר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 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37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להכרעת הדין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בית המשפט המחוזי עמד על כך ש</w:t>
      </w:r>
      <w:r>
        <w:rPr>
          <w:rtl w:val="true"/>
        </w:rPr>
        <w:t>טענה זו נטענה לראשונה בחקירתו הנגדית של המערער בבית המשפט</w:t>
      </w:r>
      <w:r>
        <w:rPr>
          <w:rtl w:val="true"/>
        </w:rPr>
        <w:t xml:space="preserve">, </w:t>
      </w:r>
      <w:r>
        <w:rPr>
          <w:rtl w:val="true"/>
        </w:rPr>
        <w:t>כאשר הטיח בו התובע כי לא ייתכן שלא ראה את חילופי האורות ברמזור</w:t>
      </w:r>
      <w:r>
        <w:rPr>
          <w:rtl w:val="true"/>
        </w:rPr>
        <w:t xml:space="preserve">. </w:t>
      </w:r>
      <w:r>
        <w:rPr>
          <w:rtl w:val="true"/>
        </w:rPr>
        <w:t>אילו נסיבות התאונה היו של היסח דעת</w:t>
      </w:r>
      <w:r>
        <w:rPr>
          <w:rtl w:val="true"/>
        </w:rPr>
        <w:t xml:space="preserve">, </w:t>
      </w:r>
      <w:r>
        <w:rPr>
          <w:rtl w:val="true"/>
        </w:rPr>
        <w:t>כך סבר בית המשפט המחוזי</w:t>
      </w:r>
      <w:r>
        <w:rPr>
          <w:rtl w:val="true"/>
        </w:rPr>
        <w:t xml:space="preserve">, </w:t>
      </w:r>
      <w:r>
        <w:rPr>
          <w:rtl w:val="true"/>
        </w:rPr>
        <w:t>סביר להניח כי המערער היה מוסר זאת מיוזמתו או בעצת עורכי דינו</w:t>
      </w:r>
      <w:r>
        <w:rPr>
          <w:rtl w:val="true"/>
        </w:rPr>
        <w:t xml:space="preserve">, </w:t>
      </w:r>
      <w:r>
        <w:rPr>
          <w:rtl w:val="true"/>
        </w:rPr>
        <w:t>עימם נועץ מספר פעמים</w:t>
      </w:r>
      <w:r>
        <w:rPr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זאת ועוד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נפסק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כי הטענה אף אינה מתיישבת עם הסרטון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ממנו עולה כי רכבו של המערער נהוג בשליטה מלאה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וללא סטיות לצד כלשהו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הגם שתוואי הכביש בנתיב נסיעתו התעקל שמאלה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כך גם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עצם העובדה שבלם המערער את רכבו כשנייה ושליש בטרם נכנס לצומת כאמור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עומדת בסתירה לטענתו לפיה המשיך בנסיעתו מתוך היסח דעת ומבלי להבחין בחילופי האורות ברמזור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את טענותיו של המערער כנגד ביצוע פעולות חקירה לאחר הגשת כתב האישום</w:t>
      </w:r>
      <w:r>
        <w:rPr>
          <w:rtl w:val="true"/>
        </w:rPr>
        <w:t xml:space="preserve">, </w:t>
      </w:r>
      <w:r>
        <w:rPr>
          <w:rtl w:val="true"/>
        </w:rPr>
        <w:t>וכפועל יוצא</w:t>
      </w:r>
      <w:r>
        <w:rPr>
          <w:rtl w:val="true"/>
        </w:rPr>
        <w:t xml:space="preserve">, </w:t>
      </w:r>
      <w:r>
        <w:rPr>
          <w:rtl w:val="true"/>
        </w:rPr>
        <w:t>כנגד כתב האישום המתוקן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השלמת החקירה בוצעה באישור פרקליט המחוז</w:t>
      </w:r>
      <w:r>
        <w:rPr>
          <w:rtl w:val="true"/>
        </w:rPr>
        <w:t xml:space="preserve">, </w:t>
      </w:r>
      <w:r>
        <w:rPr>
          <w:rtl w:val="true"/>
        </w:rPr>
        <w:t>וכתב האישום תוקן בהחלטת בית המשפט</w:t>
      </w:r>
      <w:r>
        <w:rPr>
          <w:rtl w:val="true"/>
        </w:rPr>
        <w:t xml:space="preserve">. </w:t>
      </w:r>
      <w:r>
        <w:rPr>
          <w:rtl w:val="true"/>
        </w:rPr>
        <w:t>למעלה מכך</w:t>
      </w:r>
      <w:r>
        <w:rPr>
          <w:rtl w:val="true"/>
        </w:rPr>
        <w:t xml:space="preserve">, </w:t>
      </w:r>
      <w:r>
        <w:rPr>
          <w:rtl w:val="true"/>
        </w:rPr>
        <w:t>כתב האישום המתוקן בשנית הוגש במסגרת הסדר דיוני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הודה המערער בעובדותיו </w:t>
      </w:r>
      <w:r>
        <w:rPr>
          <w:rtl w:val="true"/>
        </w:rPr>
        <w:t>(</w:t>
      </w:r>
      <w:r>
        <w:rPr>
          <w:rtl w:val="true"/>
        </w:rPr>
        <w:t>אשר נותרו זהות לאלו שבכתב האישום המתוקן</w:t>
      </w:r>
      <w:r>
        <w:rPr>
          <w:rtl w:val="true"/>
        </w:rPr>
        <w:t xml:space="preserve">, </w:t>
      </w:r>
      <w:r>
        <w:rPr>
          <w:rtl w:val="true"/>
        </w:rPr>
        <w:t>למעט הפחתה קלה במהירות הנסיעה המיוחסת למערער</w:t>
      </w:r>
      <w:r>
        <w:rPr>
          <w:rtl w:val="true"/>
        </w:rPr>
        <w:t xml:space="preserve">). </w:t>
      </w:r>
      <w:r>
        <w:rPr>
          <w:rtl w:val="true"/>
        </w:rPr>
        <w:t>כך גם נדחתה טענת המערער כנגד החזרת רכבו לבעליו</w:t>
      </w:r>
      <w:r>
        <w:rPr>
          <w:rtl w:val="true"/>
        </w:rPr>
        <w:t xml:space="preserve">, </w:t>
      </w:r>
      <w:r>
        <w:rPr>
          <w:rtl w:val="true"/>
        </w:rPr>
        <w:t>שכן ממילא לא העלתה ההגנה טענה הנוגעת לתקינות הרכב</w:t>
      </w:r>
      <w:r>
        <w:rPr>
          <w:rtl w:val="true"/>
        </w:rPr>
        <w:t xml:space="preserve">. </w:t>
      </w:r>
      <w:r>
        <w:rPr>
          <w:rtl w:val="true"/>
        </w:rPr>
        <w:t xml:space="preserve">טענת הסנגור לחוסר אחידות בהחלטת המחוזות השונים בפרקליטות בסוגיית סעיף העבירה המיוחס לנהג ההורג אדם בתאונת דרכים </w:t>
      </w:r>
      <w:r>
        <w:rPr>
          <w:rtl w:val="true"/>
        </w:rPr>
        <w:t>(</w:t>
      </w:r>
      <w:r>
        <w:rPr>
          <w:rtl w:val="true"/>
        </w:rPr>
        <w:t>עבירת גרימת מוות ברשלנות או עבירת הריגה</w:t>
      </w:r>
      <w:r>
        <w:rPr>
          <w:rtl w:val="true"/>
        </w:rPr>
        <w:t xml:space="preserve">), </w:t>
      </w:r>
      <w:r>
        <w:rPr>
          <w:rtl w:val="true"/>
        </w:rPr>
        <w:t>נדחתה אף היא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hd w:fill="FFFFFF" w:val="clear"/>
          <w:rtl w:val="true"/>
        </w:rPr>
        <w:t>על בסיס המכלול האמור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הגיע בית המשפט המחוזי למסקנה כי נסיבות המקרה מלמדות על התקיימותו של יסוד נפשי של קלות דעת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שכן המערער </w:t>
      </w:r>
      <w:r>
        <w:rPr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נהג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ביודעו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מתקרב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לצומת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מרומזר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וביודעו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שהאור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ברמזור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ירוק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מהבהב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וא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צהוב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אדום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המשיך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בנסיעתו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מודעות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תאונה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קטלנית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ונטילת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סיכון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שהדבר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יתרחש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תקוה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שיצליח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זו</w:t>
      </w:r>
      <w:r>
        <w:rPr>
          <w:shd w:fill="FFFFFF" w:val="clear"/>
          <w:rtl w:val="true"/>
        </w:rPr>
        <w:t>" (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38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להכרעת הדין</w:t>
      </w:r>
      <w:r>
        <w:rPr>
          <w:shd w:fill="FFFFFF" w:val="clear"/>
          <w:rtl w:val="true"/>
        </w:rPr>
        <w:t xml:space="preserve">), </w:t>
      </w:r>
      <w:r>
        <w:rPr>
          <w:shd w:fill="FFFFFF" w:val="clear"/>
          <w:rtl w:val="true"/>
        </w:rPr>
        <w:t>ומכאן מתחייבת הרשעתו בעבירת הריגה</w:t>
      </w:r>
      <w:r>
        <w:rPr>
          <w:shd w:fill="FFFFFF" w:val="clear"/>
          <w:rtl w:val="true"/>
        </w:rPr>
        <w:t xml:space="preserve">. </w:t>
      </w:r>
      <w:r>
        <w:rPr>
          <w:rtl w:val="true"/>
        </w:rPr>
        <w:t xml:space="preserve">עוד קבע בית המשפט המחוזי כי 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tl w:val="true"/>
        </w:rPr>
        <w:t xml:space="preserve">), </w:t>
      </w:r>
      <w:r>
        <w:rPr>
          <w:rtl w:val="true"/>
        </w:rPr>
        <w:t>אשר שינה את מדרג 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ובמסגרתו בוטלה עבירת ההריגה </w:t>
      </w:r>
      <w:hyperlink r:id="rId28">
        <w:r>
          <w:rPr>
            <w:rStyle w:val="Hyperlink"/>
            <w:rtl w:val="true"/>
          </w:rPr>
          <w:t>שבסעיף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לתיקון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ובמקומה נקבעה עבירת המתה בקלות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המעוגנת </w:t>
      </w:r>
      <w:hyperlink r:id="rId2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לחוק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tl w:val="true"/>
        </w:rPr>
        <w:t xml:space="preserve">), </w:t>
      </w:r>
      <w:r>
        <w:rPr>
          <w:rtl w:val="true"/>
        </w:rPr>
        <w:t xml:space="preserve">לא חל בעניינו של המערער </w:t>
      </w:r>
      <w:r>
        <w:rPr>
          <w:rtl w:val="true"/>
        </w:rPr>
        <w:t>(</w:t>
      </w:r>
      <w:r>
        <w:rPr>
          <w:rtl w:val="true"/>
        </w:rPr>
        <w:t xml:space="preserve">באשר ייכנס לתוקפו ביום </w:t>
      </w:r>
      <w:r>
        <w:rPr/>
        <w:t>10.7.2019</w:t>
      </w:r>
      <w:r>
        <w:rPr>
          <w:rtl w:val="true"/>
        </w:rPr>
        <w:t xml:space="preserve">, </w:t>
      </w:r>
      <w:r>
        <w:rPr>
          <w:rtl w:val="true"/>
        </w:rPr>
        <w:t xml:space="preserve">כפי שקובע סעיף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לתיקון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ומשכך כי הרשעת המערער היא בעבירת ההריגה בקלות דעת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ascii="Century" w:hAnsi="Century" w:cs="Miriam"/>
          <w:b/>
          <w:b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  <w:color w:val="000000"/>
          <w:sz w:val="28"/>
        </w:rPr>
      </w:pP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19.9.2019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גזר בית המשפט המחוזי את דינו של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בפתח גזר הדין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,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tl w:val="true"/>
        </w:rPr>
        <w:t xml:space="preserve">עמד בית המשפט המחוזי על כך שביום </w:t>
      </w:r>
      <w:r>
        <w:rPr/>
        <w:t>10.7.2019</w:t>
      </w:r>
      <w:r>
        <w:rPr>
          <w:rtl w:val="true"/>
        </w:rPr>
        <w:t xml:space="preserve"> </w:t>
      </w:r>
      <w:r>
        <w:rPr>
          <w:rtl w:val="true"/>
        </w:rPr>
        <w:t xml:space="preserve">נכנס לתוקפו 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 xml:space="preserve">ומשכך חלה הוראת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לפיה יחול על העושה הדין המקל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לתיקון </w:t>
      </w:r>
      <w:r>
        <w:rPr/>
        <w:t>137</w:t>
      </w:r>
      <w:r>
        <w:rPr>
          <w:rtl w:val="true"/>
        </w:rPr>
        <w:t xml:space="preserve">).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 עבירת ההמתה בקלות דעת</w:t>
      </w:r>
      <w:r>
        <w:rPr>
          <w:rtl w:val="true"/>
        </w:rPr>
        <w:t xml:space="preserve">, </w:t>
      </w:r>
      <w:r>
        <w:rPr>
          <w:rtl w:val="true"/>
        </w:rPr>
        <w:t>שהעונש הקבוע בצידה מקל מזה הקבוע בעבירת ההריגה</w:t>
      </w:r>
      <w:r>
        <w:rPr>
          <w:rtl w:val="true"/>
        </w:rPr>
        <w:t xml:space="preserve">, </w:t>
      </w:r>
      <w:r>
        <w:rPr>
          <w:rtl w:val="true"/>
        </w:rPr>
        <w:t>היא הדין המקל בנסיבות המקרה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גזר הדין יינתן בהתאם לעבירת ההמתה בקלות דעת </w:t>
      </w:r>
      <w:r>
        <w:rPr>
          <w:rtl w:val="true"/>
        </w:rPr>
        <w:t>(</w:t>
      </w:r>
      <w:r>
        <w:rPr>
          <w:rtl w:val="true"/>
        </w:rPr>
        <w:t xml:space="preserve">כאמור </w:t>
      </w:r>
      <w:hyperlink r:id="rId3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 אין בשינוי סעיף העבירה כדי להצדיק שינוי במתחמי העונש ההולם ובעונשים המוטלים</w:t>
      </w:r>
      <w:r>
        <w:rPr>
          <w:rtl w:val="true"/>
        </w:rPr>
        <w:t xml:space="preserve">, </w:t>
      </w:r>
      <w:r>
        <w:rPr>
          <w:rtl w:val="true"/>
        </w:rPr>
        <w:t>בהשוואה לאלו שהיו נוהגים בנסיבות דומות בעבירת ההריגה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במצבים הרווחים של עבירת הריגה בקלות דעת</w:t>
      </w:r>
      <w:r>
        <w:rPr>
          <w:rtl w:val="true"/>
        </w:rPr>
        <w:t xml:space="preserve">, </w:t>
      </w:r>
      <w:r>
        <w:rPr>
          <w:rtl w:val="true"/>
        </w:rPr>
        <w:t>מתחמי העונשים ההולמים עומדים על תקופות מאסר קצרות מ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 xml:space="preserve">ממילא אין בתיקון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כדי לשנות לעניין זה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Ruehl;Times New Roman" w:hAnsi="FrankRuehl;Times New Roman" w:cs="FrankRuehl;Times New Roman"/>
          <w:color w:val="000000"/>
          <w:sz w:val="28"/>
        </w:rPr>
      </w:pP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בפנותו לקביעת מתחם העונש ההולם</w:t>
      </w:r>
      <w:r>
        <w:rPr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בחן תחילה בית המשפט קמא את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תסקיר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שירות המבחן שהוגש בעניינו של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בתסקיר צוין כי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השלים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עם תעודת בגרות ועובד כנהג הסעות</w:t>
      </w:r>
      <w:r>
        <w:rPr>
          <w:rtl w:val="true"/>
        </w:rPr>
        <w:t xml:space="preserve">. </w:t>
      </w:r>
      <w:r>
        <w:rPr>
          <w:rtl w:val="true"/>
        </w:rPr>
        <w:t>עוד עלה מהתסקיר</w:t>
      </w:r>
      <w:r>
        <w:rPr>
          <w:rtl w:val="true"/>
        </w:rPr>
        <w:t xml:space="preserve">, </w:t>
      </w:r>
      <w:r>
        <w:rPr>
          <w:rtl w:val="true"/>
        </w:rPr>
        <w:t>כי המערער הביע בפני שירות המבחן כאב וחרטה על מעשיו</w:t>
      </w:r>
      <w:r>
        <w:rPr>
          <w:rtl w:val="true"/>
        </w:rPr>
        <w:t xml:space="preserve">, </w:t>
      </w:r>
      <w:r>
        <w:rPr>
          <w:rtl w:val="true"/>
        </w:rPr>
        <w:t>אך לצד זאת</w:t>
      </w:r>
      <w:r>
        <w:rPr>
          <w:rtl w:val="true"/>
        </w:rPr>
        <w:t xml:space="preserve">, </w:t>
      </w:r>
      <w:r>
        <w:rPr>
          <w:rtl w:val="true"/>
        </w:rPr>
        <w:t>כי בתיאוריו השתמש במנגנוני הגנה והתקשה להעמיק בחלקו בתאונה</w:t>
      </w:r>
      <w:r>
        <w:rPr>
          <w:rtl w:val="true"/>
        </w:rPr>
        <w:t xml:space="preserve">. </w:t>
      </w:r>
      <w:r>
        <w:rPr>
          <w:rtl w:val="true"/>
        </w:rPr>
        <w:t>שירות המבחן העריך כי הדבר נובע מהבנת המערער את חומרת מעשיו ותוצאותיו</w:t>
      </w:r>
      <w:r>
        <w:rPr>
          <w:rtl w:val="true"/>
        </w:rPr>
        <w:t xml:space="preserve">, </w:t>
      </w:r>
      <w:r>
        <w:rPr>
          <w:rtl w:val="true"/>
        </w:rPr>
        <w:t>והקושי לשאת אותם</w:t>
      </w:r>
      <w:r>
        <w:rPr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בנסיבות אלה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ולאור מכלול נתוניו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המליץ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שירות המבחן להשית על המערער עונש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מאסר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שירוצה בעבודות שירות</w:t>
      </w:r>
      <w:r>
        <w:rPr>
          <w:rtl w:val="true"/>
        </w:rPr>
        <w:t xml:space="preserve">, </w:t>
      </w:r>
      <w:r>
        <w:rPr>
          <w:rtl w:val="true"/>
        </w:rPr>
        <w:t>לצד מאסר מותנה</w:t>
      </w:r>
      <w:r>
        <w:rPr>
          <w:rtl w:val="true"/>
        </w:rPr>
        <w:t xml:space="preserve">, </w:t>
      </w:r>
      <w:r>
        <w:rPr>
          <w:rtl w:val="true"/>
        </w:rPr>
        <w:t>פיצויים למשפחת המנוח וצו מבחן במהלכו ישתלב המערער בקבוצה טיפולית</w:t>
      </w:r>
      <w:r>
        <w:rPr>
          <w:rtl w:val="true"/>
        </w:rPr>
        <w:t xml:space="preserve">. </w:t>
      </w:r>
      <w:r>
        <w:rPr>
          <w:rtl w:val="true"/>
        </w:rPr>
        <w:t>בית המשפט המחוזי גם נתן דעתו ל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תסקיר נפגעי העבירה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אשר תיאר את מצבה העגום של משפחת המנוח והקשיים </w:t>
      </w:r>
      <w:r>
        <w:rPr>
          <w:rtl w:val="true"/>
        </w:rPr>
        <w:t>עימם נאלצה להתמודד לאחר מותו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הביא בית המשפט המחוזי במניין שיקוליו את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הערכים החברתיים שנפגעו ומידת הפגיעה בהם</w:t>
      </w:r>
      <w:r>
        <w:rPr>
          <w:rtl w:val="true"/>
        </w:rPr>
        <w:t xml:space="preserve">, </w:t>
      </w:r>
      <w:r>
        <w:rPr>
          <w:rtl w:val="true"/>
        </w:rPr>
        <w:t>וכן את מדיניות הענישה הנהוגה במקרים דומים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יש לראות בהתנהגות 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כביטוי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בקלות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דעת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לגרימת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המנוח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גבוהה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מאוד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  <w:r>
        <w:rPr>
          <w:rtl w:val="true"/>
        </w:rPr>
        <w:t>לאחר בחינת השיקולים האמורים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המחוזי את מתחם העונש ההולם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כן נקבע מתחם פסילה מלקבל או להחזיק רישיון נהיגה לתקופה שבין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 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hd w:fill="FFFFFF" w:val="clear"/>
          <w:rtl w:val="true"/>
        </w:rPr>
        <w:t xml:space="preserve">בבואו לגזור את </w:t>
      </w:r>
      <w:r>
        <w:rPr>
          <w:shd w:fill="FFFFFF" w:val="clear"/>
          <w:rtl w:val="true"/>
        </w:rPr>
        <w:t xml:space="preserve">דינו </w:t>
      </w:r>
      <w:r>
        <w:rPr>
          <w:shd w:fill="FFFFFF" w:val="clear"/>
          <w:rtl w:val="true"/>
        </w:rPr>
        <w:t>של המערער</w:t>
      </w:r>
      <w:r>
        <w:rPr>
          <w:shd w:fill="FFFFFF" w:val="clear"/>
          <w:rtl w:val="true"/>
        </w:rPr>
        <w:t xml:space="preserve"> בתוך המתחם</w:t>
      </w:r>
      <w:r>
        <w:rPr>
          <w:shd w:fill="FFFFFF" w:val="clear"/>
          <w:rtl w:val="true"/>
        </w:rPr>
        <w:t xml:space="preserve">, </w:t>
      </w:r>
      <w:r>
        <w:rPr>
          <w:rtl w:val="true"/>
        </w:rPr>
        <w:t xml:space="preserve">שקל בית המשפט את גילו הצעיר של המערער </w:t>
      </w:r>
      <w:r>
        <w:rPr>
          <w:rtl w:val="true"/>
        </w:rPr>
        <w:t>(</w:t>
      </w:r>
      <w:r>
        <w:rPr>
          <w:rtl w:val="true"/>
        </w:rPr>
        <w:t xml:space="preserve">יליד שנת </w:t>
      </w:r>
      <w:r>
        <w:rPr/>
        <w:t>1996</w:t>
      </w:r>
      <w:r>
        <w:rPr>
          <w:rtl w:val="true"/>
        </w:rPr>
        <w:t xml:space="preserve">); </w:t>
      </w:r>
      <w:r>
        <w:rPr>
          <w:rtl w:val="true"/>
        </w:rPr>
        <w:t>היעדר עבר פלילי</w:t>
      </w:r>
      <w:r>
        <w:rPr>
          <w:rtl w:val="true"/>
        </w:rPr>
        <w:t xml:space="preserve">;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העובדה כי לקח אחריות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לתאונה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והביע חרטה על מעשיו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הפגיעה הצפויה של העונש בו ובמשפחתו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הצער שהוא חווה על תוצאות מעשיו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ומצבו הרגשי מאז התאונה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את המלצת שירות המבחן לקבוע עונש מאסר בעבודות שירות</w:t>
      </w:r>
      <w:r>
        <w:rPr>
          <w:rtl w:val="true"/>
        </w:rPr>
        <w:t xml:space="preserve">.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 המלצה זו איננה תואמת את מעשה המערער</w:t>
      </w:r>
      <w:r>
        <w:rPr>
          <w:rtl w:val="true"/>
        </w:rPr>
        <w:t xml:space="preserve">, </w:t>
      </w:r>
      <w:r>
        <w:rPr>
          <w:rtl w:val="true"/>
        </w:rPr>
        <w:t>תוצאותיו או נסיבותיו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קמא </w:t>
      </w:r>
      <w:r>
        <w:rPr>
          <w:shd w:fill="FFFFFF" w:val="clear"/>
          <w:rtl w:val="true"/>
        </w:rPr>
        <w:t xml:space="preserve">זקף לחובת המערער את העובדה כי </w:t>
      </w:r>
      <w:r>
        <w:rPr>
          <w:shd w:fill="FFFFFF" w:val="clear"/>
          <w:rtl w:val="true"/>
        </w:rPr>
        <w:t xml:space="preserve">זמן קצר בלבד </w:t>
      </w:r>
      <w:r>
        <w:rPr>
          <w:shd w:fill="FFFFFF" w:val="clear"/>
          <w:rtl w:val="true"/>
        </w:rPr>
        <w:t>לאחר האירוע הטרגי מושא הערעור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ובעודו פסול מלנהוג </w:t>
      </w:r>
      <w:r>
        <w:rPr>
          <w:shd w:fill="FFFFFF" w:val="clear"/>
          <w:rtl w:val="true"/>
        </w:rPr>
        <w:t>עד לתום ההליכים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נתפס המערער</w:t>
      </w:r>
      <w:r>
        <w:rPr>
          <w:shd w:fill="FFFFFF" w:val="clear"/>
          <w:rtl w:val="true"/>
        </w:rPr>
        <w:t xml:space="preserve"> נוהג באזורים מרוחקים מאוד ממקום מגוריו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והורשע בביצוע עבירות תעבורה הכרוכות בנהיגה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 xml:space="preserve">עבירות מימים </w:t>
      </w:r>
      <w:r>
        <w:rPr>
          <w:shd w:fill="FFFFFF" w:val="clear"/>
        </w:rPr>
        <w:t>13.5.2018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</w:rPr>
        <w:t>17.6.2018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</w:t>
      </w:r>
      <w:r>
        <w:rPr>
          <w:shd w:fill="FFFFFF" w:val="clear"/>
          <w:rtl w:val="true"/>
        </w:rPr>
        <w:t>-</w:t>
      </w:r>
      <w:r>
        <w:rPr>
          <w:shd w:fill="FFFFFF" w:val="clear"/>
        </w:rPr>
        <w:t>7.9.2018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כפי שהופיעו בגיליון המרשם הפלילי</w:t>
      </w:r>
      <w:r>
        <w:rPr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הוטעם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כי יש בכך כדי ללמד על הזלזול של המערער בדין ובאוכפיו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ולהצביע על המשקל הרב שיש לייחס לשיקול הרתעת המערער מהתנהגות דומה בעתיד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.</w:t>
      </w:r>
      <w:r>
        <w:rPr>
          <w:rtl w:val="true"/>
        </w:rPr>
        <w:t xml:space="preserve"> </w:t>
      </w:r>
      <w:r>
        <w:rPr>
          <w:shd w:fill="FFFFFF" w:val="clear"/>
          <w:rtl w:val="true"/>
        </w:rPr>
        <w:t>להשלמת התמונה יוער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כי לחובת המערער נרשמה עבירת תעבורה נוספת ביום </w:t>
      </w:r>
      <w:r>
        <w:rPr>
          <w:shd w:fill="FFFFFF" w:val="clear"/>
        </w:rPr>
        <w:t>22.4.2019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בגין אי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ציות לרמזור אדום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אשר לא הובאה בחשבון בגזר הדין משום שהיא טרם נוספה לגיליונו הפלילי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להלן</w:t>
      </w:r>
      <w:r>
        <w:rPr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אי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ציות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לרמזור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אדום</w:t>
      </w:r>
      <w:r>
        <w:rPr>
          <w:shd w:fill="FFFFFF" w:val="clear"/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כל אלה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</w:t>
      </w:r>
      <w:r>
        <w:rPr>
          <w:rtl w:val="true"/>
        </w:rPr>
        <w:t>המחוזי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 יש להעמיד את עונש המאסר</w:t>
      </w:r>
      <w:r>
        <w:rPr>
          <w:rtl w:val="true"/>
        </w:rPr>
        <w:t xml:space="preserve"> בפועל שיושת על המערער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r>
        <w:rPr>
          <w:rtl w:val="true"/>
        </w:rPr>
        <w:t>בניכוי ימי מעצרו</w:t>
      </w:r>
      <w:r>
        <w:rPr>
          <w:rtl w:val="true"/>
        </w:rPr>
        <w:t xml:space="preserve">), </w:t>
      </w:r>
      <w:r>
        <w:rPr>
          <w:rtl w:val="true"/>
        </w:rPr>
        <w:t xml:space="preserve">וכן לגזור עליו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פסילה מלקבל או להחזיק רישיון נהיגה 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, </w:t>
      </w:r>
      <w:r>
        <w:rPr>
          <w:rtl w:val="true"/>
        </w:rPr>
        <w:t>לבל יעבור עבירת המתה בקלות דעת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חויב המערער בתשלום פיצוי לאלמנת המנוח בסך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ולהורי המנוח בסך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 xml:space="preserve">הם המשיבים </w:t>
      </w:r>
      <w:r>
        <w:rPr/>
        <w:t>2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ascii="Century" w:hAnsi="Century" w:cs="Miriam"/>
          <w:b/>
          <w:b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  <w:b/>
          <w:szCs w:val="24"/>
        </w:rPr>
      </w:pPr>
      <w:r>
        <w:rPr>
          <w:rFonts w:cs="Century" w:ascii="Century" w:hAnsi="Century"/>
          <w:b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מכוון הן נגד הכרעת הדין והן נגד גזר הדין</w:t>
      </w:r>
      <w:r>
        <w:rPr>
          <w:rtl w:val="true"/>
        </w:rPr>
        <w:t xml:space="preserve">. </w:t>
      </w:r>
      <w:r>
        <w:rPr>
          <w:rtl w:val="true"/>
        </w:rPr>
        <w:t>אשר להכרעת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טוען המערער כי ביצוע השלמת החקירה לאחר הגשת כתב האישום </w:t>
      </w:r>
      <w:r>
        <w:rPr>
          <w:rtl w:val="true"/>
        </w:rPr>
        <w:t>(</w:t>
      </w:r>
      <w:r>
        <w:rPr>
          <w:rtl w:val="true"/>
        </w:rPr>
        <w:t>וכפועל יוצא</w:t>
      </w:r>
      <w:r>
        <w:rPr>
          <w:rtl w:val="true"/>
        </w:rPr>
        <w:t xml:space="preserve">, </w:t>
      </w:r>
      <w:r>
        <w:rPr>
          <w:rtl w:val="true"/>
        </w:rPr>
        <w:t>תיקון כתב האישום</w:t>
      </w:r>
      <w:r>
        <w:rPr>
          <w:rtl w:val="true"/>
        </w:rPr>
        <w:t xml:space="preserve">), </w:t>
      </w:r>
      <w:r>
        <w:rPr>
          <w:rtl w:val="true"/>
        </w:rPr>
        <w:t>נעשתה בניגוד להנחייה מס</w:t>
      </w:r>
      <w:r>
        <w:rPr>
          <w:rtl w:val="true"/>
        </w:rPr>
        <w:t xml:space="preserve">' </w:t>
      </w:r>
      <w:r>
        <w:rPr/>
        <w:t>6.11</w:t>
      </w:r>
      <w:r>
        <w:rPr>
          <w:rtl w:val="true"/>
        </w:rPr>
        <w:t xml:space="preserve"> </w:t>
      </w:r>
      <w:r>
        <w:rPr>
          <w:rtl w:val="true"/>
        </w:rPr>
        <w:t>של פרקליט המדינה</w:t>
      </w:r>
      <w:r>
        <w:rPr>
          <w:rtl w:val="true"/>
        </w:rPr>
        <w:t xml:space="preserve">, </w:t>
      </w:r>
      <w:r>
        <w:rPr>
          <w:rtl w:val="true"/>
        </w:rPr>
        <w:t>המורה כי פעולת השלמת חקירה לאחר הגשת כתב אישום כפופה לאישור פרקליט המחוז</w:t>
      </w:r>
      <w:r>
        <w:rPr>
          <w:rtl w:val="true"/>
        </w:rPr>
        <w:t xml:space="preserve">, </w:t>
      </w:r>
      <w:r>
        <w:rPr>
          <w:rtl w:val="true"/>
        </w:rPr>
        <w:t>ותיעשה בנסיבות חריגות בלבד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אישור כאמור לא הומצא לבית המשפט</w:t>
      </w:r>
      <w:r>
        <w:rPr>
          <w:rtl w:val="true"/>
        </w:rPr>
        <w:t xml:space="preserve">, </w:t>
      </w:r>
      <w:r>
        <w:rPr>
          <w:rtl w:val="true"/>
        </w:rPr>
        <w:t>וחומרי החקירה היו בידי המשיבה עוד בטרם הוגש כתב האישום</w:t>
      </w:r>
      <w:r>
        <w:rPr>
          <w:rtl w:val="true"/>
        </w:rPr>
        <w:t xml:space="preserve">, </w:t>
      </w:r>
      <w:r>
        <w:rPr>
          <w:rtl w:val="true"/>
        </w:rPr>
        <w:t>ולפיכך לא מתקיימות נסיבות חריגות כאמור המצדיקות ביצוע פעולות השלמת חקירה לאחר הגשת כתב האישום</w:t>
      </w:r>
      <w:r>
        <w:rPr>
          <w:rtl w:val="true"/>
        </w:rPr>
        <w:t xml:space="preserve">. </w:t>
      </w:r>
      <w:r>
        <w:rPr>
          <w:rtl w:val="true"/>
        </w:rPr>
        <w:t>עוד טוען המערער</w:t>
      </w:r>
      <w:r>
        <w:rPr>
          <w:rtl w:val="true"/>
        </w:rPr>
        <w:t xml:space="preserve">, </w:t>
      </w:r>
      <w:r>
        <w:rPr>
          <w:rtl w:val="true"/>
        </w:rPr>
        <w:t>כי לא היה מקום להרשיעו בעבירת הריגה</w:t>
      </w:r>
      <w:r>
        <w:rPr>
          <w:rtl w:val="true"/>
        </w:rPr>
        <w:t xml:space="preserve">, </w:t>
      </w:r>
      <w:r>
        <w:rPr>
          <w:rtl w:val="true"/>
        </w:rPr>
        <w:t>אלא בעבירת גרימת מוות ברשלנות בלבד</w:t>
      </w:r>
      <w:r>
        <w:rPr>
          <w:rtl w:val="true"/>
        </w:rPr>
        <w:t xml:space="preserve">, </w:t>
      </w:r>
      <w:r>
        <w:rPr>
          <w:rtl w:val="true"/>
        </w:rPr>
        <w:t>שכן לא מתקיים בו יסוד הנפשי הנדרש להרשעתו בעבירת ההריגה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מדגיש המערער כי בניגוד לקביעת בית המשפט קמא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לאורך חקירתו במשטרה שמר בעקביות על גרסתו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לפיה לא הבחין בכך שהאור ברמזור התחלף מירוק עד לרגע לפני התאונה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ולא בשלב מוקדם יותר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באופן המלמד על מודעות המערער לאפשרות גרימת התאונה ועל נטילת סיכון בלתי סביר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כפי שקבע בית המשפט קמא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זאת ועוד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לעמדת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אין כל ראיה התומכת בכך שהייתה לו מודעות לאפשרות התרחשות התאונה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על תוצאותיה הקטלניות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כנדרש בפסיקה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נהפוך הוא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אופן נהיגתו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אשר נותרה קבועה לכל אורך נסיעתו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מלמדת על שנכנס לצומת באור אדום </w:t>
      </w:r>
      <w:r>
        <w:rPr>
          <w:rtl w:val="true"/>
        </w:rPr>
        <w:t>בהיסח הדעת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 המערער כי למצער</w:t>
      </w:r>
      <w:r>
        <w:rPr>
          <w:rtl w:val="true"/>
        </w:rPr>
        <w:t xml:space="preserve">, </w:t>
      </w:r>
      <w:r>
        <w:rPr>
          <w:rtl w:val="true"/>
        </w:rPr>
        <w:t>יש להמיר את הרשעתו בעבירת המתה בקלות דעת</w:t>
      </w:r>
      <w:r>
        <w:rPr>
          <w:rtl w:val="true"/>
        </w:rPr>
        <w:t xml:space="preserve">, </w:t>
      </w:r>
      <w:r>
        <w:rPr>
          <w:rtl w:val="true"/>
        </w:rPr>
        <w:t>שהיא הדין המקל עימו</w:t>
      </w:r>
      <w:r>
        <w:rPr>
          <w:rtl w:val="true"/>
        </w:rPr>
        <w:t xml:space="preserve">, </w:t>
      </w:r>
      <w:r>
        <w:rPr>
          <w:rtl w:val="true"/>
        </w:rPr>
        <w:t xml:space="preserve">כפי שקובע תיקון </w:t>
      </w:r>
      <w:r>
        <w:rPr/>
        <w:t>137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אשר לגזר הדין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טוען המערער כי עונש המאסר שנגזר עליו אינו </w:t>
      </w:r>
      <w:r>
        <w:rPr>
          <w:rtl w:val="true"/>
        </w:rPr>
        <w:t>עולה בקנה אחד עם השינוי שמבטאת עבירת ההמתה בקלות דעת</w:t>
      </w:r>
      <w:r>
        <w:rPr>
          <w:rtl w:val="true"/>
        </w:rPr>
        <w:t xml:space="preserve">. </w:t>
      </w:r>
      <w:r>
        <w:rPr>
          <w:rtl w:val="true"/>
        </w:rPr>
        <w:t>עוד לטענת המערער</w:t>
      </w:r>
      <w:r>
        <w:rPr>
          <w:rtl w:val="true"/>
        </w:rPr>
        <w:t xml:space="preserve">, </w:t>
      </w:r>
      <w:r>
        <w:rPr>
          <w:rtl w:val="true"/>
        </w:rPr>
        <w:t>כי מתחם העונש ההולם נקבע על סמך פסיקה השונה מהותית מהעבירה בה הורשע</w:t>
      </w:r>
      <w:r>
        <w:rPr>
          <w:rtl w:val="true"/>
        </w:rPr>
        <w:t xml:space="preserve">, </w:t>
      </w:r>
      <w:r>
        <w:rPr>
          <w:rtl w:val="true"/>
        </w:rPr>
        <w:t>ולמעשה מייצגת ענישה קלה משמעותית מזו שהושתה על המערער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פסיקה זו אינה משקפת</w:t>
      </w:r>
      <w:r>
        <w:rPr>
          <w:rtl w:val="true"/>
        </w:rPr>
        <w:t xml:space="preserve">, </w:t>
      </w:r>
      <w:r>
        <w:rPr>
          <w:rtl w:val="true"/>
        </w:rPr>
        <w:t>לדידו של המערער</w:t>
      </w:r>
      <w:r>
        <w:rPr>
          <w:rtl w:val="true"/>
        </w:rPr>
        <w:t xml:space="preserve">, </w:t>
      </w:r>
      <w:r>
        <w:rPr>
          <w:rtl w:val="true"/>
        </w:rPr>
        <w:t>את השינוי שנעשה במסגרת עבירת המתה בקלות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באשר ניתנה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עובר לתיקון </w:t>
      </w:r>
      <w:r>
        <w:rPr>
          <w:rFonts w:cs="FrankRuehl;Times New Roman" w:ascii="FrankRuehl;Times New Roman" w:hAnsi="FrankRuehl;Times New Roman"/>
          <w:sz w:val="28"/>
        </w:rPr>
        <w:t>137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. </w:t>
      </w:r>
      <w:r>
        <w:rPr>
          <w:rtl w:val="true"/>
        </w:rPr>
        <w:t>לעמדת המערער</w:t>
      </w:r>
      <w:r>
        <w:rPr>
          <w:rtl w:val="true"/>
        </w:rPr>
        <w:t xml:space="preserve">, </w:t>
      </w:r>
      <w:r>
        <w:rPr>
          <w:rtl w:val="true"/>
        </w:rPr>
        <w:t>מתחם העונש ההולם בגין העבירות בהן הורשע ובנסיבות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לבין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לשיטת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לצורך קביעת עונש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ו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בתוך המתחם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לא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ניתן משקל ראוי לנסיבותיו האישיות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ובכללן גילו הצעיר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עברו הנקי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הודאתו בהזדמנות הראשונה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וכן אורח חייו הנורמטיבי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זאת ועוד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לדברי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שגה בית המשפט המחוזי כאשר נזקק במסגרת הטיעונים לעונש לגיליון הרשעותיו בעבירות תעבורה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והדבר אף מנוגד לשיטתו לאמור </w:t>
      </w:r>
      <w:hyperlink r:id="rId32"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hd w:fill="FFFFFF" w:val="clear"/>
            <w:rtl w:val="true"/>
          </w:rPr>
          <w:t>בסעיף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hd w:fill="FFFFFF" w:val="clear"/>
            <w:rtl w:val="true"/>
          </w:rPr>
          <w:t xml:space="preserve"> </w:t>
        </w:r>
        <w:r>
          <w:rPr>
            <w:rStyle w:val="Hyperlink"/>
            <w:rFonts w:cs="FrankRuehl;Times New Roman" w:ascii="FrankRuehl;Times New Roman" w:hAnsi="FrankRuehl;Times New Roman"/>
            <w:sz w:val="28"/>
            <w:shd w:fill="FFFFFF" w:val="clear"/>
          </w:rPr>
          <w:t>188</w:t>
        </w:r>
        <w:r>
          <w:rPr>
            <w:rStyle w:val="Hyperlink"/>
            <w:rFonts w:cs="FrankRuehl;Times New Roman" w:ascii="FrankRuehl;Times New Roman" w:hAnsi="FrankRuehl;Times New Roman"/>
            <w:sz w:val="28"/>
            <w:shd w:fill="FFFFFF" w:val="clear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hd w:fill="FFFFFF" w:val="clear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8"/>
            <w:shd w:fill="FFFFFF" w:val="clear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sz w:val="28"/>
            <w:shd w:fill="FFFFFF" w:val="clear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sz w:val="28"/>
            <w:shd w:fill="FFFFFF" w:val="clear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</w:t>
      </w:r>
      <w:hyperlink r:id="rId33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חוק סדר הדין הפלילי</w:t>
        </w:r>
      </w:hyperlink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[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נוסח משולב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],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התשמ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-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1982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להלן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הפלילי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זאת משום שכפר בעבירות המנויות בו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בהקשר זה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מבהיר המערער כי מעולם לא ראה את דו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חות התעבורה האמורים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והוא הורשע בביצוען אך מכוח </w:t>
      </w:r>
      <w:hyperlink r:id="rId34"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hd w:fill="FFFFFF" w:val="clear"/>
            <w:rtl w:val="true"/>
          </w:rPr>
          <w:t>סעיף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hd w:fill="FFFFFF" w:val="clear"/>
            <w:rtl w:val="true"/>
          </w:rPr>
          <w:t xml:space="preserve"> </w:t>
        </w:r>
        <w:r>
          <w:rPr>
            <w:rStyle w:val="Hyperlink"/>
            <w:rFonts w:cs="FrankRuehl;Times New Roman" w:ascii="FrankRuehl;Times New Roman" w:hAnsi="FrankRuehl;Times New Roman"/>
            <w:sz w:val="28"/>
            <w:shd w:fill="FFFFFF" w:val="clear"/>
          </w:rPr>
          <w:t>229</w:t>
        </w:r>
        <w:r>
          <w:rPr>
            <w:rStyle w:val="Hyperlink"/>
            <w:rFonts w:cs="FrankRuehl;Times New Roman" w:ascii="FrankRuehl;Times New Roman" w:hAnsi="FrankRuehl;Times New Roman"/>
            <w:sz w:val="28"/>
            <w:shd w:fill="FFFFFF" w:val="clear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hd w:fill="FFFFFF" w:val="clear"/>
            <w:rtl w:val="true"/>
          </w:rPr>
          <w:t>ח</w:t>
        </w:r>
        <w:r>
          <w:rPr>
            <w:rStyle w:val="Hyperlink"/>
            <w:rFonts w:cs="FrankRuehl;Times New Roman" w:ascii="FrankRuehl;Times New Roman" w:hAnsi="FrankRuehl;Times New Roman"/>
            <w:sz w:val="28"/>
            <w:shd w:fill="FFFFFF" w:val="clear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sz w:val="28"/>
            <w:shd w:fill="FFFFFF" w:val="clear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</w:t>
      </w:r>
      <w:hyperlink r:id="rId35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חוק סדר הדין הפלילי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המערער אף הבהיר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כי ככל שלבית משפט זה נתונה הסמכות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הוא מעוניין להישפט בגינם ולכפור על עצם קבלתם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בהתאם לאמור </w:t>
      </w:r>
      <w:hyperlink r:id="rId36"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hd w:fill="FFFFFF" w:val="clear"/>
            <w:rtl w:val="true"/>
          </w:rPr>
          <w:t>בסעיף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hd w:fill="FFFFFF" w:val="clear"/>
            <w:rtl w:val="true"/>
          </w:rPr>
          <w:t xml:space="preserve"> </w:t>
        </w:r>
        <w:r>
          <w:rPr>
            <w:rStyle w:val="Hyperlink"/>
            <w:rFonts w:cs="FrankRuehl;Times New Roman" w:ascii="FrankRuehl;Times New Roman" w:hAnsi="FrankRuehl;Times New Roman"/>
            <w:sz w:val="28"/>
            <w:shd w:fill="FFFFFF" w:val="clear"/>
          </w:rPr>
          <w:t>230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</w:t>
      </w:r>
      <w:hyperlink r:id="rId37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חוק סדר הדין הפלילי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). </w:t>
      </w:r>
      <w:r>
        <w:rPr>
          <w:rtl w:val="true"/>
        </w:rPr>
        <w:t>המערער טוען בנוסף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סטה באופן משמעותי מהמלצתו של שירות המבחן להימנע מהטלת 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>ומבקש לאמץ המלצה זו במסגרת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tl w:val="true"/>
        </w:rPr>
        <w:t>בפתח הדברים הבהירה המשיבה</w:t>
      </w:r>
      <w:r>
        <w:rPr>
          <w:rtl w:val="true"/>
        </w:rPr>
        <w:t xml:space="preserve">, </w:t>
      </w:r>
      <w:r>
        <w:rPr>
          <w:rtl w:val="true"/>
        </w:rPr>
        <w:t>כי היא מסכימה לכך שיש להמיר את הרשעת המערער בעבירת המ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תה בקלות דעת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במקום בעבירת הריגה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וזאת לאור תיקון </w:t>
      </w:r>
      <w:r>
        <w:rPr>
          <w:rFonts w:cs="FrankRuehl;Times New Roman" w:ascii="FrankRuehl;Times New Roman" w:hAnsi="FrankRuehl;Times New Roman"/>
          <w:sz w:val="28"/>
        </w:rPr>
        <w:t>137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מעבר לכך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tl w:val="true"/>
        </w:rPr>
        <w:t>סומכת המשיבה ידה על פסק דינו של בית המשפט המחוזי מנימוקיו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לשיטתה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מהתנהגות המערער ואמרותיו עולה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בבירור מודעותו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לכך שהרמזור בצומת התחלף לאדום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כי הוא צפה בפועל את אפשרות גרימת התוצאה הקטלנית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אף אם קיווה כי יצליח למנ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ע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עוד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לטענת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המשיבה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,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כי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אין כל עילה להתערב בעונש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שהוטל על המערע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העובדה כי עניינו של המערער בא בגדר עבירת ההמתה בקלות דעת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לפי החוק בנוסחו לאחר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תיקון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137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אינה עילה להקלה במתחם העונש ובעונש שהוטל על ידי בית המשפט המחוז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י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עונשו של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כך טוענת המשיבה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מקיים יחס הולם לחומרת העבירה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טענתה זו מתחדדת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לעמדתה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לנוכח עברו התעבורתי המכביד של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וכן בשים לב לכך שחלקו בעבירות תעבורה אשר בוצעו לאחר פסילת רישיונו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לרבות עבירת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 xml:space="preserve">ציות לרמזור אדום </w:t>
      </w:r>
      <w:r>
        <w:rPr>
          <w:rtl w:val="true"/>
        </w:rPr>
        <w:t>(</w:t>
      </w:r>
      <w:r>
        <w:rPr>
          <w:rtl w:val="true"/>
        </w:rPr>
        <w:t>אשר מאז ניתן גזר הדין</w:t>
      </w:r>
      <w:r>
        <w:rPr>
          <w:rtl w:val="true"/>
        </w:rPr>
        <w:t xml:space="preserve">, </w:t>
      </w:r>
      <w:r>
        <w:rPr>
          <w:rtl w:val="true"/>
        </w:rPr>
        <w:t>נוספה לגיליונו הפלילי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shd w:fill="FFFFFF" w:val="clear"/>
          <w:rtl w:val="true"/>
        </w:rPr>
        <w:t xml:space="preserve">ביום </w:t>
      </w:r>
      <w:r>
        <w:rPr>
          <w:shd w:fill="FFFFFF" w:val="clear"/>
        </w:rPr>
        <w:t>10.1.2021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הוכן תסקיר שירות מבחן עדכני בעניינו של המערער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בפתח התסקיר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ציין שירות המבחן את התהליך החיובי אותו עובר המערער ופנייתו לדרך של שיקום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בתוך כך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נמסר כי המערער מקיים קשר עם גורמי הטיפול בשירות בתי הסוהר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השתתף בקבוצות טיפוליות בתחום כישורי חיים ושליטה בכעסים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והחל מחודש מאי </w:t>
      </w:r>
      <w:r>
        <w:rPr>
          <w:shd w:fill="FFFFFF" w:val="clear"/>
        </w:rPr>
        <w:t>2020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השתלב בטיפול במחלקת תעבורה</w:t>
      </w:r>
      <w:r>
        <w:rPr>
          <w:shd w:fill="FFFFFF" w:val="clear"/>
          <w:rtl w:val="true"/>
        </w:rPr>
        <w:t>.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19.7.2021</w:t>
      </w:r>
      <w:r>
        <w:rPr>
          <w:rtl w:val="true"/>
        </w:rPr>
        <w:t xml:space="preserve"> </w:t>
      </w:r>
      <w:r>
        <w:rPr>
          <w:rtl w:val="true"/>
        </w:rPr>
        <w:t>הוגש לעיוננו תסקיר משלים מטעם שירות המבחן</w:t>
      </w:r>
      <w:r>
        <w:rPr>
          <w:rtl w:val="true"/>
        </w:rPr>
        <w:t xml:space="preserve">, </w:t>
      </w:r>
      <w:r>
        <w:rPr>
          <w:rtl w:val="true"/>
        </w:rPr>
        <w:t>ובו עלתה התרשמות חיובית מתפקודו של המערער במאסר</w:t>
      </w:r>
      <w:r>
        <w:rPr>
          <w:rtl w:val="true"/>
        </w:rPr>
        <w:t xml:space="preserve">, </w:t>
      </w:r>
      <w:r>
        <w:rPr>
          <w:rtl w:val="true"/>
        </w:rPr>
        <w:t xml:space="preserve">למעט עבירת משמעת אחת שנרשמה לחובתו ביום </w:t>
      </w:r>
      <w:r>
        <w:rPr/>
        <w:t>24.1.2021</w:t>
      </w:r>
      <w:r>
        <w:rPr>
          <w:rtl w:val="true"/>
        </w:rPr>
        <w:t xml:space="preserve"> </w:t>
      </w:r>
      <w:r>
        <w:rPr>
          <w:rtl w:val="true"/>
        </w:rPr>
        <w:t>בגין אירוע אלים בו היה מעורב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נמסר כי המערער הופנה למרכז לגביית קנסות בכל הנוגע לעונש הפיצויים שהושת עליו</w:t>
      </w:r>
      <w:r>
        <w:rPr>
          <w:rtl w:val="true"/>
        </w:rPr>
        <w:t xml:space="preserve">, </w:t>
      </w:r>
      <w:r>
        <w:rPr>
          <w:rtl w:val="true"/>
        </w:rPr>
        <w:t>וטרם התקבלה החלטה בעניינו</w:t>
      </w:r>
      <w:r>
        <w:rPr>
          <w:rtl w:val="true"/>
        </w:rPr>
        <w:t xml:space="preserve">. </w:t>
      </w:r>
      <w:r>
        <w:rPr>
          <w:rtl w:val="true"/>
        </w:rPr>
        <w:t>עוד צוין כי המערער נמצא בשלבי סיום של ההליך הטיפולי שהחל במחלקת תעבורה</w:t>
      </w:r>
      <w:r>
        <w:rPr>
          <w:rtl w:val="true"/>
        </w:rPr>
        <w:t xml:space="preserve">, </w:t>
      </w:r>
      <w:r>
        <w:rPr>
          <w:rtl w:val="true"/>
        </w:rPr>
        <w:t>ולאחרונה השתלב גם בטיפול פרטני ממוקד טראומה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ascii="Century" w:hAnsi="Century" w:cs="Miriam"/>
          <w:b/>
          <w:b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בערעור על צרופותיו ושמעתי את טיעוניהם של באי</w:t>
      </w:r>
      <w:r>
        <w:rPr>
          <w:rtl w:val="true"/>
        </w:rPr>
        <w:t>-</w:t>
      </w:r>
      <w:r>
        <w:rPr>
          <w:rtl w:val="true"/>
        </w:rPr>
        <w:t>כוח הצדדים</w:t>
      </w:r>
      <w:r>
        <w:rPr>
          <w:rtl w:val="true"/>
        </w:rPr>
        <w:t xml:space="preserve">, </w:t>
      </w:r>
      <w:r>
        <w:rPr>
          <w:rtl w:val="true"/>
        </w:rPr>
        <w:t>הגעתי למסקנה כי דין הערעור על הכרעת הדין להידחות בעיקרו</w:t>
      </w:r>
      <w:r>
        <w:rPr>
          <w:rtl w:val="true"/>
        </w:rPr>
        <w:t xml:space="preserve">, </w:t>
      </w:r>
      <w:r>
        <w:rPr>
          <w:rtl w:val="true"/>
        </w:rPr>
        <w:t>ואילו דין הערעור על גזר הדין להתקבל בחלקו</w:t>
      </w:r>
      <w:r>
        <w:rPr>
          <w:rtl w:val="true"/>
        </w:rPr>
        <w:t xml:space="preserve">. </w:t>
      </w:r>
      <w:r>
        <w:rPr>
          <w:rtl w:val="true"/>
        </w:rPr>
        <w:t>כך אציע לחבריי שנעשה</w:t>
      </w:r>
      <w:r>
        <w:rPr>
          <w:rtl w:val="true"/>
        </w:rPr>
        <w:t xml:space="preserve">, </w:t>
      </w:r>
      <w:r>
        <w:rPr>
          <w:rtl w:val="true"/>
        </w:rPr>
        <w:t>והכל מהטעמים שיפורטו להלן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Ruehl;Times New Roman" w:hAnsi="FrankRuehl;Times New Roman" w:cs="FrankRuehl;Times New Roman"/>
          <w:b/>
          <w:color w:val="000000"/>
          <w:spacing w:val="0"/>
          <w:sz w:val="28"/>
          <w:szCs w:val="24"/>
          <w:shd w:fill="FFFFFF" w:val="clear"/>
        </w:rPr>
      </w:pPr>
      <w:r>
        <w:rPr>
          <w:rFonts w:cs="FrankRuehl;Times New Roman" w:ascii="FrankRuehl;Times New Roman" w:hAnsi="FrankRuehl;Times New Roman"/>
          <w:b/>
          <w:color w:val="000000"/>
          <w:spacing w:val="0"/>
          <w:sz w:val="28"/>
          <w:szCs w:val="24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בפתח הדברים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אציין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כי בעקבות תיקון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137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ולנוכח הסכמת הצדדים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יש לבטל את הרשעת המערער בעבירת הריגה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,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לפי </w:t>
      </w:r>
      <w:hyperlink r:id="rId38"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hd w:fill="FFFFFF" w:val="clear"/>
            <w:rtl w:val="true"/>
          </w:rPr>
          <w:t>סעיף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hd w:fill="FFFFFF" w:val="clear"/>
            <w:rtl w:val="true"/>
          </w:rPr>
          <w:t xml:space="preserve"> </w:t>
        </w:r>
        <w:r>
          <w:rPr>
            <w:rStyle w:val="Hyperlink"/>
            <w:rFonts w:cs="FrankRuehl;Times New Roman" w:ascii="FrankRuehl;Times New Roman" w:hAnsi="FrankRuehl;Times New Roman"/>
            <w:sz w:val="28"/>
            <w:shd w:fill="FFFFFF" w:val="clear"/>
          </w:rPr>
          <w:t>298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לחוק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ובמקומה להרשיעו בעבירת המתה בקלות דעת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לפי </w:t>
      </w:r>
      <w:hyperlink r:id="rId39"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hd w:fill="FFFFFF" w:val="clear"/>
            <w:rtl w:val="true"/>
          </w:rPr>
          <w:t>סעיף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hd w:fill="FFFFFF" w:val="clear"/>
            <w:rtl w:val="true"/>
          </w:rPr>
          <w:t xml:space="preserve"> </w:t>
        </w:r>
        <w:r>
          <w:rPr>
            <w:rStyle w:val="Hyperlink"/>
            <w:rFonts w:cs="FrankRuehl;Times New Roman" w:ascii="FrankRuehl;Times New Roman" w:hAnsi="FrankRuehl;Times New Roman"/>
            <w:sz w:val="28"/>
            <w:shd w:fill="FFFFFF" w:val="clear"/>
          </w:rPr>
          <w:t>301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hd w:fill="FFFFFF" w:val="clear"/>
            <w:rtl w:val="true"/>
          </w:rPr>
          <w:t>ג</w:t>
        </w:r>
      </w:hyperlink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לחוק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אשר היסוד הנפשי הדרוש לה זהה לאחת החלופות של היסוד הנפשי מסוג פזיזות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אדישות או קלות דעת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אשר נדרש בשעתו להרשעה בעבירת ההריגה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ראו מרדכי קרמניצר וחאלד גנאים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cs="Miriam" w:ascii="Century" w:hAnsi="Century"/>
          <w:b/>
          <w:spacing w:val="0"/>
          <w:szCs w:val="24"/>
        </w:rPr>
        <w:t>2019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היסטורי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והשוואתי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270-266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2020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בהתאם לאמור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תכונה </w:t>
      </w:r>
      <w:r>
        <w:rPr>
          <w:rFonts w:ascii="Century" w:hAnsi="Century" w:cs="Century"/>
          <w:sz w:val="22"/>
          <w:sz w:val="22"/>
          <w:rtl w:val="true"/>
        </w:rPr>
        <w:t xml:space="preserve">מעתה ואילך </w:t>
      </w:r>
      <w:r>
        <w:rPr>
          <w:rFonts w:ascii="Century" w:hAnsi="Century" w:cs="Century"/>
          <w:rtl w:val="true"/>
        </w:rPr>
        <w:t>העבירה בה מורשע המערער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rtl w:val="true"/>
        </w:rPr>
        <w:t xml:space="preserve">עיקר הטענות שמעלה המערער ביחס להכרעת הדין מופנות </w:t>
      </w:r>
      <w:r>
        <w:rPr>
          <w:shd w:fill="FFFFFF" w:val="clear"/>
          <w:rtl w:val="true"/>
        </w:rPr>
        <w:t>נגד מסקנתו העובדתית של בית המשפט קמא כי התקיים אצלו ה</w:t>
      </w:r>
      <w:r>
        <w:rPr>
          <w:shd w:fill="FFFFFF" w:val="clear"/>
          <w:rtl w:val="true"/>
        </w:rPr>
        <w:t xml:space="preserve">יסוד 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 xml:space="preserve">נפשי </w:t>
      </w:r>
      <w:r>
        <w:rPr>
          <w:shd w:fill="FFFFFF" w:val="clear"/>
          <w:rtl w:val="true"/>
        </w:rPr>
        <w:t>הדרוש לצורך הרשעתו בעבירת המתה בקלות דעת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אין חולק כי יסוד נפשי זה מחייב הוכחת קיומה של מודעות אצל הנאשם לכך שהוא נוטל בהתנהגותו סיכון בלתי סביר לגרום לתוצאה הקטלנית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הגם שמתוך תקווה להצליח למנועה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 xml:space="preserve">ראו </w:t>
      </w:r>
      <w:hyperlink r:id="rId40">
        <w:r>
          <w:rPr>
            <w:rStyle w:val="Hyperlink"/>
            <w:shd w:fill="FFFFFF" w:val="clear"/>
            <w:rtl w:val="true"/>
          </w:rPr>
          <w:t>סעיף</w:t>
        </w:r>
        <w:r>
          <w:rPr>
            <w:rStyle w:val="Hyperlink"/>
            <w:shd w:fill="FFFFFF" w:val="clear"/>
            <w:rtl w:val="true"/>
          </w:rPr>
          <w:t xml:space="preserve"> </w:t>
        </w:r>
        <w:r>
          <w:rPr>
            <w:rStyle w:val="Hyperlink"/>
            <w:shd w:fill="FFFFFF" w:val="clear"/>
          </w:rPr>
          <w:t>20</w:t>
        </w:r>
        <w:r>
          <w:rPr>
            <w:rStyle w:val="Hyperlink"/>
            <w:shd w:fill="FFFFFF" w:val="clear"/>
            <w:rtl w:val="true"/>
          </w:rPr>
          <w:t>(</w:t>
        </w:r>
        <w:r>
          <w:rPr>
            <w:rStyle w:val="Hyperlink"/>
            <w:shd w:fill="FFFFFF" w:val="clear"/>
            <w:rtl w:val="true"/>
          </w:rPr>
          <w:t>א</w:t>
        </w:r>
        <w:r>
          <w:rPr>
            <w:rStyle w:val="Hyperlink"/>
            <w:shd w:fill="FFFFFF" w:val="clear"/>
            <w:rtl w:val="true"/>
          </w:rPr>
          <w:t>)(</w:t>
        </w:r>
        <w:r>
          <w:rPr>
            <w:rStyle w:val="Hyperlink"/>
            <w:shd w:fill="FFFFFF" w:val="clear"/>
          </w:rPr>
          <w:t>2</w:t>
        </w:r>
        <w:r>
          <w:rPr>
            <w:rStyle w:val="Hyperlink"/>
            <w:shd w:fill="FFFFFF" w:val="clear"/>
            <w:rtl w:val="true"/>
          </w:rPr>
          <w:t>)(</w:t>
        </w:r>
        <w:r>
          <w:rPr>
            <w:rStyle w:val="Hyperlink"/>
            <w:shd w:fill="FFFFFF" w:val="clear"/>
            <w:rtl w:val="true"/>
          </w:rPr>
          <w:t>ב</w:t>
        </w:r>
        <w:r>
          <w:rPr>
            <w:rStyle w:val="Hyperlink"/>
            <w:shd w:fill="FFFFFF" w:val="clear"/>
            <w:rtl w:val="true"/>
          </w:rPr>
          <w:t>)</w:t>
        </w:r>
      </w:hyperlink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לחוק</w:t>
      </w:r>
      <w:r>
        <w:rPr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משמעות הדברים בענייננו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היא שלמערער הייתה מודעות לכך שהוא נוהג את רכבו לתוך צומת מרומזרת כאשר האור ברמזור בכיוון נסיעתו הוא אדום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מעשה שלא ניתן לחלוק על כך שהוא יוצר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במקרה הרגיל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סיכון בלתי סביר לתאונת דרכים קטלנית</w:t>
      </w:r>
      <w:r>
        <w:rPr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>
          <w:shd w:fill="FFFFFF" w:val="clear"/>
        </w:rPr>
      </w:pPr>
      <w:r>
        <w:rPr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shd w:fill="FFFFFF" w:val="clear"/>
          <w:rtl w:val="true"/>
        </w:rPr>
        <w:t>אקדים ואזכיר את הכלל המוכר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לפיו</w:t>
      </w:r>
      <w:r>
        <w:rPr>
          <w:rtl w:val="true"/>
        </w:rPr>
        <w:t xml:space="preserve"> לא בנקל תתערב ערכאת הערעור בממצאים שבעובדה ובמהימנות שקבעה הערכאה הדיונית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לאור יתרונה המובנה של הערכאה הדיונית אשר התרשמה באופן ישיר ובלתי אמצעי מהעדים שהעידו לפניה ומחומר הראיות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8560/18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זבורוף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26.12.2018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7162/19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3.1.2021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20.10.2020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(</w:t>
      </w:r>
      <w:r>
        <w:rPr/>
        <w:t>11.2.2021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>המערער טוען כאמור כי לא הוכח</w:t>
      </w:r>
      <w:r>
        <w:rPr>
          <w:rtl w:val="true"/>
        </w:rPr>
        <w:t xml:space="preserve">, </w:t>
      </w:r>
      <w:r>
        <w:rPr>
          <w:rtl w:val="true"/>
        </w:rPr>
        <w:t>מעבר לרף ההוכחה הדרוש במשפט פלילי</w:t>
      </w:r>
      <w:r>
        <w:rPr>
          <w:rtl w:val="true"/>
        </w:rPr>
        <w:t xml:space="preserve">, </w:t>
      </w:r>
      <w:r>
        <w:rPr>
          <w:rtl w:val="true"/>
        </w:rPr>
        <w:t>כי התקיים בו היסוד הנפשי של מודעות לסיכון הבלתי סביר הדרוש להרשעתו בהמתה בקלות דעת</w:t>
      </w:r>
      <w:r>
        <w:rPr>
          <w:rtl w:val="true"/>
        </w:rPr>
        <w:t xml:space="preserve">. </w:t>
      </w:r>
      <w:r>
        <w:rPr>
          <w:rtl w:val="true"/>
        </w:rPr>
        <w:t xml:space="preserve">בלשון פשוטה </w:t>
      </w:r>
      <w:r>
        <w:rPr>
          <w:rtl w:val="true"/>
        </w:rPr>
        <w:t>–</w:t>
      </w:r>
      <w:r>
        <w:rPr>
          <w:rtl w:val="true"/>
        </w:rPr>
        <w:t xml:space="preserve"> לא הוכח מעבר לכל ספק סביר שידע בזמן אמת כי הוא נכנס לצומת באור אדום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יש לבטל את הרשעתו בעבירה זו</w:t>
      </w:r>
      <w:r>
        <w:rPr>
          <w:rtl w:val="true"/>
        </w:rPr>
        <w:t xml:space="preserve">, </w:t>
      </w:r>
      <w:r>
        <w:rPr>
          <w:rtl w:val="true"/>
        </w:rPr>
        <w:t>ולהסתפק בהרשעתו בעבירה של גרימת מוות ברשלנות בה הודה</w:t>
      </w:r>
      <w:r>
        <w:rPr>
          <w:rtl w:val="true"/>
        </w:rPr>
        <w:t xml:space="preserve">, </w:t>
      </w:r>
      <w:r>
        <w:rPr>
          <w:rtl w:val="true"/>
        </w:rPr>
        <w:t>באשר לעניינה די בכך שהוכח שגרימת המוות נגרמה עקב נטילת סיכון בלתי סביר על ידי המערער</w:t>
      </w:r>
      <w:r>
        <w:rPr>
          <w:rtl w:val="true"/>
        </w:rPr>
        <w:t xml:space="preserve">, </w:t>
      </w:r>
      <w:r>
        <w:rPr>
          <w:rtl w:val="true"/>
        </w:rPr>
        <w:t>ואין צורך להוכיח בנוסף קיומה של מודעות מצדו לסיכון האמור</w:t>
      </w:r>
      <w:r>
        <w:rPr>
          <w:rtl w:val="true"/>
        </w:rPr>
        <w:t xml:space="preserve">. </w:t>
      </w:r>
      <w:r>
        <w:rPr>
          <w:rtl w:val="true"/>
        </w:rPr>
        <w:t xml:space="preserve">טענה זו רווחת בקרב נאשמים בעבירת המתה בקלות דעת אגב תאונת דרכים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מבין רבים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5910/94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ברקוביץ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מט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353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 xml:space="preserve">);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3158/00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מגידיש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נד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80</w:t>
      </w:r>
      <w:r>
        <w:rPr>
          <w:rtl w:val="true"/>
        </w:rPr>
        <w:t>, (</w:t>
      </w:r>
      <w:r>
        <w:rPr/>
        <w:t>2000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מגידיש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8827/01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שטרייזנט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נז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506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שטרייזנט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8250/05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שלום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3.10.2006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שלום</w:t>
      </w:r>
      <w:r>
        <w:rPr>
          <w:rtl w:val="true"/>
        </w:rPr>
        <w:t xml:space="preserve">);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6949/07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8.7.2009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עמרם</w:t>
      </w:r>
      <w:r>
        <w:rPr>
          <w:rtl w:val="true"/>
        </w:rPr>
        <w:t xml:space="preserve">);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2832/10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בוחבוט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5.9.2011</w:t>
      </w:r>
      <w:r>
        <w:rPr>
          <w:rtl w:val="true"/>
        </w:rPr>
        <w:t xml:space="preserve">)). </w:t>
      </w:r>
      <w:r>
        <w:rPr>
          <w:rtl w:val="true"/>
        </w:rPr>
        <w:t xml:space="preserve">הדיון בה עשוי לעורר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קשיים במישור העיוני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-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מושגי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דהיינו בשאלה מהי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מודעות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 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ראו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קרן שפירא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-</w:t>
      </w:r>
      <w:hyperlink r:id="rId51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אטינגר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קלות הדעת במשפט הפלילי </w:t>
        </w:r>
      </w:hyperlink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האם יש משקל לדעת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?"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יד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179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תשנ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ח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)).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ואולם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דומה כי בענייננו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כמו גם במקרה הנפוץ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היא מעוררת בעיקר קושי במישור הראייתי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דהיינו בקביעת ממצא עובדתי בשאלה הקונקרטית של מודעות המערער להתקיימות נסיבות מסוימות ההופכות את התנהגותו לכזו הנושאת סיכון בלתי סביר לתוצאה הקטלנית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בעניינו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כמו במקרים לא מעטים נוספים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המודעות למצב האור ברמזור עובר לכניסה לצומת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עמד על כך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יצחק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אנגלרד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מגידיש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88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</w:p>
    <w:p>
      <w:pPr>
        <w:pStyle w:val="Ruller41"/>
        <w:ind w:start="799" w:end="156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הבעיה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נדחקה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position w:val="4"/>
          <w:sz w:val="18"/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העיונית</w:t>
      </w:r>
      <w:r>
        <w:rPr>
          <w:position w:val="4"/>
          <w:sz w:val="18"/>
          <w:rtl w:val="true"/>
        </w:rPr>
        <w:t>-</w:t>
      </w:r>
      <w:r>
        <w:rPr>
          <w:rtl w:val="true"/>
        </w:rPr>
        <w:t>המושגית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ואכן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קביעת ממצא עובדתי בשאלת קיומו של יסוד נפשי סובייקטיבי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החבוי בצפונות מוחו של אדם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לא כל שכן קביעתו מעבר לרמת הספק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הוא עניין המעורר קושי רב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כיצד נוכל לדעת ברמת וודאות גבוהה מה היה מצב המודעות של המערער בשעה שנכנס לצומת המרומזרת באור אדום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?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הרי המדובר במידע המצוי בידיעתו הבלעדית של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ולו עצמו יש אינטרס מובהק להציג גרסה מסוימת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העדר מודעות להתחלפות האור ברמזור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ולדחות את הגרסה החלופית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מודעות לכך שהוא נכנס לצומת באור אדום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ודוק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אין צורך להוכיח כי המערער היה מודע לדרך המדויקת של השתלשלות האירועים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ודי לו שיכיר באפשרות כי התנהגותו תגרום לתוצאה הקטלנית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ראו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למשל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מגידיש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בעמ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</w:rPr>
        <w:t>95</w:t>
      </w:r>
      <w:r>
        <w:rPr>
          <w:shd w:fill="FFFFFF" w:val="clear"/>
          <w:rtl w:val="true"/>
        </w:rPr>
        <w:t xml:space="preserve">; </w:t>
      </w:r>
      <w:hyperlink r:id="rId52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9723/03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בלזר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פ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ד נט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</w:t>
      </w:r>
      <w:r>
        <w:rPr>
          <w:shd w:fill="FFFFFF" w:val="clear"/>
          <w:rtl w:val="true"/>
        </w:rPr>
        <w:t xml:space="preserve">) </w:t>
      </w:r>
      <w:r>
        <w:rPr>
          <w:shd w:fill="FFFFFF" w:val="clear"/>
        </w:rPr>
        <w:t>408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</w:rPr>
        <w:t>423</w:t>
      </w:r>
      <w:r>
        <w:rPr>
          <w:shd w:fill="FFFFFF" w:val="clear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2004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); </w:t>
      </w:r>
      <w:hyperlink r:id="rId53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8191/08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גבארה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13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24.5.2010</w:t>
      </w:r>
      <w:r>
        <w:rPr>
          <w:shd w:fill="FFFFFF" w:val="clear"/>
          <w:rtl w:val="true"/>
        </w:rPr>
        <w:t>) (</w:t>
      </w:r>
      <w:r>
        <w:rPr>
          <w:shd w:fill="FFFFFF" w:val="clear"/>
          <w:rtl w:val="true"/>
        </w:rPr>
        <w:t>להלן</w:t>
      </w:r>
      <w:r>
        <w:rPr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עניין</w:t>
      </w:r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גבארה</w:t>
      </w:r>
      <w:r>
        <w:rPr>
          <w:shd w:fill="FFFFFF" w:val="clear"/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2772/12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נחמני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26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21.3.2012</w:t>
      </w:r>
      <w:r>
        <w:rPr>
          <w:shd w:fill="FFFFFF" w:val="clear"/>
          <w:rtl w:val="true"/>
        </w:rPr>
        <w:t>))</w:t>
      </w:r>
      <w:r>
        <w:rPr>
          <w:rtl w:val="true"/>
        </w:rPr>
        <w:t>.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ואולם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אם אכן סבר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ולו מתוך טעות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כי האור ברמזור בנתיב נסיעתו היה ירוק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ממילא לא היה מודע לכך שכניסתו לצומת יוצרת סיכון בלתי סביר להתרחשות תאונת דרכים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לא כל שכן תאונת דרכים קטלנית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tl w:val="true"/>
        </w:rPr>
        <w:t>בית המשפט קמא ביקש לגשר על הקושי האמור באמצעות בחינת ההודאות והעדויות השונות שמסר המערער במסגרת חקירתו ובמשפט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הסתירות שבין הגרסאות הללו</w:t>
      </w:r>
      <w:r>
        <w:rPr>
          <w:rtl w:val="true"/>
        </w:rPr>
        <w:t xml:space="preserve">, </w:t>
      </w:r>
      <w:r>
        <w:rPr>
          <w:rtl w:val="true"/>
        </w:rPr>
        <w:t>והעיתוי המאוחר בו נמסרה הגרסה לפיה בשל היסח הדעת לא היה מודע להתחלפות האורות ברמזור</w:t>
      </w:r>
      <w:r>
        <w:rPr>
          <w:rtl w:val="true"/>
        </w:rPr>
        <w:t xml:space="preserve">, </w:t>
      </w:r>
      <w:r>
        <w:rPr>
          <w:rtl w:val="true"/>
        </w:rPr>
        <w:t>מאפשרים קביעת ממצא ראייתי לחובת המערער</w:t>
      </w:r>
      <w:r>
        <w:rPr>
          <w:rtl w:val="true"/>
        </w:rPr>
        <w:t xml:space="preserve">. </w:t>
      </w:r>
      <w:r>
        <w:rPr>
          <w:rtl w:val="true"/>
        </w:rPr>
        <w:t>אין חולק כי על שהתחולל בלבו של אדם ניתן ללמוד מדברים שהוא עצמו אמר בזמן אמת</w:t>
      </w:r>
      <w:r>
        <w:rPr>
          <w:rtl w:val="true"/>
        </w:rPr>
        <w:t xml:space="preserve">, </w:t>
      </w:r>
      <w:r>
        <w:rPr>
          <w:rtl w:val="true"/>
        </w:rPr>
        <w:t>בעת חקירתו ובמשפטו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ספק בעיני אם המסקנה שהסיק בית המשפט קמא מעלה במקרה דנן</w:t>
      </w:r>
      <w:r>
        <w:rPr>
          <w:rtl w:val="true"/>
        </w:rPr>
        <w:t xml:space="preserve">, </w:t>
      </w:r>
      <w:r>
        <w:rPr>
          <w:rtl w:val="true"/>
        </w:rPr>
        <w:t>מובהקת ברמה שיחס לה בית המשפט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המערער מסר תחילה בחקירתו</w:t>
      </w:r>
      <w:r>
        <w:rPr>
          <w:rtl w:val="true"/>
        </w:rPr>
        <w:t xml:space="preserve">, </w:t>
      </w:r>
      <w:r>
        <w:rPr>
          <w:rtl w:val="true"/>
        </w:rPr>
        <w:t>שהתרחשה שעות אחדות לאחר התאונה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זוכר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כלום</w:t>
      </w:r>
      <w:r>
        <w:rPr>
          <w:rtl w:val="true"/>
        </w:rPr>
        <w:t xml:space="preserve">", </w:t>
      </w:r>
      <w:r>
        <w:rPr>
          <w:rtl w:val="true"/>
        </w:rPr>
        <w:t xml:space="preserve">ואולם בהמשך אותה חקירה הבהיר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זוכר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הרמזור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שראיתי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ירוק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וזהו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זוכר</w:t>
      </w:r>
      <w:r>
        <w:rPr>
          <w:rtl w:val="true"/>
        </w:rPr>
        <w:t>"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גרסה זו אינה שונה במהותה מגרסתו במשפט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בה מסר בחקירתו הראשית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נסעתי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רגיל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רמזור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ירוק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והמשכתי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לנסוע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ונכנסתי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לצומת</w:t>
      </w:r>
      <w:r>
        <w:rPr>
          <w:rtl w:val="true"/>
        </w:rPr>
        <w:t>" (</w:t>
      </w:r>
      <w:r>
        <w:rPr>
          <w:rtl w:val="true"/>
        </w:rPr>
        <w:t xml:space="preserve">פרוטוקול </w:t>
      </w:r>
      <w:r>
        <w:rPr/>
        <w:t>30.5.18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יצוין בהקשר זה</w:t>
      </w:r>
      <w:r>
        <w:rPr>
          <w:rtl w:val="true"/>
        </w:rPr>
        <w:t xml:space="preserve">, </w:t>
      </w:r>
      <w:r>
        <w:rPr>
          <w:rtl w:val="true"/>
        </w:rPr>
        <w:t>כי בית המשפט קמא יחס משמעות רבה לש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תי אמירות של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הפעולות לשיטתו נגד גרסת העדר המודעות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ראשית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אמירות בחקירה במשטרה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לאחר צפייה בסרטון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בהן טען לאובדן עשתונות שמנע ממנו לעצור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בית המשפט קמא סבר שאמירות אלה מתייחסות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ברמזור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התחלף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לאדום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התאונה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 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20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להכרעת הדין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ומכאן קצרה הדרך למסקנתו כי המערער היה מודע לחילופי האורות ברמזור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שכן אם לא היה מודע לחילופי האורות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לא היה מאבד עשתונות עד שהבחין ברכב של המנוח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ואולם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צפייה בסרטון החקירה מעוררת ספק אם מסקנה זו מבוססת דיה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ונראה כי יש בסיס לטענת בא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-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כוח המערער שניתן להבין את הדברים גם בדרך אחרת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דהיינו כמתייחסים אך ורק לשלב של רגע לפני התאונה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כשנייה ושליש לפני התאונה משהבחין המערער ברכב המנוח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שנית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בחקירתו הנגדית התבקש המערער להסביר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ראית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חילופי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האורות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",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ותשובתו הייתה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להסביר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חלמתי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כזה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 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פרוטוקול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30.5.2018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עמ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'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28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שורות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24-25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בית המשפט קמא ראה בכך משום שינוי גרסה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ואולם ספק אם מדובר בגרסה פוזיטיבית של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ומתקבל הרושם כי מדובר בסברה המועלית על ידו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שאינה עומדת בסתירה לגרסתו העיקרית שלא היה מודע לכך שהאור ברמזור התחלף לאדום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ואיננו יודע בוודאות מדוע לא היה מודע לכך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וראו גם פרוטוקול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30.5.2018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עמ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'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29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שורה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30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חלמתי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זוכר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לי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"). 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ויובהר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אי ההתאמות עליהן מצביע בית המשפט קמא בגרסאות המערער אכן קיימות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ויש בהן כדי לעורר חשד בגרסתו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ואולם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אילו היו הן עומדות לבדן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ספק בעיני אם היה בהן די כדי לבסס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ברמה הדרושה לצורך קביעת ממצא במשפט פלילי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את המסקנה כי המערער היה מודע לכך שהוא נכנס לצומת באור אדום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אפס</w:t>
      </w:r>
      <w:r>
        <w:rPr>
          <w:rtl w:val="true"/>
        </w:rPr>
        <w:t xml:space="preserve">, </w:t>
      </w:r>
      <w:r>
        <w:rPr>
          <w:rtl w:val="true"/>
        </w:rPr>
        <w:t>שאלות הנוגעות להתקיימות היסוד הנפשי בנאשם בכלל</w:t>
      </w:r>
      <w:r>
        <w:rPr>
          <w:rtl w:val="true"/>
        </w:rPr>
        <w:t xml:space="preserve">, </w:t>
      </w:r>
      <w:r>
        <w:rPr>
          <w:rtl w:val="true"/>
        </w:rPr>
        <w:t>ולמודעות לנסיבות היוצרות סיכון בלתי סביר בפרט</w:t>
      </w:r>
      <w:r>
        <w:rPr>
          <w:rtl w:val="true"/>
        </w:rPr>
        <w:t xml:space="preserve">, </w:t>
      </w:r>
      <w:r>
        <w:rPr>
          <w:rtl w:val="true"/>
        </w:rPr>
        <w:t>אינן נבחנות רק לפי גרסאותיו</w:t>
      </w:r>
      <w:r>
        <w:rPr>
          <w:rtl w:val="true"/>
        </w:rPr>
        <w:t xml:space="preserve">. </w:t>
      </w:r>
      <w:r>
        <w:rPr>
          <w:rtl w:val="true"/>
        </w:rPr>
        <w:t>כלי מרכזי אותו פיתחה הפסיקה ללימוד יחסו הסובייקטיבי של אדם למעשים המיוחסים לו ולתוצאותיהם הן חזקות עובדתיות</w:t>
      </w:r>
      <w:r>
        <w:rPr>
          <w:rtl w:val="true"/>
        </w:rPr>
        <w:t xml:space="preserve">, </w:t>
      </w:r>
      <w:r>
        <w:rPr>
          <w:rtl w:val="true"/>
        </w:rPr>
        <w:t>המאפשרות לבית המשפט להסיק מסקנה על התקיימות היסוד הנפשי על פי מעשיו של האדם</w:t>
      </w:r>
      <w:r>
        <w:rPr>
          <w:rtl w:val="true"/>
        </w:rPr>
        <w:t xml:space="preserve">, </w:t>
      </w:r>
      <w:r>
        <w:rPr>
          <w:rtl w:val="true"/>
        </w:rPr>
        <w:t>ולא רק לפי דבריו</w:t>
      </w:r>
      <w:r>
        <w:rPr>
          <w:rtl w:val="true"/>
        </w:rPr>
        <w:t xml:space="preserve">. </w:t>
      </w:r>
      <w:r>
        <w:rPr>
          <w:rtl w:val="true"/>
        </w:rPr>
        <w:t>דוגמה מובהקת לכך</w:t>
      </w:r>
      <w:r>
        <w:rPr>
          <w:rtl w:val="true"/>
        </w:rPr>
        <w:t xml:space="preserve">, </w:t>
      </w:r>
      <w:r>
        <w:rPr>
          <w:rtl w:val="true"/>
        </w:rPr>
        <w:t>המשמשת ללימוד יסוד נפשי של כוונה</w:t>
      </w:r>
      <w:r>
        <w:rPr>
          <w:rtl w:val="true"/>
        </w:rPr>
        <w:t xml:space="preserve">, </w:t>
      </w:r>
      <w:r>
        <w:rPr>
          <w:rtl w:val="true"/>
        </w:rPr>
        <w:t>היא החזקה ש</w:t>
      </w:r>
      <w:r>
        <w:rPr>
          <w:rtl w:val="true"/>
        </w:rPr>
        <w:t>"</w:t>
      </w:r>
      <w:r>
        <w:rPr>
          <w:rtl w:val="true"/>
        </w:rPr>
        <w:t>אדם מתכוון לתוצאות הטבעיות של מעשיו</w:t>
      </w:r>
      <w:r>
        <w:rPr>
          <w:rtl w:val="true"/>
        </w:rPr>
        <w:t xml:space="preserve">". </w:t>
      </w:r>
      <w:r>
        <w:rPr>
          <w:rtl w:val="true"/>
        </w:rPr>
        <w:t>ללא חזקה זו</w:t>
      </w:r>
      <w:r>
        <w:rPr>
          <w:rtl w:val="true"/>
        </w:rPr>
        <w:t xml:space="preserve">, </w:t>
      </w:r>
      <w:r>
        <w:rPr>
          <w:rtl w:val="true"/>
        </w:rPr>
        <w:t>עשויים היינו להתקשות לקבוע כי אדם המכוון נשק אל חברו</w:t>
      </w:r>
      <w:r>
        <w:rPr>
          <w:rtl w:val="true"/>
        </w:rPr>
        <w:t xml:space="preserve">, </w:t>
      </w:r>
      <w:r>
        <w:rPr>
          <w:rtl w:val="true"/>
        </w:rPr>
        <w:t>ולוחץ על ההדק</w:t>
      </w:r>
      <w:r>
        <w:rPr>
          <w:rtl w:val="true"/>
        </w:rPr>
        <w:t xml:space="preserve">, </w:t>
      </w:r>
      <w:r>
        <w:rPr>
          <w:rtl w:val="true"/>
        </w:rPr>
        <w:t>מתכוון לגרום למותו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ככל שאותו אדם לא ליווה את מעשיו</w:t>
      </w:r>
      <w:r>
        <w:rPr>
          <w:rtl w:val="true"/>
        </w:rPr>
        <w:t xml:space="preserve">, </w:t>
      </w:r>
      <w:r>
        <w:rPr>
          <w:rtl w:val="true"/>
        </w:rPr>
        <w:t>מראש או בדיעבד</w:t>
      </w:r>
      <w:r>
        <w:rPr>
          <w:rtl w:val="true"/>
        </w:rPr>
        <w:t xml:space="preserve">, </w:t>
      </w:r>
      <w:r>
        <w:rPr>
          <w:rtl w:val="true"/>
        </w:rPr>
        <w:t>בדיבורים המעידים על כוונתו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בסיועה של החזקה האמורה</w:t>
      </w:r>
      <w:r>
        <w:rPr>
          <w:rtl w:val="true"/>
        </w:rPr>
        <w:t xml:space="preserve">, </w:t>
      </w:r>
      <w:r>
        <w:rPr>
          <w:rtl w:val="true"/>
        </w:rPr>
        <w:t>אנו מניחים</w:t>
      </w:r>
      <w:r>
        <w:rPr>
          <w:rtl w:val="true"/>
        </w:rPr>
        <w:t xml:space="preserve">, </w:t>
      </w:r>
      <w:r>
        <w:rPr>
          <w:rtl w:val="true"/>
        </w:rPr>
        <w:t>אלא אם מתקיימות נסיבות המלמדות על סתירת החזקה</w:t>
      </w:r>
      <w:r>
        <w:rPr>
          <w:rtl w:val="true"/>
        </w:rPr>
        <w:t xml:space="preserve">, </w:t>
      </w:r>
      <w:r>
        <w:rPr>
          <w:rtl w:val="true"/>
        </w:rPr>
        <w:t>כי היורה באדם מתכוון לגרום למותו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ככל שמדובר במודעות אדם למעשיו</w:t>
      </w:r>
      <w:r>
        <w:rPr>
          <w:rtl w:val="true"/>
        </w:rPr>
        <w:t xml:space="preserve">, </w:t>
      </w:r>
      <w:r>
        <w:rPr>
          <w:rtl w:val="true"/>
        </w:rPr>
        <w:t xml:space="preserve">מוכרת במשפט החזקה לפיה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"...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מודע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כלל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למשמעות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התנהגותו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טיבה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הפיזי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נסיבותיה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התוצאות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הטבעיות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שעשויות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לצמוח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ממנה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ז פלר </w:t>
      </w:r>
      <w:hyperlink r:id="rId5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עונשין</w:t>
        </w:r>
      </w:hyperlink>
      <w:r>
        <w:rPr>
          <w:rtl w:val="true"/>
        </w:rPr>
        <w:t xml:space="preserve"> כרך א</w:t>
      </w:r>
      <w:r>
        <w:rPr>
          <w:rtl w:val="true"/>
        </w:rPr>
        <w:t xml:space="preserve">' </w:t>
      </w:r>
      <w:r>
        <w:rPr/>
        <w:t>542</w:t>
      </w:r>
      <w:r>
        <w:rPr>
          <w:rtl w:val="true"/>
        </w:rPr>
        <w:t xml:space="preserve"> (</w:t>
      </w:r>
      <w:r>
        <w:rPr/>
        <w:t>1984</w:t>
      </w:r>
      <w:r>
        <w:rPr>
          <w:rtl w:val="true"/>
        </w:rPr>
        <w:t xml:space="preserve">). </w:t>
      </w:r>
      <w:r>
        <w:rPr>
          <w:rtl w:val="true"/>
        </w:rPr>
        <w:t xml:space="preserve">צוטט בהסכמה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מגידיש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89</w:t>
      </w:r>
      <w:r>
        <w:rPr>
          <w:rtl w:val="true"/>
        </w:rPr>
        <w:t xml:space="preserve">). </w:t>
      </w:r>
      <w:r>
        <w:rPr>
          <w:rtl w:val="true"/>
        </w:rPr>
        <w:t>בצד חזקה כללית זו</w:t>
      </w:r>
      <w:r>
        <w:rPr>
          <w:rtl w:val="true"/>
        </w:rPr>
        <w:t xml:space="preserve">, </w:t>
      </w:r>
      <w:r>
        <w:rPr>
          <w:rtl w:val="true"/>
        </w:rPr>
        <w:t xml:space="preserve">קיימת בהקשר בו עסקינן </w:t>
      </w:r>
      <w:r>
        <w:rPr>
          <w:rtl w:val="true"/>
        </w:rPr>
        <w:t>–</w:t>
      </w:r>
      <w:r>
        <w:rPr>
          <w:rtl w:val="true"/>
        </w:rPr>
        <w:t xml:space="preserve"> לימוד מודעות לקיומו של סיכון בלתי סביר</w:t>
      </w:r>
      <w:r>
        <w:rPr>
          <w:rtl w:val="true"/>
        </w:rPr>
        <w:t xml:space="preserve">, </w:t>
      </w:r>
      <w:r>
        <w:rPr>
          <w:rtl w:val="true"/>
        </w:rPr>
        <w:t>חזקה מיוחדת הקושרת בין רמת הרשלנות בפעולתו של אדם לבין המודעות לקיומו של הסיכון</w:t>
      </w:r>
      <w:r>
        <w:rPr>
          <w:rtl w:val="true"/>
        </w:rPr>
        <w:t xml:space="preserve">. </w:t>
      </w:r>
      <w:r>
        <w:rPr>
          <w:rtl w:val="true"/>
        </w:rPr>
        <w:t>על פי חזקה מיוחדת זו</w:t>
      </w:r>
      <w:r>
        <w:rPr>
          <w:rtl w:val="true"/>
        </w:rPr>
        <w:t xml:space="preserve">, </w:t>
      </w:r>
      <w:r>
        <w:rPr>
          <w:rtl w:val="true"/>
        </w:rPr>
        <w:t>כאשר רמת הרשלנות הכרוכה בפעילות היא גבוהה</w:t>
      </w:r>
      <w:r>
        <w:rPr>
          <w:rtl w:val="true"/>
        </w:rPr>
        <w:t xml:space="preserve">, </w:t>
      </w:r>
      <w:r>
        <w:rPr>
          <w:rtl w:val="true"/>
        </w:rPr>
        <w:t xml:space="preserve">ובוודאי כשהיא מגיעה לכדי </w:t>
      </w:r>
      <w:r>
        <w:rPr>
          <w:rtl w:val="true"/>
        </w:rPr>
        <w:t>"</w:t>
      </w:r>
      <w:r>
        <w:rPr>
          <w:rtl w:val="true"/>
        </w:rPr>
        <w:t>התרשלות רבתי</w:t>
      </w:r>
      <w:r>
        <w:rPr>
          <w:rtl w:val="true"/>
        </w:rPr>
        <w:t xml:space="preserve">", </w:t>
      </w:r>
      <w:r>
        <w:rPr>
          <w:rtl w:val="true"/>
        </w:rPr>
        <w:t>יש להניח לחובתו של הפועל כי למצער היה מודע להתנהגותו</w:t>
      </w:r>
      <w:r>
        <w:rPr>
          <w:rtl w:val="true"/>
        </w:rPr>
        <w:t xml:space="preserve">, </w:t>
      </w:r>
      <w:r>
        <w:rPr>
          <w:rtl w:val="true"/>
        </w:rPr>
        <w:t xml:space="preserve">ובחר לפעול כפי שפעל מתוך מניעים אחרים אשר עמדו לנגד עיניו </w:t>
      </w:r>
      <w:r>
        <w:rPr>
          <w:rtl w:val="true"/>
        </w:rPr>
        <w:t>(</w:t>
      </w:r>
      <w:r>
        <w:rPr>
          <w:rtl w:val="true"/>
        </w:rPr>
        <w:t xml:space="preserve">וראו </w:t>
      </w:r>
      <w:hyperlink r:id="rId56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1100/93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סובאח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פ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ד מז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3</w:t>
      </w:r>
      <w:r>
        <w:rPr>
          <w:shd w:fill="FFFFFF" w:val="clear"/>
          <w:rtl w:val="true"/>
        </w:rPr>
        <w:t xml:space="preserve">) </w:t>
      </w:r>
      <w:r>
        <w:rPr>
          <w:shd w:fill="FFFFFF" w:val="clear"/>
        </w:rPr>
        <w:t>635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</w:rPr>
        <w:t>644-645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1993</w:t>
      </w:r>
      <w:r>
        <w:rPr>
          <w:shd w:fill="FFFFFF" w:val="clear"/>
          <w:rtl w:val="true"/>
        </w:rPr>
        <w:t>)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; </w:t>
      </w:r>
      <w:hyperlink r:id="rId57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5167/05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מג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דוב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ישראל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7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10.10.2005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) 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להלן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מג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דוב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)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גבארה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17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שלום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18</w:t>
      </w:r>
      <w:r>
        <w:rPr>
          <w:shd w:fill="FFFFFF" w:val="clear"/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מגידיש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93-89</w:t>
      </w:r>
      <w:r>
        <w:rPr>
          <w:rtl w:val="true"/>
        </w:rPr>
        <w:t>;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שטרייזנט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). </w:t>
      </w:r>
      <w:r>
        <w:rPr>
          <w:rtl w:val="true"/>
        </w:rPr>
        <w:t xml:space="preserve">ובלשונו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ובראן</w:t>
      </w:r>
      <w:r>
        <w:rPr>
          <w:rtl w:val="true"/>
        </w:rPr>
        <w:t xml:space="preserve"> ב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זילברמן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פסקה </w:t>
      </w:r>
      <w:r>
        <w:rPr>
          <w:rFonts w:cs="Century" w:ascii="Century" w:hAnsi="Century"/>
          <w:sz w:val="22"/>
          <w:shd w:fill="FFFFFF" w:val="clear"/>
        </w:rPr>
        <w:t>13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2.2.2010</w:t>
      </w:r>
      <w:r>
        <w:rPr>
          <w:shd w:fill="FFFFFF" w:val="clear"/>
          <w:rtl w:val="true"/>
        </w:rPr>
        <w:t>) (</w:t>
      </w:r>
      <w:r>
        <w:rPr>
          <w:shd w:fill="FFFFFF" w:val="clear"/>
          <w:rtl w:val="true"/>
        </w:rPr>
        <w:t>להלן</w:t>
      </w:r>
      <w:r>
        <w:rPr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זילברמן</w:t>
      </w:r>
      <w:r>
        <w:rPr>
          <w:shd w:fill="FFFFFF" w:val="clear"/>
          <w:rtl w:val="true"/>
        </w:rPr>
        <w:t>)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הוכחתה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שבעובדה</w:t>
      </w:r>
      <w:r>
        <w:rPr>
          <w:rtl w:val="true"/>
        </w:rPr>
        <w:t xml:space="preserve">, </w:t>
      </w:r>
      <w:r>
        <w:rPr>
          <w:rtl w:val="true"/>
        </w:rPr>
        <w:t>המאפשרות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מחשבתו</w:t>
      </w:r>
      <w:r>
        <w:rPr>
          <w:rtl w:val="true"/>
        </w:rPr>
        <w:t xml:space="preserve">.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, </w:t>
      </w:r>
      <w:r>
        <w:rPr>
          <w:rtl w:val="true"/>
        </w:rPr>
        <w:t>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tl w:val="true"/>
        </w:rPr>
        <w:t xml:space="preserve">, </w:t>
      </w:r>
      <w:r>
        <w:rPr>
          <w:rtl w:val="true"/>
        </w:rPr>
        <w:t>בהסתמכה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ולהשלכותיהם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הטבעיות</w:t>
      </w:r>
      <w:r>
        <w:rPr>
          <w:rtl w:val="true"/>
        </w:rPr>
        <w:t xml:space="preserve">.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שבעובדה</w:t>
      </w:r>
      <w:r>
        <w:rPr>
          <w:rtl w:val="true"/>
        </w:rPr>
        <w:t xml:space="preserve">,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האסמכתא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הושמטה</w:t>
      </w:r>
      <w:r>
        <w:rPr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ליצירתה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  <w:sz w:val="28"/>
        </w:rPr>
      </w:pPr>
      <w:r>
        <w:rPr>
          <w:rtl w:val="true"/>
        </w:rPr>
        <w:t xml:space="preserve">בהמשך הדברים מצטט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ובראן</w:t>
      </w:r>
      <w:r>
        <w:rPr>
          <w:rtl w:val="true"/>
        </w:rPr>
        <w:t xml:space="preserve"> מדברים שכתב השופט המנוח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>)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מישאל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שטרייזנט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שכאילו נכתבו למקרה בו עסקינן</w:t>
      </w:r>
      <w:r>
        <w:rPr>
          <w:rFonts w:cs="FrankRuehl;Times New Roman" w:ascii="FrankRuehl;Times New Roman" w:hAnsi="FrankRuehl;Times New Roman"/>
          <w:sz w:val="28"/>
          <w:rtl w:val="true"/>
        </w:rPr>
        <w:t>:</w:t>
      </w:r>
    </w:p>
    <w:p>
      <w:pPr>
        <w:pStyle w:val="Ruller51"/>
        <w:ind w:end="1282"/>
        <w:jc w:val="both"/>
        <w:rPr>
          <w:rFonts w:ascii="FrankRuehl;Times New Roman" w:hAnsi="FrankRuehl;Times New Roman" w:cs="FrankRuehl;Times New Roman"/>
          <w:sz w:val="28"/>
        </w:rPr>
      </w:pPr>
      <w:r>
        <w:rPr>
          <w:rFonts w:cs="FrankRuehl;Times New Roman" w:ascii="FrankRuehl;Times New Roman" w:hAnsi="FrankRuehl;Times New Roman"/>
          <w:sz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היווצרותן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, </w:t>
      </w:r>
      <w:r>
        <w:rPr>
          <w:rtl w:val="true"/>
        </w:rPr>
        <w:t>ועמה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[</w:t>
      </w:r>
      <w:r>
        <w:rPr>
          <w:rtl w:val="true"/>
        </w:rPr>
        <w:t>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הושמטו</w:t>
      </w:r>
      <w:r>
        <w:rPr>
          <w:rtl w:val="true"/>
        </w:rPr>
        <w:t>].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 xml:space="preserve">אין חולק כי החזקה בה מדובר היא חזקה עובדתית </w:t>
      </w:r>
      <w:r>
        <w:rPr>
          <w:rtl w:val="true"/>
        </w:rPr>
        <w:t>(</w:t>
      </w:r>
      <w:r>
        <w:rPr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מגידיש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93-90</w:t>
      </w:r>
      <w:r>
        <w:rPr>
          <w:rtl w:val="true"/>
        </w:rPr>
        <w:t xml:space="preserve">), </w:t>
      </w:r>
      <w:r>
        <w:rPr>
          <w:rtl w:val="true"/>
        </w:rPr>
        <w:t>ועל כן יכול הנאשם להתגבר עליה</w:t>
      </w:r>
      <w:r>
        <w:rPr>
          <w:rtl w:val="true"/>
        </w:rPr>
        <w:t xml:space="preserve">, </w:t>
      </w:r>
      <w:r>
        <w:rPr>
          <w:rtl w:val="true"/>
        </w:rPr>
        <w:t xml:space="preserve">אם ישכנע כי המצע הראייתי שהונח לפני בית המשפט מעורר ספק סביר בקיומה של מודעות מצדו להתקיימות הנסיבות היוצרות את הסיכון הבלתי סביר </w:t>
      </w:r>
      <w:r>
        <w:rPr>
          <w:rtl w:val="true"/>
        </w:rPr>
        <w:t>(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ישכנע כי למרות שנהיגתו עולה לכדי התרשלות חמורה</w:t>
      </w:r>
      <w:r>
        <w:rPr>
          <w:rtl w:val="true"/>
        </w:rPr>
        <w:t xml:space="preserve">, </w:t>
      </w:r>
      <w:r>
        <w:rPr>
          <w:rtl w:val="true"/>
        </w:rPr>
        <w:t>המקימה חזקה שהיה מודע לאופן נהיגתו</w:t>
      </w:r>
      <w:r>
        <w:rPr>
          <w:rtl w:val="true"/>
        </w:rPr>
        <w:t xml:space="preserve">, </w:t>
      </w:r>
      <w:r>
        <w:rPr>
          <w:rtl w:val="true"/>
        </w:rPr>
        <w:t>הרי שהלכה למעשה לא התקיימה אצלו מודעות כאמור</w:t>
      </w:r>
      <w:r>
        <w:rPr>
          <w:rtl w:val="true"/>
        </w:rPr>
        <w:t xml:space="preserve">). </w:t>
      </w:r>
      <w:r>
        <w:rPr>
          <w:rtl w:val="true"/>
        </w:rPr>
        <w:t>ואולם בהעדר תמיכה בחומר הראיות לסתירת החזקה</w:t>
      </w:r>
      <w:r>
        <w:rPr>
          <w:rtl w:val="true"/>
        </w:rPr>
        <w:t xml:space="preserve">, </w:t>
      </w:r>
      <w:r>
        <w:rPr>
          <w:rtl w:val="true"/>
        </w:rPr>
        <w:t>ניתן להניח כי נאשם מודע לנסיבות התנהלותו החריגה</w:t>
      </w:r>
      <w:r>
        <w:rPr>
          <w:rtl w:val="true"/>
        </w:rPr>
        <w:t xml:space="preserve">, </w:t>
      </w:r>
      <w:r>
        <w:rPr>
          <w:rtl w:val="true"/>
        </w:rPr>
        <w:t>באשר המדובר לא ברשלנות סתם</w:t>
      </w:r>
      <w:r>
        <w:rPr>
          <w:rtl w:val="true"/>
        </w:rPr>
        <w:t xml:space="preserve">, </w:t>
      </w:r>
      <w:r>
        <w:rPr>
          <w:rtl w:val="true"/>
        </w:rPr>
        <w:t>אלא ברשלנות חמורה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tl w:val="true"/>
        </w:rPr>
        <w:t>והמקרה שלפנינו ידגים</w:t>
      </w:r>
      <w:r>
        <w:rPr>
          <w:rtl w:val="true"/>
        </w:rPr>
        <w:t xml:space="preserve">. </w:t>
      </w:r>
      <w:r>
        <w:rPr>
          <w:rtl w:val="true"/>
        </w:rPr>
        <w:t>הנסיבות העובדתיות המבססות כי נהיגת המערער סוטה באופן קיצוני מהמקובל</w:t>
      </w:r>
      <w:r>
        <w:rPr>
          <w:rtl w:val="true"/>
        </w:rPr>
        <w:t xml:space="preserve">, </w:t>
      </w:r>
      <w:r>
        <w:rPr>
          <w:rtl w:val="true"/>
        </w:rPr>
        <w:t>ועולה לכדי רשלנות חמורה</w:t>
      </w:r>
      <w:r>
        <w:rPr>
          <w:rtl w:val="true"/>
        </w:rPr>
        <w:t xml:space="preserve">, </w:t>
      </w:r>
      <w:r>
        <w:rPr>
          <w:rtl w:val="true"/>
        </w:rPr>
        <w:t>לא היו שנויות בעיקרן במחלוקת</w:t>
      </w:r>
      <w:r>
        <w:rPr>
          <w:rtl w:val="true"/>
        </w:rPr>
        <w:t xml:space="preserve">. </w:t>
      </w:r>
      <w:r>
        <w:rPr>
          <w:rtl w:val="true"/>
        </w:rPr>
        <w:t>המערער נסע בשעות הבוקר בכביש בין עירוני מישורי</w:t>
      </w:r>
      <w:r>
        <w:rPr>
          <w:rtl w:val="true"/>
        </w:rPr>
        <w:t xml:space="preserve">, </w:t>
      </w:r>
      <w:r>
        <w:rPr>
          <w:rtl w:val="true"/>
        </w:rPr>
        <w:t>שהראות בו טובה</w:t>
      </w:r>
      <w:r>
        <w:rPr>
          <w:rtl w:val="true"/>
        </w:rPr>
        <w:t xml:space="preserve">. </w:t>
      </w:r>
      <w:r>
        <w:rPr>
          <w:rtl w:val="true"/>
        </w:rPr>
        <w:t>הצומת מוכרת לו היטב</w:t>
      </w:r>
      <w:r>
        <w:rPr>
          <w:rtl w:val="true"/>
        </w:rPr>
        <w:t xml:space="preserve">, </w:t>
      </w:r>
      <w:r>
        <w:rPr>
          <w:rtl w:val="true"/>
        </w:rPr>
        <w:t>וכך גם הרמזור המוצב בו</w:t>
      </w:r>
      <w:r>
        <w:rPr>
          <w:rtl w:val="true"/>
        </w:rPr>
        <w:t xml:space="preserve">. </w:t>
      </w:r>
      <w:r>
        <w:rPr>
          <w:rtl w:val="true"/>
        </w:rPr>
        <w:t xml:space="preserve">היה באפשרותו לראות את אור הרמזור למרחוק </w:t>
      </w:r>
      <w:r>
        <w:rPr>
          <w:rtl w:val="true"/>
        </w:rPr>
        <w:t>(</w:t>
      </w:r>
      <w:r>
        <w:rPr>
          <w:rtl w:val="true"/>
        </w:rPr>
        <w:t>כחצי ק</w:t>
      </w:r>
      <w:r>
        <w:rPr>
          <w:rtl w:val="true"/>
        </w:rPr>
        <w:t>"</w:t>
      </w:r>
      <w:r>
        <w:rPr>
          <w:rtl w:val="true"/>
        </w:rPr>
        <w:t>מ לפני ההגעה לצומת</w:t>
      </w:r>
      <w:r>
        <w:rPr>
          <w:rtl w:val="true"/>
        </w:rPr>
        <w:t xml:space="preserve">), </w:t>
      </w:r>
      <w:r>
        <w:rPr>
          <w:rtl w:val="true"/>
        </w:rPr>
        <w:t xml:space="preserve">והוא אף מאשר שראה את האור הירוק שדלק בו עד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שניות לפני שהגיע לצומת</w:t>
      </w:r>
      <w:r>
        <w:rPr>
          <w:rtl w:val="true"/>
        </w:rPr>
        <w:t xml:space="preserve">. </w:t>
      </w:r>
      <w:r>
        <w:rPr>
          <w:rtl w:val="true"/>
        </w:rPr>
        <w:t xml:space="preserve">או אז החל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האור ברמזור להתחלף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תחילה למשך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3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שניות הבהב האור הירוק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לאחר מכן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למשך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3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שניות נוספות דלק ברמזור אור צהוב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ולבסוף כ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-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6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שניות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(!)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בטרם הגיע המערער לצומת דלק ברמזור בכיוונו אור אדום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בכל אלה לא היה די כדי להביא את המערער לעצור ואף לא להאט ממהירותו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כפי שמחויב כל נהג המתקרב לצומת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המערער המשיך לדהור לכיוון הצומת במהירות של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113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קמ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והתעלם גם מכך שמכוניות שנסעו בנתיבים סמוכים האטו לעצירה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במצב דברים זה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חזקה על המערער כי היה מודע היטב לנסיבות המגבשות את עבירת ההריגה בקלות דעת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דהיינו לכך שהוא נכנס לצומת באור אדום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בלשון העם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: "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ניסה לגנוב את הרמזור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"),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באופן היוצר סיכון בלתי סביר לחיי אדם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,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הגרסה אותה העלה המערער על מנת לסתור את החזקה כי היה מודע לנסיבות החריגות בהן נכנס לצומת היא גרסה תמוהה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אשר אין לה כל תמיכה לא בחומר הראיות ולא בהיגיון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בסיכומיו טוען בא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-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כוח המערער כי מרשו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ברמזור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הריכוז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ובחוויתו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כלשונו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לצומת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ונכנס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בחוויתו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השתבש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כשהבחין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לצומת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לנימוקי הערעור</w:t>
      </w:r>
      <w:r>
        <w:rPr>
          <w:rtl w:val="true"/>
        </w:rPr>
        <w:t>)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משמעותה של גרסה זו </w:t>
      </w:r>
      <w:r>
        <w:rPr>
          <w:rtl w:val="true"/>
        </w:rPr>
        <w:t xml:space="preserve">היא כי דעתו של המערער </w:t>
      </w:r>
      <w:r>
        <w:rPr>
          <w:rtl w:val="true"/>
        </w:rPr>
        <w:t>(</w:t>
      </w:r>
      <w:r>
        <w:rPr>
          <w:rtl w:val="true"/>
        </w:rPr>
        <w:t>כמו גם של אחיו אשר ישב לצדו</w:t>
      </w:r>
      <w:r>
        <w:rPr>
          <w:rtl w:val="true"/>
        </w:rPr>
        <w:t xml:space="preserve">) </w:t>
      </w:r>
      <w:r>
        <w:rPr>
          <w:rtl w:val="true"/>
        </w:rPr>
        <w:t xml:space="preserve">הוסחה לפרק זמן של לפחות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שניות מאשר מתרחש בכביש</w:t>
      </w:r>
      <w:r>
        <w:rPr>
          <w:rtl w:val="true"/>
        </w:rPr>
        <w:t xml:space="preserve">, </w:t>
      </w:r>
      <w:r>
        <w:rPr>
          <w:rtl w:val="true"/>
        </w:rPr>
        <w:t>וזאת למרות שהוא יודע שהוא מתקרב לצומת מרומזרת בכביש ראשי</w:t>
      </w:r>
      <w:r>
        <w:rPr>
          <w:rtl w:val="true"/>
        </w:rPr>
        <w:t xml:space="preserve">. </w:t>
      </w:r>
      <w:r>
        <w:rPr>
          <w:rtl w:val="true"/>
        </w:rPr>
        <w:t>ניתן לתמוהה האם הסחת דעת כה ארוכה מהמתרחש בכביש אינה מהווה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 xml:space="preserve">נהיגה בקלות דעת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, </w:t>
      </w:r>
      <w:hyperlink r:id="rId5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9956/05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סג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742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 xml:space="preserve">)).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בנסיבות המקרה</w:t>
      </w:r>
      <w:r>
        <w:rPr>
          <w:rtl w:val="true"/>
        </w:rPr>
        <w:t xml:space="preserve">, </w:t>
      </w:r>
      <w:r>
        <w:rPr>
          <w:rtl w:val="true"/>
        </w:rPr>
        <w:t>אין צורך לעסוק בכך</w:t>
      </w:r>
      <w:r>
        <w:rPr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שכן לא הונח כל בסיס לסטות מחזקת המודעות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אם לא די בכך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באות אי ההתאמות בגרסאות המערער שאוזכרו לעיל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ואשר עליהן עמד בית המשפט קמא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ויוצרות טעם נוסף לדחיית גרסת הסחת הדעת של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tl w:val="true"/>
        </w:rPr>
        <w:t>קיצורו של דבר</w:t>
      </w:r>
      <w:r>
        <w:rPr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בהעדר הסבר של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ממש מצד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המערער להתנה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ותו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החריגה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על הכביש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המסקנה ה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מתבקשת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היא כי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היה מודע לאופן נהיגתו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דהיינו לכך שהוא נכנס לצומת באור אדום בוהק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על הסיכון הבלתי סביר הכרוך בה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משמע הוכח שהמערער פעל בקלות דעת</w:t>
      </w:r>
      <w:r>
        <w:rPr>
          <w:shd w:fill="FFFFFF" w:val="clear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לנוכח כל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המקובץ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אני סבור כי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בית המשפט קמא צדק במסקנתו </w:t>
      </w:r>
      <w:r>
        <w:rPr>
          <w:shd w:fill="FFFFFF" w:val="clear"/>
          <w:rtl w:val="true"/>
        </w:rPr>
        <w:t>לפיה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ניתן להסיק במקרה דנן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ברמה הדרושה לצורך הרשעה בהליך פלילי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כי המערער נטל במודע </w:t>
      </w:r>
      <w:r>
        <w:rPr>
          <w:shd w:fill="FFFFFF" w:val="clear"/>
          <w:rtl w:val="true"/>
        </w:rPr>
        <w:t>סיכון בלתי סביר</w:t>
      </w:r>
      <w:r>
        <w:rPr>
          <w:shd w:fill="FFFFFF" w:val="clear"/>
          <w:rtl w:val="true"/>
        </w:rPr>
        <w:t xml:space="preserve"> כי תגרם תאונת דרכים קטלנית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אף אם קיווה כי יצליח למנוע אפשרות זו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לפיכך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ובהינתן שלא מצאתי כל ממש בהשגות האחרות שהעלה המערער נגד הכרעת הדין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אציע לאשר את הרשעת המערער בדין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תוך המרה של עבירת ההריגה בה הורשע בעבירת המתה בקלות דעת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כאמור בפסקה </w:t>
      </w:r>
      <w:r>
        <w:rPr>
          <w:shd w:fill="FFFFFF" w:val="clear"/>
        </w:rPr>
        <w:t>22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לעיל</w:t>
      </w:r>
      <w:r>
        <w:rPr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ascii="Century" w:hAnsi="Century" w:cs="Miriam"/>
          <w:b/>
          <w:b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בערעורו על גזר הדין טוען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,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כי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בית המשפט המחוזי חרג מרמת הענישה המקובלת בנסיבות דומות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ולא נתן משקל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מספיק לנסיבות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יו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האישיות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המקבלות משנה תוקף בתסקירי שירות המבחן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המשיבה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מנגד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הטעימה כי העונש שהושת על המערער הולם את חומרת מעשיו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בהזכירה כי המערער ביצע עבירות תעבורה לאחר שנפסל רישיונו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לרבות עבירת אי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-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ציות לרמזור אדום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כידוע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אין </w:t>
      </w:r>
      <w:r>
        <w:rPr>
          <w:shd w:fill="FFFFFF" w:val="clear"/>
          <w:rtl w:val="true"/>
        </w:rPr>
        <w:t xml:space="preserve">זו </w:t>
      </w:r>
      <w:r>
        <w:rPr>
          <w:shd w:fill="FFFFFF" w:val="clear"/>
          <w:rtl w:val="true"/>
        </w:rPr>
        <w:t xml:space="preserve">דרכה </w:t>
      </w:r>
      <w:r>
        <w:rPr>
          <w:rStyle w:val="apple-style-span"/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של ערכאת הערעור להתערב בחומרת העונש שהוטל על ידי הערכאה הדיונית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tl w:val="true"/>
        </w:rPr>
        <w:t xml:space="preserve">אלא בנסיבות שבהן </w:t>
      </w:r>
      <w:r>
        <w:rPr>
          <w:rtl w:val="true"/>
        </w:rPr>
        <w:t>ניכרת סטייה משמעותית ממדיניות הענישה הראויה בנסיבות העניין</w:t>
      </w:r>
      <w:r>
        <w:rPr>
          <w:rtl w:val="true"/>
        </w:rPr>
        <w:t xml:space="preserve"> או כאשר נפלה טעות בולטת בגזר הדין</w:t>
      </w:r>
      <w:r>
        <w:rPr>
          <w:rStyle w:val="apple-style-span"/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hyperlink r:id="rId60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3821/08</w:t>
        </w:r>
      </w:hyperlink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שלומוב</w:t>
      </w:r>
      <w:r>
        <w:rPr>
          <w:rStyle w:val="apple-style-span"/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Style w:val="apple-style-span"/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Style w:val="apple-style-span"/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Style w:val="apple-style-span"/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Style w:val="apple-style-span"/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Style w:val="apple-style-span"/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Style w:val="apple-style-span"/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Style w:val="apple-style-span"/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Style w:val="apple-style-span"/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</w:rPr>
        <w:t>30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(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</w:rPr>
        <w:t>27.11.2008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) (</w:t>
      </w:r>
      <w:r>
        <w:rPr>
          <w:rStyle w:val="apple-style-span"/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להלן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: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עניין</w:t>
      </w:r>
      <w:r>
        <w:rPr>
          <w:rStyle w:val="apple-style-span"/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שלומוב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); </w:t>
      </w:r>
      <w:hyperlink r:id="rId61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3585/13</w:t>
        </w:r>
      </w:hyperlink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Style w:val="apple-style-span"/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Style w:val="apple-style-span"/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Style w:val="apple-style-span"/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הררי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Style w:val="apple-style-span"/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Style w:val="apple-style-span"/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Style w:val="apple-style-span"/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Style w:val="apple-style-span"/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Style w:val="apple-style-span"/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Style w:val="apple-style-span"/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</w:rPr>
        <w:t>8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(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</w:rPr>
        <w:t>26.4.2015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); </w:t>
      </w:r>
      <w:hyperlink r:id="rId62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456/16</w:t>
        </w:r>
      </w:hyperlink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צ</w:t>
      </w:r>
      <w:r>
        <w:rPr>
          <w:rStyle w:val="apple-style-span"/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ורני</w:t>
      </w:r>
      <w:r>
        <w:rPr>
          <w:rStyle w:val="apple-style-span"/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Style w:val="apple-style-span"/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Style w:val="apple-style-span"/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Style w:val="apple-style-span"/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Style w:val="apple-style-span"/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Style w:val="apple-style-span"/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Style w:val="apple-style-span"/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Style w:val="apple-style-span"/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Style w:val="apple-style-span"/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</w:rPr>
        <w:t>39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(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</w:rPr>
        <w:t>4.3.2018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); </w:t>
      </w:r>
      <w:hyperlink r:id="rId63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1802/17</w:t>
        </w:r>
      </w:hyperlink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אבו</w:t>
      </w:r>
      <w:r>
        <w:rPr>
          <w:rStyle w:val="apple-style-span"/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סיאם</w:t>
      </w:r>
      <w:r>
        <w:rPr>
          <w:rStyle w:val="apple-style-span"/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Style w:val="apple-style-span"/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Style w:val="apple-style-span"/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Style w:val="apple-style-span"/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Style w:val="apple-style-span"/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Style w:val="apple-style-span"/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Style w:val="apple-style-span"/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Style w:val="apple-style-span"/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Style w:val="apple-style-span"/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Style w:val="apple-style-span"/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</w:rPr>
        <w:t>10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(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</w:rPr>
        <w:t>28.6.2018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)). </w:t>
      </w:r>
      <w:r>
        <w:rPr>
          <w:rStyle w:val="apple-style-span"/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ואולם</w:t>
      </w:r>
      <w:r>
        <w:rPr>
          <w:rStyle w:val="apple-style-span"/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לאחר ששקלתי בדבר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ולא בלי התלבטות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הגעתי לכלל מסקנה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כי בית המשפט המחוזי החמיר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מעבר למקובל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בעונשו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של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ולפיכך כי יש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להקל במידה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מה בעונש שנגזר עליו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tl w:val="true"/>
        </w:rPr>
        <w:t>החומרה שבמעשיו של המערער ברורה על פני הדברים</w:t>
      </w:r>
      <w:r>
        <w:rPr>
          <w:rtl w:val="true"/>
        </w:rPr>
        <w:t xml:space="preserve">. </w:t>
      </w:r>
      <w:r>
        <w:rPr>
          <w:rtl w:val="true"/>
        </w:rPr>
        <w:t xml:space="preserve">אין צורך להכביר במילים על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תופעת הקטל בכבישים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אשר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הפכה למגיפה של ממש בחברה הישראלית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ועל הצורך לנקוט בענישה מחמירה אשר יהא בה כדי לסייע במיגור התופעה וכן כדי לבטא את ערך קדושת החיים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hyperlink r:id="rId64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11786/04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טריף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8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5.9.2005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);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מג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דוב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8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; </w:t>
      </w:r>
      <w:hyperlink r:id="rId65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רע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548/05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לוין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4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19.1.2006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);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שלומוב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34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; </w:t>
      </w:r>
      <w:hyperlink r:id="rId66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2221/16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טיגבה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10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1.9.2016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) 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להלן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טיגבה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))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.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צד האמור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אין מחלוקת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כי העונש שנגזר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אינו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אמור לחרוג מרמת הענישה המקובל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ת בנסיבות דומות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בנסיבות המקרה דנן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לאחר עיון בפסיקת בית משפט זה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,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לרבות באסמכתאות שנזכרו בגזר הדין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באתי לכלל מסקנה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כי העונש שהושת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על המערער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חורג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במידת מה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לחומרה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מדיניות הענישה הנקוטה בידינו בעבירות כגון דא ובנסיבות דומות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ומצדיק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את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התערבות ערכאת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ערעור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כך למשל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ראו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מבין רבים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: </w:t>
      </w:r>
      <w:hyperlink r:id="rId67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4749/00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סאלם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24.10.2001</w:t>
      </w:r>
      <w:r>
        <w:rPr>
          <w:shd w:fill="FFFFFF" w:val="clear"/>
          <w:rtl w:val="true"/>
        </w:rPr>
        <w:t>) (</w:t>
      </w:r>
      <w:r>
        <w:rPr>
          <w:shd w:fill="FFFFFF" w:val="clear"/>
        </w:rPr>
        <w:t>2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שנות מאסר בפועל</w:t>
      </w:r>
      <w:r>
        <w:rPr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171/05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6.6.2005</w:t>
      </w:r>
      <w:r>
        <w:rPr>
          <w:rtl w:val="true"/>
        </w:rPr>
        <w:t>) 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);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6261/05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9.3.2006</w:t>
      </w:r>
      <w:r>
        <w:rPr>
          <w:rtl w:val="true"/>
        </w:rPr>
        <w:t>) 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);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1196/07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סאהר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17.6.2007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) 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3.5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שנות מאסר בפועל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) 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להלן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סאהר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); </w:t>
      </w:r>
      <w:hyperlink r:id="rId7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2855/08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יעקב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9.3.2009</w:t>
      </w:r>
      <w:r>
        <w:rPr>
          <w:rtl w:val="true"/>
        </w:rPr>
        <w:t>) (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זילברמן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3.5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שנות מאסר בפועל</w:t>
      </w:r>
      <w:r>
        <w:rPr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עבדאללה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5.9.2011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) 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4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שנות מאסר בפועל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); </w:t>
      </w:r>
      <w:hyperlink r:id="rId73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8464/15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פנזין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30.10.2017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) 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2.5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שנות מאסר בפועל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); </w:t>
      </w:r>
      <w:r>
        <w:rPr>
          <w:shd w:fill="FFFFFF" w:val="clear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טיגבה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שנות מאסר בפועל</w:t>
      </w:r>
      <w:r>
        <w:rPr>
          <w:shd w:fill="FFFFFF" w:val="clear"/>
          <w:rtl w:val="true"/>
        </w:rPr>
        <w:t>)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מסקנ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זו עומדת בעינה גם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כאשר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בוחנים פסקי דין שעסקו במקרים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חמורים באופן יחסי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מהמקרה שלפנינו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ובהם הוטלו עונשי מאסר לתקופה הדומה לזו שהוטלה על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ולעתים אף קצרה ממנה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ראו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למשל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hyperlink r:id="rId74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5960/06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קורקורשוילי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21.6.2007</w:t>
      </w:r>
      <w:r>
        <w:rPr>
          <w:shd w:fill="FFFFFF" w:val="clear"/>
          <w:rtl w:val="true"/>
        </w:rPr>
        <w:t>) (</w:t>
      </w:r>
      <w:r>
        <w:rPr>
          <w:shd w:fill="FFFFFF" w:val="clear"/>
          <w:rtl w:val="true"/>
        </w:rPr>
        <w:t xml:space="preserve">הושתו </w:t>
      </w:r>
      <w:r>
        <w:rPr>
          <w:shd w:fill="FFFFFF" w:val="clear"/>
        </w:rPr>
        <w:t>3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שנות מאסר בפועל כאשר בגין תאונה קטלנית בה נהרגו </w:t>
      </w:r>
      <w:r>
        <w:rPr>
          <w:shd w:fill="FFFFFF" w:val="clear"/>
        </w:rPr>
        <w:t>2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אנשים</w:t>
      </w:r>
      <w:r>
        <w:rPr>
          <w:shd w:fill="FFFFFF" w:val="clear"/>
          <w:rtl w:val="true"/>
        </w:rPr>
        <w:t xml:space="preserve">);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570/07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7.5.2007</w:t>
      </w:r>
      <w:r>
        <w:rPr>
          <w:rtl w:val="true"/>
        </w:rPr>
        <w:t>) (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בגין תאונה קטלנית בה נהרגו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); </w:t>
      </w:r>
      <w:hyperlink r:id="rId76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6087/08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שרביט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27.7.2008</w:t>
      </w:r>
      <w:r>
        <w:rPr>
          <w:shd w:fill="FFFFFF" w:val="clear"/>
          <w:rtl w:val="true"/>
        </w:rPr>
        <w:t>) (</w:t>
      </w:r>
      <w:r>
        <w:rPr>
          <w:shd w:fill="FFFFFF" w:val="clear"/>
        </w:rPr>
        <w:t>7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שנות מאסר בפועל בגין תאונה קטלנית בה נהרגו </w:t>
      </w:r>
      <w:r>
        <w:rPr>
          <w:shd w:fill="FFFFFF" w:val="clear"/>
        </w:rPr>
        <w:t>4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אנשים</w:t>
      </w:r>
      <w:r>
        <w:rPr>
          <w:shd w:fill="FFFFFF" w:val="clear"/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shd w:fill="FFFFFF" w:val="clear"/>
          <w:rtl w:val="true"/>
        </w:rPr>
        <w:t xml:space="preserve">בפועל בגין תאונה קטלנית בה נהרגו </w:t>
      </w:r>
      <w:r>
        <w:rPr>
          <w:shd w:fill="FFFFFF" w:val="clear"/>
        </w:rPr>
        <w:t>3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אנשים</w:t>
      </w:r>
      <w:r>
        <w:rPr>
          <w:shd w:fill="FFFFFF" w:val="clear"/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בגין תאונה קטלנית בה נהרגו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>).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hd w:fill="FFFFFF" w:val="clear"/>
          <w:rtl w:val="true"/>
        </w:rPr>
        <w:t>לעומת זאת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לא מצאתי בטעמים המרכזיים הנוספים שהעלה המערער הצדקה להתערב בגזר דינו של בית המשפט המחוזי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כך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בניגוד לטענת המערער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 xml:space="preserve">רפורמה בעבירות ההמתה </w:t>
      </w:r>
      <w:r>
        <w:rPr>
          <w:shd w:fill="FFFFFF" w:val="clear"/>
          <w:rtl w:val="true"/>
        </w:rPr>
        <w:t xml:space="preserve">כשלעצמה אינה מצדיקה </w:t>
      </w:r>
      <w:r>
        <w:rPr>
          <w:shd w:fill="FFFFFF" w:val="clear"/>
          <w:rtl w:val="true"/>
        </w:rPr>
        <w:t>הקלה ב</w:t>
      </w:r>
      <w:r>
        <w:rPr>
          <w:shd w:fill="FFFFFF" w:val="clear"/>
          <w:rtl w:val="true"/>
        </w:rPr>
        <w:t>רף הענישה בעבירות של הריגה בקלות דעת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דברי ההסבר להצעת החוק מדגישים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כי הענישה במסגרת העבירה נועדת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לעלות </w:t>
      </w:r>
      <w:r>
        <w:rPr>
          <w:rFonts w:cs="Century" w:ascii="Century" w:hAnsi="Century"/>
          <w:sz w:val="22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העונשים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נוהגים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לגזור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הריגה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תאונת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דרכים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מטבע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הוא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ככלל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דעת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", </w:t>
      </w:r>
      <w:r>
        <w:rPr>
          <w:shd w:fill="FFFFFF" w:val="clear"/>
          <w:rtl w:val="true"/>
        </w:rPr>
        <w:t xml:space="preserve">ולא במטרה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להקל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עם הממיתים בקלות דעת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אשר עובר לרפורמה הורשעו בעבירת ההריגה </w:t>
      </w:r>
      <w:r>
        <w:rPr>
          <w:shd w:fill="FFFFFF" w:val="clear"/>
          <w:rtl w:val="true"/>
        </w:rPr>
        <w:t>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דברי ההסבר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להצעת </w:t>
      </w:r>
      <w:hyperlink r:id="rId77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חוק העונשין</w:t>
        </w:r>
      </w:hyperlink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תיקון מס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'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119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) 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עבירות המתה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התשע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ד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-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2014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"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ח הממשלה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862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873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; </w:t>
      </w:r>
      <w:hyperlink r:id="rId78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8470/19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בורובסקי</w:t>
      </w:r>
      <w:r>
        <w:rPr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22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25.8.2021</w:t>
      </w:r>
      <w:r>
        <w:rPr>
          <w:shd w:fill="FFFFFF" w:val="clear"/>
          <w:rtl w:val="true"/>
        </w:rPr>
        <w:t xml:space="preserve">); </w:t>
      </w:r>
      <w:hyperlink r:id="rId79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2014/20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אנקרי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22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19.1.2021</w:t>
      </w:r>
      <w:r>
        <w:rPr>
          <w:shd w:fill="FFFFFF" w:val="clear"/>
          <w:rtl w:val="true"/>
        </w:rPr>
        <w:t>)).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rtl w:val="true"/>
        </w:rPr>
        <w:t>כך גם אין בידי לקבל את טענת המערער לפיה שגה בית המשפט המחוזי בדחותו את המלצת שירות המבחן לגזור עליו עונש מאסר בפועל שירוצה בעבודות שירות</w:t>
      </w:r>
      <w:r>
        <w:rPr>
          <w:rtl w:val="true"/>
        </w:rPr>
        <w:t xml:space="preserve">. </w:t>
      </w:r>
      <w:r>
        <w:rPr>
          <w:shd w:fill="FFFFFF" w:val="clear"/>
          <w:rtl w:val="true"/>
        </w:rPr>
        <w:t>כידוע</w:t>
      </w:r>
      <w:r>
        <w:rPr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עמדת שירות המבחן אינה אלא אחד השיקולים העומדים לפני בית המשפט בגזירת הדין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,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ובית המשפט אינו מחויב לאמצ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hyperlink r:id="rId80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8659/13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אלמליח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16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14.5.2014</w:t>
      </w:r>
      <w:r>
        <w:rPr>
          <w:shd w:fill="FFFFFF" w:val="clear"/>
          <w:rtl w:val="true"/>
        </w:rPr>
        <w:t>)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; </w:t>
      </w:r>
      <w:hyperlink r:id="rId81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5371/14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11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16.9.2014</w:t>
      </w:r>
      <w:r>
        <w:rPr>
          <w:shd w:fill="FFFFFF" w:val="clear"/>
          <w:rtl w:val="true"/>
        </w:rPr>
        <w:t xml:space="preserve">); </w:t>
      </w:r>
      <w:hyperlink r:id="rId82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6310/14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15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16.6.2015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)</w:t>
      </w:r>
      <w:r>
        <w:rPr>
          <w:shd w:fill="FFFFFF" w:val="clear"/>
          <w:rtl w:val="true"/>
        </w:rPr>
        <w:t xml:space="preserve">).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בית משפט קמא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נתן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דעתו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והתחשב ב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נסיבותיו האישיות של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לרבות גילו הצעיר והודאתו בהזדמנות הראשונה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וכן בסיכויי שיקומו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תוך התייחסות להמלצות שירות המבחן בעניינו של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עם זאת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בית משפט קמא סבר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ולכך אנ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י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מסכים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כי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חומרת המעשה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כמו גם מדיניות הענישה הנוהגת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מחייבות הטלת עונש מאסר לתקופה משמעותית </w:t>
      </w:r>
      <w:r>
        <w:rPr>
          <w:rtl w:val="true"/>
        </w:rPr>
        <w:t xml:space="preserve">מאחורי סורג ובריח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סאהר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10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; </w:t>
      </w:r>
      <w:hyperlink r:id="rId83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783/07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עתאבה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ט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23.9.2007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); </w:t>
      </w:r>
      <w:hyperlink r:id="rId84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6755/09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אלמוג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6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16.11.2009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)).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הדברים אמורים ביתר שאת בשים לב לכך שהמערער המשיך לבצע עבירות תעבורה חמורות גם לאחר שנפסל רישיונו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שיקול לחומרה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אשר בצדק הובא בחשבון במסגרת גזר הדין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hyperlink r:id="rId85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רע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5062/20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עודה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16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27.4.2021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); </w:t>
      </w:r>
      <w:hyperlink r:id="rId86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4498/14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גרידיש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64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13.5.2015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hd w:fill="FFFFFF" w:val="clear"/>
          <w:rtl w:val="true"/>
        </w:rPr>
        <w:t>ב</w:t>
      </w:r>
      <w:r>
        <w:rPr>
          <w:shd w:fill="FFFFFF" w:val="clear"/>
          <w:rtl w:val="true"/>
        </w:rPr>
        <w:t>מכלול ה</w:t>
      </w:r>
      <w:r>
        <w:rPr>
          <w:shd w:fill="FFFFFF" w:val="clear"/>
          <w:rtl w:val="true"/>
        </w:rPr>
        <w:t xml:space="preserve">נסיבות </w:t>
      </w:r>
      <w:r>
        <w:rPr>
          <w:shd w:fill="FFFFFF" w:val="clear"/>
          <w:rtl w:val="true"/>
        </w:rPr>
        <w:t>הללו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אציע לחברי ולחברתי כי נתערב במידת מה בעונש שנגזר על המערער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ונ</w:t>
      </w:r>
      <w:r>
        <w:rPr>
          <w:shd w:fill="FFFFFF" w:val="clear"/>
          <w:rtl w:val="true"/>
        </w:rPr>
        <w:t xml:space="preserve">פחית </w:t>
      </w:r>
      <w:r>
        <w:rPr>
          <w:shd w:fill="FFFFFF" w:val="clear"/>
          <w:rtl w:val="true"/>
        </w:rPr>
        <w:t>שנת מאסר מ</w:t>
      </w:r>
      <w:r>
        <w:rPr>
          <w:shd w:fill="FFFFFF" w:val="clear"/>
          <w:rtl w:val="true"/>
        </w:rPr>
        <w:t>עונשו של המערער</w:t>
      </w:r>
      <w:r>
        <w:rPr>
          <w:shd w:fill="FFFFFF" w:val="clear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כך שיעמוד על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shd w:fill="FFFFFF" w:val="clear"/>
          <w:rtl w:val="true"/>
        </w:rPr>
        <w:t xml:space="preserve">יתר </w:t>
      </w:r>
      <w:r>
        <w:rPr>
          <w:shd w:fill="FFFFFF" w:val="clear"/>
          <w:rtl w:val="true"/>
        </w:rPr>
        <w:t xml:space="preserve">רכיבי </w:t>
      </w:r>
      <w:r>
        <w:rPr>
          <w:shd w:fill="FFFFFF" w:val="clear"/>
          <w:rtl w:val="true"/>
        </w:rPr>
        <w:t xml:space="preserve">גזר הדין </w:t>
      </w:r>
      <w:r>
        <w:rPr>
          <w:shd w:fill="FFFFFF" w:val="clear"/>
          <w:rtl w:val="true"/>
        </w:rPr>
        <w:t>יישארו על כנם</w:t>
      </w:r>
      <w:r>
        <w:rPr>
          <w:shd w:fill="FFFFFF" w:val="clear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szCs w:val="22"/>
        </w:rPr>
      </w:pPr>
      <w:r>
        <w:rPr>
          <w:rtl w:val="true"/>
        </w:rPr>
        <w:tab/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;Arial" w:hAnsi="Arial;Arial" w:cs="Arial;Arial"/>
          <w:szCs w:val="22"/>
        </w:rPr>
      </w:pPr>
      <w:r>
        <w:rPr>
          <w:rFonts w:cs="Arial;Arial" w:ascii="Arial;Arial" w:hAnsi="Arial;Arial"/>
          <w:szCs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שמתבסס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ממסקנותיו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ומנימוקיו</w:t>
      </w:r>
      <w:r>
        <w:rPr>
          <w:rtl w:val="true"/>
        </w:rPr>
        <w:t xml:space="preserve">.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התחלף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",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?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למנען</w:t>
      </w:r>
      <w:r>
        <w:rPr>
          <w:rtl w:val="true"/>
        </w:rPr>
        <w:t>" (</w:t>
      </w:r>
      <w:hyperlink r:id="rId8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). </w:t>
      </w:r>
      <w:r>
        <w:rPr>
          <w:rtl w:val="true"/>
        </w:rPr>
        <w:t>מסופקני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ולנימוקיה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2"/>
        <w:gridCol w:w="2782"/>
        <w:gridCol w:w="2799"/>
      </w:tblGrid>
      <w:tr>
        <w:trPr/>
        <w:tc>
          <w:tcPr>
            <w:tcW w:w="278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2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</w:r>
    </w:p>
    <w:p>
      <w:pPr>
        <w:pStyle w:val="Ruller41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מצטרפת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גרוסקופף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אוסיף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המודעות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יסודה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דחיית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42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גרוסקופף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bookmarkStart w:id="26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בחשון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10.10.2021</w:t>
      </w:r>
      <w:r>
        <w:rPr>
          <w:rFonts w:cs="Century" w:ascii="Century" w:hAnsi="Century"/>
          <w:rtl w:val="true"/>
        </w:rPr>
        <w:t xml:space="preserve">). </w:t>
      </w:r>
      <w:bookmarkEnd w:id="26"/>
    </w:p>
    <w:p>
      <w:pPr>
        <w:pStyle w:val="Ruller41"/>
        <w:spacing w:lineRule="auto" w:line="480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19072220</w:t>
      </w:r>
      <w:r>
        <w:rPr>
          <w:sz w:val="16"/>
          <w:rtl w:val="true"/>
        </w:rPr>
        <w:t>_</w:t>
      </w:r>
      <w:r>
        <w:rPr>
          <w:sz w:val="16"/>
        </w:rPr>
        <w:t>Y06.docx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מח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וילנר </w:t>
      </w:r>
      <w:r>
        <w:rPr>
          <w:rFonts w:cs="David;Times New Roman" w:ascii="David;Times New Roman" w:hAnsi="David;Times New Roman"/>
          <w:color w:val="000000"/>
          <w:szCs w:val="22"/>
        </w:rPr>
        <w:t>54678313-7222/19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1"/>
      <w:footerReference w:type="default" r:id="rId92"/>
      <w:type w:val="nextPage"/>
      <w:pgSz w:w="11906" w:h="16838"/>
      <w:pgMar w:left="1803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Aria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25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7222/19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בלאל אלגרגאוי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 w:val="false"/>
        <w:kern w:val="0"/>
        <w:szCs w:val="28"/>
        <w:bCs w:val="false"/>
        <w:w w:val="100"/>
        <w:vanish w:val="false"/>
        <w:rFonts w:ascii="Century" w:hAnsi="Century" w:cs="FrankRuehl;Times New Roman"/>
        <w:color w:val="000000"/>
        <w:lang w:val="en-US"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;Times New Roman" w:hAnsi="FrankRuehl;Times New Roman" w:eastAsia="Times New Roman;Times New Roman" w:cs="FrankRuehl;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FrankRuehl;Times New Roman" w:hAnsi="FrankRuehl;Times New Roman" w:eastAsia="Times New Roman;Times New Roman" w:cs="FrankRuehl;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sz w:val="28"/>
    </w:rPr>
  </w:style>
  <w:style w:type="character" w:styleId="WW8Num14z0">
    <w:name w:val="WW8Num14z0"/>
    <w:qFormat/>
    <w:rPr>
      <w:rFonts w:ascii="FrankRuehl;Times New Roman" w:hAnsi="FrankRuehl;Times New Roman" w:eastAsia="Times New Roman;Times New Roman" w:cs="FrankRuehl;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Century" w:hAnsi="Century" w:cs="FrankRuehl;Times New Roman"/>
      <w:b w:val="false"/>
      <w:bCs w:val="false"/>
      <w:i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val="en-US" w:bidi="he-IL"/>
    </w:rPr>
  </w:style>
  <w:style w:type="character" w:styleId="WW8Num16z0">
    <w:name w:val="WW8Num16z0"/>
    <w:qFormat/>
    <w:rPr>
      <w:sz w:val="28"/>
    </w:rPr>
  </w:style>
  <w:style w:type="character" w:styleId="WW8Num17z0">
    <w:name w:val="WW8Num17z0"/>
    <w:qFormat/>
    <w:rPr>
      <w:rFonts w:ascii="FrankRuehl;Times New Roman" w:hAnsi="FrankRuehl;Times New Roman" w:eastAsia="Times New Roman;Times New Roman" w:cs="FrankRuehl;Times New Roman"/>
      <w:sz w:val="28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FrankRuehl;Times New Roman" w:hAnsi="FrankRuehl;Times New Roman" w:eastAsia="Times New Roman;Times New Roman" w:cs="FrankRuehl;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FrankRuehl;Times New Roman" w:hAnsi="FrankRuehl;Times New Roman" w:cs="FrankRuehl;Times New Roman"/>
      <w:color w:val="000000"/>
      <w:sz w:val="26"/>
    </w:rPr>
  </w:style>
  <w:style w:type="character" w:styleId="WW8Num20z0">
    <w:name w:val="WW8Num20z0"/>
    <w:qFormat/>
    <w:rPr>
      <w:rFonts w:ascii="FrankRuehl;Times New Roman" w:hAnsi="FrankRuehl;Times New Roman" w:eastAsia="Times New Roman;Times New Roman" w:cs="FrankRuehl;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FrankRuehl;Times New Roman" w:hAnsi="FrankRuehl;Times New Roman" w:eastAsia="Times New Roman;Times New Roman" w:cs="FrankRuehl;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FrankRuehl;Times New Roman" w:hAnsi="FrankRuehl;Times New Roman" w:eastAsia="Times New Roman;Times New Roman" w:cs="FrankRuehl;Times New Roman"/>
      <w:color w:val="000000"/>
      <w:sz w:val="26"/>
    </w:rPr>
  </w:style>
  <w:style w:type="character" w:styleId="WW8Num25z0">
    <w:name w:val="WW8Num25z0"/>
    <w:qFormat/>
    <w:rPr>
      <w:rFonts w:ascii="FrankRuehl;Times New Roman" w:hAnsi="FrankRuehl;Times New Roman" w:eastAsia="Times New Roman;Times New Roman" w:cs="FrankRuehl;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sz w:val="28"/>
    </w:rPr>
  </w:style>
  <w:style w:type="character" w:styleId="WW8Num27z0">
    <w:name w:val="WW8Num27z0"/>
    <w:qFormat/>
    <w:rPr>
      <w:rFonts w:ascii="FrankRuehl;Times New Roman" w:hAnsi="FrankRuehl;Times New Roman" w:eastAsia="Times New Roman;Times New Roman" w:cs="FrankRuehl;Times New Roman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sz w:val="28"/>
    </w:rPr>
  </w:style>
  <w:style w:type="character" w:styleId="WW8Num29z0">
    <w:name w:val="WW8Num29z0"/>
    <w:qFormat/>
    <w:rPr>
      <w:rFonts w:ascii="FrankRuehl;Times New Roman" w:hAnsi="FrankRuehl;Times New Roman" w:eastAsia="Times New Roman;Times New Roman" w:cs="FrankRuehl;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FrankRuehl;Times New Roman" w:hAnsi="FrankRuehl;Times New Roman" w:eastAsia="Times New Roman;Times New Roman" w:cs="FrankRuehl;Times New Roman"/>
      <w:sz w:val="28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FrankRuehl;Times New Roman" w:hAnsi="FrankRuehl;Times New Roman" w:eastAsia="Times New Roman;Times New Roman" w:cs="FrankRuehl;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FrankRuehl;Times New Roman" w:hAnsi="FrankRuehl;Times New Roman" w:eastAsia="Times New Roman;Times New Roman" w:cs="FrankRuehl;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FrankRuehl;Times New Roman" w:hAnsi="FrankRuehl;Times New Roman" w:eastAsia="Times New Roman;Times New Roman" w:cs="FrankRuehl;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FrankRuehl;Times New Roman" w:hAnsi="FrankRuehl;Times New Roman" w:eastAsia="Times New Roman;Times New Roman" w:cs="FrankRuehl;Times New Roman"/>
      <w:sz w:val="28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highlight">
    <w:name w:val="highlight"/>
    <w:basedOn w:val="DefaultParagraphFont"/>
    <w:qFormat/>
    <w:rPr/>
  </w:style>
  <w:style w:type="character" w:styleId="Emphasis">
    <w:name w:val="Emphasis"/>
    <w:qFormat/>
    <w:rPr>
      <w:i/>
      <w:iCs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character" w:styleId="term11">
    <w:name w:val="term_11"/>
    <w:qFormat/>
    <w:rPr>
      <w:shd w:fill="FFFF66" w:val="clear"/>
    </w:rPr>
  </w:style>
  <w:style w:type="character" w:styleId="term1">
    <w:name w:val="term_1"/>
    <w:qFormat/>
    <w:rPr/>
  </w:style>
  <w:style w:type="character" w:styleId="Style14">
    <w:name w:val="סוג_הליך"/>
    <w:qFormat/>
    <w:rPr>
      <w:rFonts w:ascii="Times New Roman;Times New Roman" w:hAnsi="Times New Roman;Times New Roman" w:cs="David;Times New Roman"/>
      <w:color w:val="FF0000"/>
      <w:sz w:val="20"/>
      <w:szCs w:val="20"/>
      <w:u w:val="single"/>
    </w:rPr>
  </w:style>
  <w:style w:type="character" w:styleId="Ruller5">
    <w:name w:val="Ruller5 תו"/>
    <w:qFormat/>
    <w:rPr>
      <w:rFonts w:ascii="Arial TUR;Arial" w:hAnsi="Arial TUR;Arial" w:cs="FrankRuehl;Times New Roman"/>
      <w:spacing w:val="10"/>
      <w:sz w:val="22"/>
      <w:szCs w:val="28"/>
    </w:rPr>
  </w:style>
  <w:style w:type="character" w:styleId="default">
    <w:name w:val="default"/>
    <w:qFormat/>
    <w:rPr>
      <w:rFonts w:ascii="Times New Roman;Times New Roman" w:hAnsi="Times New Roman;Times New Roman" w:cs="Times New Roman;Times New Roman"/>
    </w:rPr>
  </w:style>
  <w:style w:type="character" w:styleId="big-number">
    <w:name w:val="big-number"/>
    <w:qFormat/>
    <w:rPr>
      <w:rFonts w:ascii="Times New Roman;Times New Roman" w:hAnsi="Times New Roman;Times New Roman" w:cs="Times New Roman;Times New Roman"/>
    </w:rPr>
  </w:style>
  <w:style w:type="character" w:styleId="term21">
    <w:name w:val="term_21"/>
    <w:qFormat/>
    <w:rPr>
      <w:shd w:fill="B6DC76" w:val="clear"/>
    </w:rPr>
  </w:style>
  <w:style w:type="character" w:styleId="apple-style-span">
    <w:name w:val="apple-style-span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Revision">
    <w:name w:val="Revision"/>
    <w:qFormat/>
    <w:pPr>
      <w:widowControl/>
      <w:bidi w:val="0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ListParagraph">
    <w:name w:val="List Paragraph"/>
    <w:basedOn w:val="Normal"/>
    <w:qFormat/>
    <w:pPr>
      <w:ind w:hanging="0" w:start="720" w:end="0"/>
    </w:pPr>
    <w:rPr/>
  </w:style>
  <w:style w:type="paragraph" w:styleId="ruller50">
    <w:name w:val="ruller5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a">
    <w:name w:val="a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p33">
    <w:name w:val="p33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a8">
    <w:name w:val="a8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Style15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337274" TargetMode="External"/><Relationship Id="rId3" Type="http://schemas.openxmlformats.org/officeDocument/2006/relationships/hyperlink" Target="http://www.nevo.co.il/safrut/book/3776" TargetMode="External"/><Relationship Id="rId4" Type="http://schemas.openxmlformats.org/officeDocument/2006/relationships/hyperlink" Target="http://www.nevo.co.il/safrut/book/3776" TargetMode="External"/><Relationship Id="rId5" Type="http://schemas.openxmlformats.org/officeDocument/2006/relationships/hyperlink" Target="http://www.nevo.co.il/safrut/bookgroup/412" TargetMode="External"/><Relationship Id="rId6" Type="http://schemas.openxmlformats.org/officeDocument/2006/relationships/hyperlink" Target="http://www.nevo.co.il/safrut/bookgroup/41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5.a" TargetMode="External"/><Relationship Id="rId9" Type="http://schemas.openxmlformats.org/officeDocument/2006/relationships/hyperlink" Target="http://www.nevo.co.il/law/70301/20" TargetMode="External"/><Relationship Id="rId10" Type="http://schemas.openxmlformats.org/officeDocument/2006/relationships/hyperlink" Target="http://www.nevo.co.il/law/70301/20.a.2.b" TargetMode="External"/><Relationship Id="rId11" Type="http://schemas.openxmlformats.org/officeDocument/2006/relationships/hyperlink" Target="http://www.nevo.co.il/law/70301/298" TargetMode="External"/><Relationship Id="rId12" Type="http://schemas.openxmlformats.org/officeDocument/2006/relationships/hyperlink" Target="http://www.nevo.co.il/law/70301/301c" TargetMode="External"/><Relationship Id="rId13" Type="http://schemas.openxmlformats.org/officeDocument/2006/relationships/hyperlink" Target="http://www.nevo.co.il/law/70301/304" TargetMode="External"/><Relationship Id="rId14" Type="http://schemas.openxmlformats.org/officeDocument/2006/relationships/hyperlink" Target="http://www.nevo.co.il/law/74274" TargetMode="External"/><Relationship Id="rId15" Type="http://schemas.openxmlformats.org/officeDocument/2006/relationships/hyperlink" Target="http://www.nevo.co.il/law/74274/21.b.2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4903/188.a.1" TargetMode="External"/><Relationship Id="rId18" Type="http://schemas.openxmlformats.org/officeDocument/2006/relationships/hyperlink" Target="http://www.nevo.co.il/law/74903/229.h2" TargetMode="External"/><Relationship Id="rId19" Type="http://schemas.openxmlformats.org/officeDocument/2006/relationships/hyperlink" Target="http://www.nevo.co.il/law/74903/230" TargetMode="External"/><Relationship Id="rId20" Type="http://schemas.openxmlformats.org/officeDocument/2006/relationships/hyperlink" Target="http://www.nevo.co.il/case/22337274" TargetMode="External"/><Relationship Id="rId21" Type="http://schemas.openxmlformats.org/officeDocument/2006/relationships/hyperlink" Target="http://www.nevo.co.il/law/70301/298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4274/21.b.2" TargetMode="External"/><Relationship Id="rId24" Type="http://schemas.openxmlformats.org/officeDocument/2006/relationships/hyperlink" Target="http://www.nevo.co.il/law/74274" TargetMode="External"/><Relationship Id="rId25" Type="http://schemas.openxmlformats.org/officeDocument/2006/relationships/hyperlink" Target="http://www.nevo.co.il/law/70301/304" TargetMode="External"/><Relationship Id="rId26" Type="http://schemas.openxmlformats.org/officeDocument/2006/relationships/hyperlink" Target="http://www.nevo.co.il/law/70301/20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298" TargetMode="External"/><Relationship Id="rId29" Type="http://schemas.openxmlformats.org/officeDocument/2006/relationships/hyperlink" Target="http://www.nevo.co.il/law/70301/301c" TargetMode="External"/><Relationship Id="rId30" Type="http://schemas.openxmlformats.org/officeDocument/2006/relationships/hyperlink" Target="http://www.nevo.co.il/law/70301/5.a" TargetMode="External"/><Relationship Id="rId31" Type="http://schemas.openxmlformats.org/officeDocument/2006/relationships/hyperlink" Target="http://www.nevo.co.il/law/70301/5.a" TargetMode="External"/><Relationship Id="rId32" Type="http://schemas.openxmlformats.org/officeDocument/2006/relationships/hyperlink" Target="http://www.nevo.co.il/law/74903/188.a.1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law/74903/229.h2" TargetMode="External"/><Relationship Id="rId35" Type="http://schemas.openxmlformats.org/officeDocument/2006/relationships/hyperlink" Target="http://www.nevo.co.il/law/74903" TargetMode="External"/><Relationship Id="rId36" Type="http://schemas.openxmlformats.org/officeDocument/2006/relationships/hyperlink" Target="http://www.nevo.co.il/law/74903/230" TargetMode="External"/><Relationship Id="rId37" Type="http://schemas.openxmlformats.org/officeDocument/2006/relationships/hyperlink" Target="http://www.nevo.co.il/law/74903" TargetMode="External"/><Relationship Id="rId38" Type="http://schemas.openxmlformats.org/officeDocument/2006/relationships/hyperlink" Target="http://www.nevo.co.il/law/70301/298" TargetMode="External"/><Relationship Id="rId39" Type="http://schemas.openxmlformats.org/officeDocument/2006/relationships/hyperlink" Target="http://www.nevo.co.il/law/70301/301c" TargetMode="External"/><Relationship Id="rId40" Type="http://schemas.openxmlformats.org/officeDocument/2006/relationships/hyperlink" Target="http://www.nevo.co.il/law/70301/20.a.2.b" TargetMode="External"/><Relationship Id="rId41" Type="http://schemas.openxmlformats.org/officeDocument/2006/relationships/hyperlink" Target="http://www.nevo.co.il/case/25202729" TargetMode="External"/><Relationship Id="rId42" Type="http://schemas.openxmlformats.org/officeDocument/2006/relationships/hyperlink" Target="http://www.nevo.co.il/case/26142559" TargetMode="External"/><Relationship Id="rId43" Type="http://schemas.openxmlformats.org/officeDocument/2006/relationships/hyperlink" Target="http://www.nevo.co.il/case/25481020" TargetMode="External"/><Relationship Id="rId44" Type="http://schemas.openxmlformats.org/officeDocument/2006/relationships/hyperlink" Target="http://www.nevo.co.il/case/26518589" TargetMode="External"/><Relationship Id="rId45" Type="http://schemas.openxmlformats.org/officeDocument/2006/relationships/hyperlink" Target="http://www.nevo.co.il/case/17928247" TargetMode="External"/><Relationship Id="rId46" Type="http://schemas.openxmlformats.org/officeDocument/2006/relationships/hyperlink" Target="http://www.nevo.co.il/case/5878732" TargetMode="External"/><Relationship Id="rId47" Type="http://schemas.openxmlformats.org/officeDocument/2006/relationships/hyperlink" Target="http://www.nevo.co.il/case/6138793" TargetMode="External"/><Relationship Id="rId48" Type="http://schemas.openxmlformats.org/officeDocument/2006/relationships/hyperlink" Target="http://www.nevo.co.il/case/6124711" TargetMode="External"/><Relationship Id="rId49" Type="http://schemas.openxmlformats.org/officeDocument/2006/relationships/hyperlink" Target="http://www.nevo.co.il/case/6091440" TargetMode="External"/><Relationship Id="rId50" Type="http://schemas.openxmlformats.org/officeDocument/2006/relationships/hyperlink" Target="http://www.nevo.co.il/case/5596809" TargetMode="External"/><Relationship Id="rId51" Type="http://schemas.openxmlformats.org/officeDocument/2006/relationships/hyperlink" Target="http://www.nevo.co.il/safrut/book/3776" TargetMode="External"/><Relationship Id="rId52" Type="http://schemas.openxmlformats.org/officeDocument/2006/relationships/hyperlink" Target="http://www.nevo.co.il/case/6158617" TargetMode="External"/><Relationship Id="rId53" Type="http://schemas.openxmlformats.org/officeDocument/2006/relationships/hyperlink" Target="http://www.nevo.co.il/case/6123100" TargetMode="External"/><Relationship Id="rId54" Type="http://schemas.openxmlformats.org/officeDocument/2006/relationships/hyperlink" Target="http://www.nevo.co.il/case/6244477" TargetMode="External"/><Relationship Id="rId55" Type="http://schemas.openxmlformats.org/officeDocument/2006/relationships/hyperlink" Target="http://www.nevo.co.il/safrut/bookgroup/412" TargetMode="External"/><Relationship Id="rId56" Type="http://schemas.openxmlformats.org/officeDocument/2006/relationships/hyperlink" Target="http://www.nevo.co.il/case/17910593" TargetMode="External"/><Relationship Id="rId57" Type="http://schemas.openxmlformats.org/officeDocument/2006/relationships/hyperlink" Target="http://www.nevo.co.il/case/5997637" TargetMode="External"/><Relationship Id="rId58" Type="http://schemas.openxmlformats.org/officeDocument/2006/relationships/hyperlink" Target="http://www.nevo.co.il/case/5704191" TargetMode="External"/><Relationship Id="rId59" Type="http://schemas.openxmlformats.org/officeDocument/2006/relationships/hyperlink" Target="http://www.nevo.co.il/case/6162585" TargetMode="External"/><Relationship Id="rId60" Type="http://schemas.openxmlformats.org/officeDocument/2006/relationships/hyperlink" Target="http://www.nevo.co.il/case/5917803" TargetMode="External"/><Relationship Id="rId61" Type="http://schemas.openxmlformats.org/officeDocument/2006/relationships/hyperlink" Target="http://www.nevo.co.il/case/7011974" TargetMode="External"/><Relationship Id="rId62" Type="http://schemas.openxmlformats.org/officeDocument/2006/relationships/hyperlink" Target="http://www.nevo.co.il/case/20911393" TargetMode="External"/><Relationship Id="rId63" Type="http://schemas.openxmlformats.org/officeDocument/2006/relationships/hyperlink" Target="http://www.nevo.co.il/case/22275574" TargetMode="External"/><Relationship Id="rId64" Type="http://schemas.openxmlformats.org/officeDocument/2006/relationships/hyperlink" Target="http://www.nevo.co.il/case/6182127" TargetMode="External"/><Relationship Id="rId65" Type="http://schemas.openxmlformats.org/officeDocument/2006/relationships/hyperlink" Target="http://www.nevo.co.il/case/5709413" TargetMode="External"/><Relationship Id="rId66" Type="http://schemas.openxmlformats.org/officeDocument/2006/relationships/hyperlink" Target="http://www.nevo.co.il/case/21044614" TargetMode="External"/><Relationship Id="rId67" Type="http://schemas.openxmlformats.org/officeDocument/2006/relationships/hyperlink" Target="http://www.nevo.co.il/case/5974896" TargetMode="External"/><Relationship Id="rId68" Type="http://schemas.openxmlformats.org/officeDocument/2006/relationships/hyperlink" Target="http://www.nevo.co.il/case/5681820" TargetMode="External"/><Relationship Id="rId69" Type="http://schemas.openxmlformats.org/officeDocument/2006/relationships/hyperlink" Target="http://www.nevo.co.il/case/6056863" TargetMode="External"/><Relationship Id="rId70" Type="http://schemas.openxmlformats.org/officeDocument/2006/relationships/hyperlink" Target="http://www.nevo.co.il/case/5753189" TargetMode="External"/><Relationship Id="rId71" Type="http://schemas.openxmlformats.org/officeDocument/2006/relationships/hyperlink" Target="http://www.nevo.co.il/case/11766789" TargetMode="External"/><Relationship Id="rId72" Type="http://schemas.openxmlformats.org/officeDocument/2006/relationships/hyperlink" Target="http://www.nevo.co.il/case/5873358" TargetMode="External"/><Relationship Id="rId73" Type="http://schemas.openxmlformats.org/officeDocument/2006/relationships/hyperlink" Target="http://www.nevo.co.il/case/20787921" TargetMode="External"/><Relationship Id="rId74" Type="http://schemas.openxmlformats.org/officeDocument/2006/relationships/hyperlink" Target="http://www.nevo.co.il/case/6041646" TargetMode="External"/><Relationship Id="rId75" Type="http://schemas.openxmlformats.org/officeDocument/2006/relationships/hyperlink" Target="http://www.nevo.co.il/case/5711363" TargetMode="External"/><Relationship Id="rId76" Type="http://schemas.openxmlformats.org/officeDocument/2006/relationships/hyperlink" Target="http://www.nevo.co.il/case/5910267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case/26291652" TargetMode="External"/><Relationship Id="rId79" Type="http://schemas.openxmlformats.org/officeDocument/2006/relationships/hyperlink" Target="http://www.nevo.co.il/case/26541540" TargetMode="External"/><Relationship Id="rId80" Type="http://schemas.openxmlformats.org/officeDocument/2006/relationships/hyperlink" Target="http://www.nevo.co.il/case/10541031" TargetMode="External"/><Relationship Id="rId81" Type="http://schemas.openxmlformats.org/officeDocument/2006/relationships/hyperlink" Target="http://www.nevo.co.il/case/17954529" TargetMode="External"/><Relationship Id="rId82" Type="http://schemas.openxmlformats.org/officeDocument/2006/relationships/hyperlink" Target="http://www.nevo.co.il/case/17947529" TargetMode="External"/><Relationship Id="rId83" Type="http://schemas.openxmlformats.org/officeDocument/2006/relationships/hyperlink" Target="http://www.nevo.co.il/case/5726348" TargetMode="External"/><Relationship Id="rId84" Type="http://schemas.openxmlformats.org/officeDocument/2006/relationships/hyperlink" Target="http://www.nevo.co.il/case/6081536" TargetMode="External"/><Relationship Id="rId85" Type="http://schemas.openxmlformats.org/officeDocument/2006/relationships/hyperlink" Target="http://www.nevo.co.il/case/26863796" TargetMode="External"/><Relationship Id="rId86" Type="http://schemas.openxmlformats.org/officeDocument/2006/relationships/hyperlink" Target="http://www.nevo.co.il/case/17016916" TargetMode="External"/><Relationship Id="rId87" Type="http://schemas.openxmlformats.org/officeDocument/2006/relationships/hyperlink" Target="http://www.nevo.co.il/law/70301/20.a.2.b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s://supreme.court.gov.il/" TargetMode="External"/><Relationship Id="rId90" Type="http://schemas.openxmlformats.org/officeDocument/2006/relationships/hyperlink" Target="http://www.nevo.co.il/advertisements/nevo-100.doc" TargetMode="External"/><Relationship Id="rId91" Type="http://schemas.openxmlformats.org/officeDocument/2006/relationships/header" Target="header1.xml"/><Relationship Id="rId92" Type="http://schemas.openxmlformats.org/officeDocument/2006/relationships/footer" Target="footer1.xml"/><Relationship Id="rId93" Type="http://schemas.openxmlformats.org/officeDocument/2006/relationships/numbering" Target="numbering.xml"/><Relationship Id="rId94" Type="http://schemas.openxmlformats.org/officeDocument/2006/relationships/fontTable" Target="fontTable.xml"/><Relationship Id="rId95" Type="http://schemas.openxmlformats.org/officeDocument/2006/relationships/settings" Target="settings.xml"/><Relationship Id="rId9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2021-10-11T09:34:00Z</dcterms:created>
  <dc:creator>h4</dc:creator>
  <dc:description/>
  <cp:keywords/>
  <dc:language>en-IL</dc:language>
  <cp:lastModifiedBy>orly</cp:lastModifiedBy>
  <cp:lastPrinted>2021-10-10T17:02:00Z</cp:lastPrinted>
  <dcterms:modified xsi:type="dcterms:W3CDTF">2021-10-11T09:34:00Z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בלאל אלגרגאוי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ישראל;אלמנת והורי המנוח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</vt:lpwstr>
  </property>
  <property fmtid="{D5CDD505-2E9C-101B-9397-08002B2CF9AE}" pid="9" name="BOOKLISTTMP1">
    <vt:lpwstr>3776</vt:lpwstr>
  </property>
  <property fmtid="{D5CDD505-2E9C-101B-9397-08002B2CF9AE}" pid="10" name="CASESLISTTMP1">
    <vt:lpwstr>22337274:2;25202729;26142559;25481020;26518589;17928247;5878732;6138793;6124711;6091440;5596809;6158617;6123100;6244477;17910593;5997637;5704191;6162585;5917803;7011974;20911393;22275574;6182127;5709413;21044614;5974896;5681820;6056863;5753189;11766789</vt:lpwstr>
  </property>
  <property fmtid="{D5CDD505-2E9C-101B-9397-08002B2CF9AE}" pid="11" name="CASESLISTTMP2">
    <vt:lpwstr>5873358;20787921;6041646;5711363;5910267;26291652;26541540;10541031;17954529;17947529;5726348;6081536;26863796;17016916</vt:lpwstr>
  </property>
  <property fmtid="{D5CDD505-2E9C-101B-9397-08002B2CF9AE}" pid="12" name="CITY">
    <vt:lpwstr/>
  </property>
  <property fmtid="{D5CDD505-2E9C-101B-9397-08002B2CF9AE}" pid="13" name="DATE">
    <vt:lpwstr>20211010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י' וילנר;ע' גרוסקופף;נ' הנדל</vt:lpwstr>
  </property>
  <property fmtid="{D5CDD505-2E9C-101B-9397-08002B2CF9AE}" pid="17" name="LAWLISTTMP1">
    <vt:lpwstr>70301/298:3;304;020;301c:2;005.a:2;020.a.2.b:2</vt:lpwstr>
  </property>
  <property fmtid="{D5CDD505-2E9C-101B-9397-08002B2CF9AE}" pid="18" name="LAWLISTTMP2">
    <vt:lpwstr>74274/021.b.2</vt:lpwstr>
  </property>
  <property fmtid="{D5CDD505-2E9C-101B-9397-08002B2CF9AE}" pid="19" name="LAWLISTTMP3">
    <vt:lpwstr>74903/188.a.1;229.h2;230</vt:lpwstr>
  </property>
  <property fmtid="{D5CDD505-2E9C-101B-9397-08002B2CF9AE}" pid="20" name="LAWYER">
    <vt:lpwstr>הילה גורני;משה שרמן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נעה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>עונשין</vt:lpwstr>
  </property>
  <property fmtid="{D5CDD505-2E9C-101B-9397-08002B2CF9AE}" pid="35" name="NOSE14">
    <vt:lpwstr>עונשין</vt:lpwstr>
  </property>
  <property fmtid="{D5CDD505-2E9C-101B-9397-08002B2CF9AE}" pid="36" name="NOSE15">
    <vt:lpwstr>עונשין</vt:lpwstr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77;77;77;77;77</vt:lpwstr>
  </property>
  <property fmtid="{D5CDD505-2E9C-101B-9397-08002B2CF9AE}" pid="42" name="NOSE21">
    <vt:lpwstr>עבירות</vt:lpwstr>
  </property>
  <property fmtid="{D5CDD505-2E9C-101B-9397-08002B2CF9AE}" pid="43" name="NOSE210">
    <vt:lpwstr/>
  </property>
  <property fmtid="{D5CDD505-2E9C-101B-9397-08002B2CF9AE}" pid="44" name="NOSE22">
    <vt:lpwstr>עבירות</vt:lpwstr>
  </property>
  <property fmtid="{D5CDD505-2E9C-101B-9397-08002B2CF9AE}" pid="45" name="NOSE23">
    <vt:lpwstr>מחשבה פלילית</vt:lpwstr>
  </property>
  <property fmtid="{D5CDD505-2E9C-101B-9397-08002B2CF9AE}" pid="46" name="NOSE24">
    <vt:lpwstr>ענישה</vt:lpwstr>
  </property>
  <property fmtid="{D5CDD505-2E9C-101B-9397-08002B2CF9AE}" pid="47" name="NOSE25">
    <vt:lpwstr>ענישה</vt:lpwstr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1443;1443;1436;1446;1446</vt:lpwstr>
  </property>
  <property fmtid="{D5CDD505-2E9C-101B-9397-08002B2CF9AE}" pid="53" name="NOSE31">
    <vt:lpwstr>המתה בקלות דעת</vt:lpwstr>
  </property>
  <property fmtid="{D5CDD505-2E9C-101B-9397-08002B2CF9AE}" pid="54" name="NOSE310">
    <vt:lpwstr/>
  </property>
  <property fmtid="{D5CDD505-2E9C-101B-9397-08002B2CF9AE}" pid="55" name="NOSE32">
    <vt:lpwstr>הריגה</vt:lpwstr>
  </property>
  <property fmtid="{D5CDD505-2E9C-101B-9397-08002B2CF9AE}" pid="56" name="NOSE33">
    <vt:lpwstr>מודעות</vt:lpwstr>
  </property>
  <property fmtid="{D5CDD505-2E9C-101B-9397-08002B2CF9AE}" pid="57" name="NOSE34">
    <vt:lpwstr>מדיניות ענישה: התערבות ערכאת ערעור</vt:lpwstr>
  </property>
  <property fmtid="{D5CDD505-2E9C-101B-9397-08002B2CF9AE}" pid="58" name="NOSE35">
    <vt:lpwstr>מדיניות ענישה: תאונות דרכים</vt:lpwstr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18467;8816;8717;8982;11753</vt:lpwstr>
  </property>
  <property fmtid="{D5CDD505-2E9C-101B-9397-08002B2CF9AE}" pid="64" name="PADIDATE">
    <vt:lpwstr>20211011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</vt:lpwstr>
  </property>
  <property fmtid="{D5CDD505-2E9C-101B-9397-08002B2CF9AE}" pid="69" name="PROCNUM">
    <vt:lpwstr>7222</vt:lpwstr>
  </property>
  <property fmtid="{D5CDD505-2E9C-101B-9397-08002B2CF9AE}" pid="70" name="PROCYEAR">
    <vt:lpwstr>19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410120211010</vt:lpwstr>
  </property>
  <property fmtid="{D5CDD505-2E9C-101B-9397-08002B2CF9AE}" pid="74" name="TYPE_N_DATE">
    <vt:lpwstr>41020211010</vt:lpwstr>
  </property>
  <property fmtid="{D5CDD505-2E9C-101B-9397-08002B2CF9AE}" pid="75" name="VOLUME">
    <vt:lpwstr/>
  </property>
  <property fmtid="{D5CDD505-2E9C-101B-9397-08002B2CF9AE}" pid="76" name="WORDNUMPAGES">
    <vt:lpwstr>22</vt:lpwstr>
  </property>
</Properties>
</file>