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7235/16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>
          <w:trHeight w:val="473" w:hRule="atLeast"/>
        </w:trPr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3.8.2016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8257-04-14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הישיבה</w:t>
      </w:r>
      <w:r>
        <w:rPr>
          <w:sz w:val="24"/>
          <w:szCs w:val="24"/>
          <w:rtl w:val="true"/>
        </w:rPr>
        <w:t>:</w:t>
      </w:r>
      <w:r>
        <w:rPr>
          <w:rtl w:val="true"/>
        </w:rPr>
        <w:tab/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בשבט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7.2.2018</w:t>
      </w:r>
      <w:r>
        <w:rPr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ברקאי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הרמן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: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גפני</w:t>
      </w:r>
    </w:p>
    <w:p>
      <w:pPr>
        <w:pStyle w:val="Ruller31"/>
        <w:spacing w:lineRule="exact" w:line="240" w:before="0" w:after="120"/>
        <w:ind w:hanging="283" w:start="283" w:end="0"/>
        <w:jc w:val="both"/>
        <w:rPr/>
      </w:pPr>
      <w:bookmarkStart w:id="4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4"/>
      <w:r>
        <w:rPr>
          <w:rtl w:val="true"/>
        </w:rPr>
        <w:t>ה</w:t>
      </w:r>
      <w:r>
        <w:rPr>
          <w:rtl w:val="true"/>
        </w:rPr>
        <w:t xml:space="preserve">: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אוליא</w:t>
      </w:r>
      <w:bookmarkStart w:id="5" w:name="LawTable"/>
      <w:bookmarkEnd w:id="5"/>
      <w:r>
        <w:rPr>
          <w:rtl w:val="true"/>
        </w:rPr>
        <w:t>ל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80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62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נתגלתה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רשלנות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פיצויים והוצאות – פיצויים לנאשם שזוכה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מעצר – פיצויים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שנתקבלה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במזיד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זיכויים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ושחרורם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בפיקוח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אלקטרוני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הזכות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הקבועה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80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מאזנת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זכויות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לכבוד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ולפרטיות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שנשללו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שזוכה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בהעמדתם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נוגדים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מוגבל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80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לפיצויים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להאשמה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תיטה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בהחלטת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פסיקת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לנאשם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לקיומו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להאשמה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התובע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הסיכוי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אובייקטיבי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מונחת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התביעה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וזהיר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להגשת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שתתגבש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רשלנות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ובולטת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מנוסחת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ומאפשרת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גמישות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למגוון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שתבואנה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הביטוי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ונאמר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יישאר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לאפשר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ברשימה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סגורה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קווים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וקטגוריות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הנוגעות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זיכויו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שזוכה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התפתחו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מבחני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והתביעה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בחקירתו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צפוי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אלמלא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זיכויו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הזיכוי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התלבטות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מפורשת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מובהקים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נתגלתה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רשלנות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שבתמונתו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בולטת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לקיומן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בחקירתם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ערוכים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למלחמה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הופתעו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התוקפים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מלחמה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התוקפת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במשפטם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הצביעו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המובילים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ההיפך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הנכון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מהתמונה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המלאה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השתלשלות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מורכבת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הגלוי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מהתנהלותם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6"/>
          <w:szCs w:val="26"/>
        </w:rPr>
      </w:pPr>
      <w:r>
        <w:rPr>
          <w:rFonts w:cs="Times New Roman"/>
          <w:spacing w:val="0"/>
          <w:sz w:val="26"/>
          <w:szCs w:val="26"/>
          <w:rtl w:val="true"/>
        </w:rPr>
      </w:r>
      <w:bookmarkStart w:id="7" w:name="ABSTRACT_END"/>
      <w:bookmarkStart w:id="8" w:name="LawTable_End"/>
      <w:bookmarkStart w:id="9" w:name="ABSTRACT_END"/>
      <w:bookmarkStart w:id="10" w:name="LawTable_End"/>
      <w:bookmarkEnd w:id="9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_GoBack"/>
      <w:bookmarkStart w:id="16" w:name="Start_Write"/>
      <w:bookmarkStart w:id="17" w:name="_GoBack"/>
      <w:bookmarkStart w:id="18" w:name="Start_Write"/>
      <w:bookmarkEnd w:id="17"/>
      <w:bookmarkEnd w:id="18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רומנוב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8257-04-14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3.8.2016</w:t>
      </w:r>
      <w:r>
        <w:rPr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אב </w:t>
      </w:r>
      <w:r>
        <w:rPr>
          <w:rtl w:val="true"/>
        </w:rPr>
        <w:t>(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ושני בניו </w:t>
      </w:r>
      <w:r>
        <w:rPr>
          <w:rtl w:val="true"/>
        </w:rPr>
        <w:t>(</w:t>
      </w:r>
      <w:r>
        <w:rPr>
          <w:rtl w:val="true"/>
        </w:rPr>
        <w:t xml:space="preserve">מערערים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 xml:space="preserve">זוכו בדינם במסגרת הכרעת דינו של בית המשפט המחוזי ביום </w:t>
      </w:r>
      <w:r>
        <w:rPr/>
        <w:t>26.4.2015</w:t>
      </w:r>
      <w:r>
        <w:rPr>
          <w:rtl w:val="true"/>
        </w:rPr>
        <w:t xml:space="preserve"> </w:t>
      </w:r>
      <w:r>
        <w:rPr>
          <w:rtl w:val="true"/>
        </w:rPr>
        <w:t xml:space="preserve">לאחר שנתקבלה טענתם שהעבירות שיוחסו להם </w:t>
      </w:r>
      <w:r>
        <w:rPr>
          <w:rtl w:val="true"/>
        </w:rPr>
        <w:t>(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>החזקת סמים וחבלה במזיד</w:t>
      </w:r>
      <w:r>
        <w:rPr>
          <w:rtl w:val="true"/>
        </w:rPr>
        <w:t xml:space="preserve">) </w:t>
      </w:r>
      <w:r>
        <w:rPr>
          <w:rtl w:val="true"/>
        </w:rPr>
        <w:t>בוצעו על רקע הגנה עצמית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בכתב האישום ובחלקים הרלוונטיים לענייננו</w:t>
      </w:r>
      <w:r>
        <w:rPr>
          <w:rtl w:val="true"/>
        </w:rPr>
        <w:t xml:space="preserve">, </w:t>
      </w:r>
      <w:r>
        <w:rPr>
          <w:rtl w:val="true"/>
        </w:rPr>
        <w:t>נאמר כך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בין הנאשמים לבין משפחת אילוז קיים סכסוך קודם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21.3.2014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16:45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 xml:space="preserve">נסעו הנאשמים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ברכבם מסוג מאזדה 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65-650-60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המאזדה</w:t>
      </w:r>
      <w:r>
        <w:rPr>
          <w:rtl w:val="true"/>
        </w:rPr>
        <w:t xml:space="preserve">) </w:t>
      </w:r>
      <w:r>
        <w:rPr>
          <w:rtl w:val="true"/>
        </w:rPr>
        <w:t>לשכונת הר חומה בירושלים</w:t>
      </w:r>
      <w:r>
        <w:rPr>
          <w:rtl w:val="true"/>
        </w:rPr>
        <w:t xml:space="preserve">. </w:t>
      </w:r>
      <w:r>
        <w:rPr>
          <w:rtl w:val="true"/>
        </w:rPr>
        <w:t xml:space="preserve">בהמשך פגשו את הנאשם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בכניסה לבניין בו הוא מתגורר ברחוב רב דולגין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בהר חומה</w:t>
      </w:r>
      <w:r>
        <w:rPr>
          <w:rtl w:val="true"/>
        </w:rPr>
        <w:t xml:space="preserve">. </w:t>
      </w:r>
      <w:r>
        <w:rPr>
          <w:rtl w:val="true"/>
        </w:rPr>
        <w:t>בתום הביקור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17:15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 xml:space="preserve">יצאו הנאשמים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 xml:space="preserve">עם המאזדה מרחוב דולגין והגיעו אל רחוב שמחת הכהן אליו הגיעו באותו עת יניב ואברהם </w:t>
      </w:r>
      <w:r>
        <w:rPr>
          <w:rtl w:val="true"/>
        </w:rPr>
        <w:t>(</w:t>
      </w:r>
      <w:r>
        <w:rPr>
          <w:rtl w:val="true"/>
        </w:rPr>
        <w:t>נמרוד</w:t>
      </w:r>
      <w:r>
        <w:rPr>
          <w:rtl w:val="true"/>
        </w:rPr>
        <w:t xml:space="preserve">) </w:t>
      </w:r>
      <w:r>
        <w:rPr>
          <w:rtl w:val="true"/>
        </w:rPr>
        <w:t>אילוז ברכבם מסוג קאיה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98-651-11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הקאיה</w:t>
      </w:r>
      <w:r>
        <w:rPr>
          <w:rtl w:val="true"/>
        </w:rPr>
        <w:t xml:space="preserve">), </w:t>
      </w:r>
      <w:r>
        <w:rPr>
          <w:rtl w:val="true"/>
        </w:rPr>
        <w:t>כשהם נוסעים בכיוונים מנוגדים בכביש דו סטרי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ואברהם ויניב עצרו את כלי הרכב שלהם במרחק של מטרים ספורים אחד מהאחר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ויניב ואברהם יצאו מכלי הרכב שלהם</w:t>
      </w:r>
      <w:r>
        <w:rPr>
          <w:rtl w:val="true"/>
        </w:rPr>
        <w:t xml:space="preserve">, </w:t>
      </w:r>
      <w:r>
        <w:rPr>
          <w:rtl w:val="true"/>
        </w:rPr>
        <w:t>כשכולם חמושים במוטות ברזל ובסכינים</w:t>
      </w:r>
      <w:r>
        <w:rPr>
          <w:rtl w:val="true"/>
        </w:rPr>
        <w:t xml:space="preserve">, </w:t>
      </w:r>
      <w:r>
        <w:rPr>
          <w:rtl w:val="true"/>
        </w:rPr>
        <w:t>והחלו לתקוף אחד את השני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דקרו את אברהם בצוותא חדא תוך שהנאשם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מכה את יניב במוט ברזל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 xml:space="preserve">דקרו יניב ואברהם את 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בצוותא חדא</w:t>
      </w:r>
      <w:r>
        <w:rPr>
          <w:rtl w:val="true"/>
        </w:rPr>
        <w:t xml:space="preserve">, </w:t>
      </w:r>
      <w:r>
        <w:rPr>
          <w:rtl w:val="true"/>
        </w:rPr>
        <w:t>והכו אותם במוט ברזל</w:t>
      </w:r>
      <w:r>
        <w:rPr>
          <w:rtl w:val="true"/>
        </w:rPr>
        <w:t xml:space="preserve">. </w:t>
      </w:r>
      <w:r>
        <w:rPr>
          <w:rtl w:val="true"/>
        </w:rPr>
        <w:t xml:space="preserve">עוד השליכו הנאשמים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 xml:space="preserve">ואברהם ויניב אבנים אחד לעבר השני והנאשם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ניפץ את השמשה הקדמית של הקאיה</w:t>
      </w:r>
      <w:r>
        <w:rPr>
          <w:rtl w:val="true"/>
        </w:rPr>
        <w:t xml:space="preserve">. </w:t>
      </w:r>
      <w:r>
        <w:rPr>
          <w:rtl w:val="true"/>
        </w:rPr>
        <w:t>יניב ואברהם נכנסו לקאיה ותוך נסיעתם</w:t>
      </w:r>
      <w:r>
        <w:rPr>
          <w:rtl w:val="true"/>
        </w:rPr>
        <w:t xml:space="preserve">, </w:t>
      </w:r>
      <w:r>
        <w:rPr>
          <w:rtl w:val="true"/>
        </w:rPr>
        <w:t xml:space="preserve">נתלה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 הרכב</w:t>
      </w:r>
      <w:r>
        <w:rPr>
          <w:rtl w:val="true"/>
        </w:rPr>
        <w:t xml:space="preserve">. </w:t>
      </w:r>
      <w:r>
        <w:rPr>
          <w:rtl w:val="true"/>
        </w:rPr>
        <w:t>כתוצאה מהמתואר לעיל</w:t>
      </w:r>
      <w:r>
        <w:rPr>
          <w:rtl w:val="true"/>
        </w:rPr>
        <w:t xml:space="preserve">, </w:t>
      </w:r>
      <w:r>
        <w:rPr>
          <w:rtl w:val="true"/>
        </w:rPr>
        <w:t>נגרמו לאברהם שני חתכים בקרקפת</w:t>
      </w:r>
      <w:r>
        <w:rPr>
          <w:rtl w:val="true"/>
        </w:rPr>
        <w:t xml:space="preserve">, </w:t>
      </w:r>
      <w:r>
        <w:rPr>
          <w:rtl w:val="true"/>
        </w:rPr>
        <w:t>דקירה בכתף שמאל</w:t>
      </w:r>
      <w:r>
        <w:rPr>
          <w:rtl w:val="true"/>
        </w:rPr>
        <w:t xml:space="preserve">, </w:t>
      </w:r>
      <w:r>
        <w:rPr>
          <w:rtl w:val="true"/>
        </w:rPr>
        <w:t>דקירה עמוקה במותן שמאל ודקירה בגב התחתון</w:t>
      </w:r>
      <w:r>
        <w:rPr>
          <w:rtl w:val="true"/>
        </w:rPr>
        <w:t xml:space="preserve">. </w:t>
      </w:r>
      <w:r>
        <w:rPr>
          <w:rtl w:val="true"/>
        </w:rPr>
        <w:t>הנאשמים נחבלו ונפצעו</w:t>
      </w:r>
      <w:r>
        <w:rPr>
          <w:rtl w:val="true"/>
        </w:rPr>
        <w:t xml:space="preserve">. </w:t>
      </w:r>
      <w:r>
        <w:rPr>
          <w:rtl w:val="true"/>
        </w:rPr>
        <w:t xml:space="preserve">כשחזרו הנאשמים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למאזדה</w:t>
      </w:r>
      <w:r>
        <w:rPr>
          <w:rtl w:val="true"/>
        </w:rPr>
        <w:t xml:space="preserve">, </w:t>
      </w:r>
      <w:r>
        <w:rPr>
          <w:rtl w:val="true"/>
        </w:rPr>
        <w:t xml:space="preserve">נסעו הם לביתו של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ואספו אותו</w:t>
      </w:r>
      <w:r>
        <w:rPr>
          <w:rtl w:val="true"/>
        </w:rPr>
        <w:t xml:space="preserve">. </w:t>
      </w:r>
      <w:r>
        <w:rPr>
          <w:rtl w:val="true"/>
        </w:rPr>
        <w:t xml:space="preserve">במהלך נסיעתם שאלו הנאשמים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 xml:space="preserve">את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ואת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מה עליהם לספר שהתרחש</w:t>
      </w:r>
      <w:r>
        <w:rPr>
          <w:rtl w:val="true"/>
        </w:rPr>
        <w:t xml:space="preserve">, </w:t>
      </w:r>
      <w:r>
        <w:rPr>
          <w:rtl w:val="true"/>
        </w:rPr>
        <w:t>ואלה אמרו להם כי עליהם לומר שהותקפו ע</w:t>
      </w:r>
      <w:r>
        <w:rPr>
          <w:rtl w:val="true"/>
        </w:rPr>
        <w:t>"</w:t>
      </w:r>
      <w:r>
        <w:rPr>
          <w:rtl w:val="true"/>
        </w:rPr>
        <w:t>י ערבים</w:t>
      </w:r>
      <w:r>
        <w:rPr>
          <w:rtl w:val="true"/>
        </w:rPr>
        <w:t>."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יחד עם הגשת כתב האישום נגד המערערים ביום </w:t>
      </w:r>
      <w:r>
        <w:rPr/>
        <w:t>4.4.2014</w:t>
      </w:r>
      <w:r>
        <w:rPr>
          <w:rtl w:val="true"/>
        </w:rPr>
        <w:t xml:space="preserve">, </w:t>
      </w:r>
      <w:r>
        <w:rPr>
          <w:rtl w:val="true"/>
        </w:rPr>
        <w:t>הוגשה בקשה לעצור אותם עד לתום הליכי המשפט נגדם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אכן נעצר עד לתום הליכי המשפט ושהה למשך </w:t>
      </w:r>
      <w:r>
        <w:rPr/>
        <w:t>368</w:t>
      </w:r>
      <w:r>
        <w:rPr>
          <w:rtl w:val="true"/>
        </w:rPr>
        <w:t xml:space="preserve"> </w:t>
      </w:r>
      <w:r>
        <w:rPr>
          <w:rtl w:val="true"/>
        </w:rPr>
        <w:t>ימים במעצר</w:t>
      </w:r>
      <w:r>
        <w:rPr>
          <w:rtl w:val="true"/>
        </w:rPr>
        <w:t xml:space="preserve">, </w:t>
      </w:r>
      <w:r>
        <w:rPr>
          <w:rtl w:val="true"/>
        </w:rPr>
        <w:t>מתוכם כ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יום במקביל לריצוי עונש מאסר בפועל בתיק אחר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 xml:space="preserve">מערערים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נעצרו במעצר מלא למשך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ימים ולמשך </w:t>
      </w:r>
      <w:r>
        <w:rPr/>
        <w:t>339</w:t>
      </w:r>
      <w:r>
        <w:rPr>
          <w:rtl w:val="true"/>
        </w:rPr>
        <w:t xml:space="preserve"> </w:t>
      </w:r>
      <w:r>
        <w:rPr>
          <w:rtl w:val="true"/>
        </w:rPr>
        <w:t>ימים נוספים במעצר בפיקוח אלקטרוני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זיכויים בדין ושחרורם</w:t>
      </w:r>
      <w:r>
        <w:rPr>
          <w:rtl w:val="true"/>
        </w:rPr>
        <w:t xml:space="preserve">, </w:t>
      </w:r>
      <w:r>
        <w:rPr>
          <w:rtl w:val="true"/>
        </w:rPr>
        <w:t xml:space="preserve">הגישו שלושת המערערים בקשה לפיצוי 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בגין הימים בהם היו נתונים במעצר מלא ובמעצר בפיקוח אלקטרוני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דחה את הבקשה בהחלטה מיום </w:t>
      </w:r>
      <w:r>
        <w:rPr/>
        <w:t>3.8.2016</w:t>
      </w:r>
      <w:r>
        <w:rPr>
          <w:rtl w:val="true"/>
        </w:rPr>
        <w:t xml:space="preserve"> </w:t>
      </w:r>
      <w:r>
        <w:rPr>
          <w:rtl w:val="true"/>
        </w:rPr>
        <w:t>והערעור שלפנינו מופנה נגד החלטה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המערערים לא היה יסוד להעמדתם לדין והתקיימו נסיבות המצדיקות פסיקת פיצויים לטובתם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הטענה היא שהואיל ונקבע שהסתבכותם באירוע הייתה רק מפני שבקשו להגן על עצמם</w:t>
      </w:r>
      <w:r>
        <w:rPr>
          <w:rtl w:val="true"/>
        </w:rPr>
        <w:t xml:space="preserve">, </w:t>
      </w:r>
      <w:r>
        <w:rPr>
          <w:rtl w:val="true"/>
        </w:rPr>
        <w:t>שעה שנתקפו על ידי בני משפחת אילוז המצויה איתם בסכסוך מתמשך</w:t>
      </w:r>
      <w:r>
        <w:rPr>
          <w:rtl w:val="true"/>
        </w:rPr>
        <w:t xml:space="preserve">, </w:t>
      </w:r>
      <w:r>
        <w:rPr>
          <w:rtl w:val="true"/>
        </w:rPr>
        <w:t>ושעה שלא היו ראיות ששללו את גרסתם</w:t>
      </w:r>
      <w:r>
        <w:rPr>
          <w:rtl w:val="true"/>
        </w:rPr>
        <w:t xml:space="preserve">, </w:t>
      </w:r>
      <w:r>
        <w:rPr>
          <w:rtl w:val="true"/>
        </w:rPr>
        <w:t>לא היה כל מקום להגיש נגדם כתב אישום</w:t>
      </w:r>
      <w:r>
        <w:rPr>
          <w:rtl w:val="true"/>
        </w:rPr>
        <w:t xml:space="preserve">. </w:t>
      </w:r>
      <w:r>
        <w:rPr>
          <w:rtl w:val="true"/>
        </w:rPr>
        <w:t>ודאי נוכח נסיעתם התמימה והיקלעותם למקום לאחר ביקור משפחתי</w:t>
      </w:r>
      <w:r>
        <w:rPr>
          <w:rtl w:val="true"/>
        </w:rPr>
        <w:t>-</w:t>
      </w:r>
      <w:r>
        <w:rPr>
          <w:rtl w:val="true"/>
        </w:rPr>
        <w:t>מסורתי סביב ארוחת קוּבֶּה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נטען כי שעה שנקבע באופן פוזיטיבי כאמור שהמערערים פעלו במסגרת הגנה עצמית</w:t>
      </w:r>
      <w:r>
        <w:rPr>
          <w:rtl w:val="true"/>
        </w:rPr>
        <w:t xml:space="preserve">, </w:t>
      </w:r>
      <w:r>
        <w:rPr>
          <w:rtl w:val="true"/>
        </w:rPr>
        <w:t>קביעה זו כשלעצמה מצדיקה הענקת פיצויים בגין מעצרם בשל ההיבט החברתי</w:t>
      </w:r>
      <w:r>
        <w:rPr>
          <w:rtl w:val="true"/>
        </w:rPr>
        <w:t>-</w:t>
      </w:r>
      <w:r>
        <w:rPr>
          <w:rtl w:val="true"/>
        </w:rPr>
        <w:t>ערכי של זיכויים בדין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מחזיקה אחר החלטת בית המשפט המחוזי בהדגישה כי אין המדובר במקרה המצדיק פיצוי בגין עוול שנגרם לנאשם שזוכה בדין</w:t>
      </w:r>
      <w:r>
        <w:rPr>
          <w:rtl w:val="true"/>
        </w:rPr>
        <w:t xml:space="preserve">. </w:t>
      </w:r>
      <w:r>
        <w:rPr>
          <w:rtl w:val="true"/>
        </w:rPr>
        <w:t>זאת בין היתר בהתחשב בחוסר שיתוף הפעולה מצד המערערים במהלך חקירתם במשטרה</w:t>
      </w:r>
      <w:r>
        <w:rPr>
          <w:rtl w:val="true"/>
        </w:rPr>
        <w:t xml:space="preserve">, </w:t>
      </w:r>
      <w:r>
        <w:rPr>
          <w:rtl w:val="true"/>
        </w:rPr>
        <w:t>בכך שלא מסרו גרסה מלאה כפי שזו נמסרה מאוחר יותר במהלך המשפט</w:t>
      </w:r>
      <w:r>
        <w:rPr>
          <w:rtl w:val="true"/>
        </w:rPr>
        <w:t xml:space="preserve">. </w:t>
      </w:r>
      <w:r>
        <w:rPr>
          <w:rtl w:val="true"/>
        </w:rPr>
        <w:t xml:space="preserve">כן הודגש כי אין ערכאת הערעור נוטה להתערב בהחלטה שניתנה בעניין תשלום פיצויים 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הזכות הקבועה </w:t>
      </w:r>
      <w:hyperlink r:id="rId1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מאזנת בין זכויות היסוד של נאשם לחירות</w:t>
      </w:r>
      <w:r>
        <w:rPr>
          <w:rtl w:val="true"/>
        </w:rPr>
        <w:t xml:space="preserve">, </w:t>
      </w:r>
      <w:r>
        <w:rPr>
          <w:rtl w:val="true"/>
        </w:rPr>
        <w:t>לכבוד ולפרטיות שנשללו ממנו במעצר או במאסר עד שזוכה</w:t>
      </w:r>
      <w:r>
        <w:rPr>
          <w:rtl w:val="true"/>
        </w:rPr>
        <w:t xml:space="preserve">, </w:t>
      </w:r>
      <w:r>
        <w:rPr>
          <w:rtl w:val="true"/>
        </w:rPr>
        <w:t>ובין האינטרס הציבורי הקיים בהעמדתם של עבריינים לדין</w:t>
      </w:r>
      <w:r>
        <w:rPr>
          <w:rtl w:val="true"/>
        </w:rPr>
        <w:t xml:space="preserve">. </w:t>
      </w:r>
      <w:r>
        <w:rPr>
          <w:rtl w:val="true"/>
        </w:rPr>
        <w:t>האיזון בין שיקולים נוגדים אלה</w:t>
      </w:r>
      <w:r>
        <w:rPr>
          <w:rtl w:val="true"/>
        </w:rPr>
        <w:t xml:space="preserve">, </w:t>
      </w:r>
      <w:r>
        <w:rPr>
          <w:rtl w:val="true"/>
        </w:rPr>
        <w:t>מוגבל על</w:t>
      </w:r>
      <w:r>
        <w:rPr>
          <w:position w:val="4"/>
          <w:rtl w:val="true"/>
        </w:rPr>
        <w:t xml:space="preserve"> </w:t>
      </w:r>
      <w:r>
        <w:rPr>
          <w:rtl w:val="true"/>
        </w:rPr>
        <w:t>פי מהותו</w:t>
      </w:r>
      <w:r>
        <w:rPr>
          <w:rtl w:val="true"/>
        </w:rPr>
        <w:t xml:space="preserve">. </w:t>
      </w:r>
      <w:r>
        <w:rPr>
          <w:rtl w:val="true"/>
        </w:rPr>
        <w:t xml:space="preserve">על כן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לחוק קובע כי עצם הזיכוי בדין אינו מקנה לנאשם זכות לפיצויים ועל</w:t>
      </w:r>
      <w:r>
        <w:rPr>
          <w:position w:val="4"/>
          <w:rtl w:val="true"/>
        </w:rPr>
        <w:t xml:space="preserve"> </w:t>
      </w:r>
      <w:r>
        <w:rPr>
          <w:rtl w:val="true"/>
        </w:rPr>
        <w:t>מנת שזו תקום נדרש קיומה של אחת משתי עילות</w:t>
      </w:r>
      <w:r>
        <w:rPr>
          <w:rtl w:val="true"/>
        </w:rPr>
        <w:t xml:space="preserve">: </w:t>
      </w:r>
      <w:r>
        <w:rPr>
          <w:rtl w:val="true"/>
        </w:rPr>
        <w:t xml:space="preserve">היעדר יסוד להאשמה או קיומן של נסיבות אחרות המצדיקות פיצוי כאמור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11024/02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מנצור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426</w:t>
      </w:r>
      <w:r>
        <w:rPr>
          <w:rtl w:val="true"/>
        </w:rPr>
        <w:t xml:space="preserve">, </w:t>
      </w:r>
      <w:r>
        <w:rPr/>
        <w:t>443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מנצור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שתיאווי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6.4.2009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Times New Roman" w:hAnsi="Times New Roman" w:cs="Times New Roman"/>
        </w:rPr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במסגרת האינטרס הציבורי של העמדת עבריינים לדין</w:t>
      </w:r>
      <w:r>
        <w:rPr>
          <w:rtl w:val="true"/>
        </w:rPr>
        <w:t xml:space="preserve">, </w:t>
      </w:r>
      <w:r>
        <w:rPr>
          <w:rtl w:val="true"/>
        </w:rPr>
        <w:t xml:space="preserve">קיים </w:t>
      </w:r>
      <w:r>
        <w:rPr>
          <w:rFonts w:ascii="Times New Roman" w:hAnsi="Times New Roman" w:cs="Times New Roman"/>
          <w:rtl w:val="true"/>
        </w:rPr>
        <w:t>חשש כי חיוב המדינה בפיצויים עלול להקשות על הגשמתו המיטבית של האינטרס האמור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במסגרת זו העניק הדין לתביעה הכללית שיקול דעת בהחלטה אם די בראיות הקיימות כדי להקים סיכוי סביר להרשעתו של חשוד ולהעמדתו לדין </w:t>
      </w:r>
      <w:r>
        <w:rPr>
          <w:rFonts w:cs="Times New Roman" w:ascii="Times New Roman" w:hAnsi="Times New Roman"/>
          <w:rtl w:val="true"/>
        </w:rPr>
        <w:t>(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סדר הדין הפלילי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נוסח משולב</w:t>
      </w:r>
      <w:r>
        <w:rPr>
          <w:rFonts w:cs="Times New Roman" w:ascii="Times New Roman" w:hAnsi="Times New Roman"/>
          <w:rtl w:val="true"/>
        </w:rPr>
        <w:t>]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תשמ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1982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במקרים מסוימים עלול שיקול הדעת הראשוני של התביעה להתברר בדיעבד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שלב הבירור המשפטי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כשגוי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במקרים אחרים עלולות לחול התפתחויות ראייתיות בשלב המשפט המשנות את התמונה הראייתית מכפי שהייתה ידועה בטרם פתיחת ההליך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ישנם גם מקרים שבהם עשוי בית המשפט להביט על חומר הראיות בדרך שונה מזו של התביעה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בכל המקרים האמורים לא יהיה בזיכוי הנאשם כשלעצמו כדי להצביע על כך שההחלטה להעמידו לדין מלכתחילה הייתה בלתי סבירה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בהינתן שבטרם קבלת ההחלטה נשקלו שיקולים עניינים ונערכה בדיקה קפדנית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מקיפה ומקצועית של חומר הראיות </w:t>
      </w:r>
      <w:r>
        <w:rPr>
          <w:rFonts w:cs="Times New Roman" w:ascii="Times New Roman" w:hAnsi="Times New Roman"/>
          <w:rtl w:val="true"/>
        </w:rPr>
        <w:t>(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5205/04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גואטה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3.7.2007</w:t>
      </w:r>
      <w:r>
        <w:rPr>
          <w:rFonts w:cs="Times New Roman" w:ascii="Times New Roman" w:hAnsi="Times New Roman"/>
          <w:rtl w:val="true"/>
        </w:rPr>
        <w:t xml:space="preserve">); </w:t>
      </w:r>
      <w:hyperlink r:id="rId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6137/05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שלומוב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פסקאות </w:t>
      </w:r>
      <w:r>
        <w:rPr>
          <w:rFonts w:cs="Times New Roman" w:ascii="Times New Roman" w:hAnsi="Times New Roman"/>
        </w:rPr>
        <w:t>11-10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8.1.2007</w:t>
      </w:r>
      <w:r>
        <w:rPr>
          <w:rFonts w:cs="Times New Roman" w:ascii="Times New Roman" w:hAnsi="Times New Roman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מן העבר השני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קיימים שיקולים נוגדים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חיוב המדינה בפיצוי מקדם גם את האינטרס הציבורי בפיקוח ובקרה על שיקול דעתם והתנהלותם הראויה של התביעה לקבוע את העמדתם לדין של חשודים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יש בפיצוי גם כדי לאזן במעט ולו בדיעבד את הנחיתות המובנית של בעל הדין הבודד אל מול מנגנון התביעה </w:t>
      </w:r>
      <w:r>
        <w:rPr>
          <w:rFonts w:cs="Times New Roman" w:ascii="Times New Roman" w:hAnsi="Times New Roman"/>
          <w:rtl w:val="true"/>
        </w:rPr>
        <w:t>(</w:t>
      </w:r>
      <w:hyperlink r:id="rId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4466/98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דבש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נו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73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102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2003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דבש</w:t>
      </w:r>
      <w:r>
        <w:rPr>
          <w:rFonts w:cs="Times New Roman" w:ascii="Times New Roman" w:hAnsi="Times New Roman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זו ישנה חשיבות רבה לכך שבית המשפט שניהל את ההליכים לכל אורכם</w:t>
      </w:r>
      <w:r>
        <w:rPr>
          <w:rtl w:val="true"/>
        </w:rPr>
        <w:t xml:space="preserve">, </w:t>
      </w:r>
      <w:r>
        <w:rPr>
          <w:rtl w:val="true"/>
        </w:rPr>
        <w:t>הוא זה שגם יכריע בבקשה לעניין הפיצויים</w:t>
      </w:r>
      <w:r>
        <w:rPr>
          <w:rtl w:val="true"/>
        </w:rPr>
        <w:t xml:space="preserve">. </w:t>
      </w:r>
      <w:r>
        <w:rPr>
          <w:rtl w:val="true"/>
        </w:rPr>
        <w:t>החלטתה של הערכאה הדיונית</w:t>
      </w:r>
      <w:r>
        <w:rPr>
          <w:rtl w:val="true"/>
        </w:rPr>
        <w:t xml:space="preserve">, </w:t>
      </w:r>
      <w:r>
        <w:rPr>
          <w:rtl w:val="true"/>
        </w:rPr>
        <w:t>שלא כמו ערכאת הערעור</w:t>
      </w:r>
      <w:r>
        <w:rPr>
          <w:rtl w:val="true"/>
        </w:rPr>
        <w:t xml:space="preserve">, </w:t>
      </w:r>
      <w:r>
        <w:rPr>
          <w:rtl w:val="true"/>
        </w:rPr>
        <w:t>נסמכת על התרשמותו הבלתי אמצעית של בית המשפט מהתנהלות הצדדים ומהראיות והעדויות שהובאו לפניו</w:t>
      </w:r>
      <w:r>
        <w:rPr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הערכאה הדיונית גם מצויה לפני ולפנים בפרטי הראיות ובנסיבות המקרה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והיא זו שהתרשמה באופן בלתי אמצעי מהעדים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מהנאשם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מהראיות בכללותן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מאופן ניהול המשפט והתנהלות הצדדים במהלך הדיון </w:t>
      </w:r>
      <w:r>
        <w:rPr>
          <w:rFonts w:cs="Arial TUR;Arial" w:ascii="Arial TUR;Arial" w:hAnsi="Arial TUR;Arial"/>
          <w:sz w:val="22"/>
          <w:rtl w:val="true"/>
        </w:rPr>
        <w:t>(</w:t>
      </w:r>
      <w:hyperlink r:id="rId20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1109/09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שיבלי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ח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04.01.2010</w:t>
      </w:r>
      <w:r>
        <w:rPr>
          <w:rFonts w:cs="Arial TUR;Arial" w:ascii="Arial TUR;Arial" w:hAnsi="Arial TUR;Arial"/>
          <w:sz w:val="22"/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17.6.2015</w:t>
      </w:r>
      <w:r>
        <w:rPr>
          <w:rtl w:val="true"/>
        </w:rPr>
        <w:t xml:space="preserve">); </w:t>
      </w:r>
      <w:hyperlink r:id="rId22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5097/10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בוגנים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15.1.2013</w:t>
      </w:r>
      <w:r>
        <w:rPr>
          <w:rFonts w:cs="Arial TUR;Arial" w:ascii="Arial TUR;Arial" w:hAnsi="Arial TUR;Arial"/>
          <w:sz w:val="22"/>
          <w:rtl w:val="true"/>
        </w:rPr>
        <w:t>) (</w:t>
      </w:r>
      <w:r>
        <w:rPr>
          <w:rFonts w:ascii="Arial TUR;Arial" w:hAnsi="Arial TUR;Arial" w:cs="Arial TUR;Arial"/>
          <w:sz w:val="22"/>
          <w:sz w:val="22"/>
          <w:rtl w:val="true"/>
        </w:rPr>
        <w:t>להלן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בוגנים</w:t>
      </w:r>
      <w:r>
        <w:rPr>
          <w:rFonts w:cs="Arial TUR;Arial" w:ascii="Arial TUR;Arial" w:hAnsi="Arial TUR;Arial"/>
          <w:sz w:val="22"/>
          <w:rtl w:val="true"/>
        </w:rPr>
        <w:t xml:space="preserve">); </w:t>
      </w:r>
      <w:hyperlink r:id="rId23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1042/13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קקון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10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cs="Arial TUR;Arial" w:ascii="Arial TUR;Arial" w:hAnsi="Arial TUR;Arial"/>
          <w:sz w:val="22"/>
        </w:rPr>
        <w:t>25.6.2014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קקון</w:t>
      </w:r>
      <w:r>
        <w:rPr>
          <w:rtl w:val="true"/>
        </w:rPr>
        <w:t>))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מסיבה 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ככלל</w:t>
      </w:r>
      <w:r>
        <w:rPr>
          <w:sz w:val="22"/>
          <w:rtl w:val="true"/>
        </w:rPr>
        <w:t xml:space="preserve">, </w:t>
      </w:r>
      <w:r>
        <w:rPr>
          <w:rtl w:val="true"/>
        </w:rPr>
        <w:t>ערכאת הערעור לא תיטה להתערב</w:t>
      </w:r>
      <w:r>
        <w:rPr>
          <w:sz w:val="22"/>
          <w:sz w:val="22"/>
          <w:rtl w:val="true"/>
        </w:rPr>
        <w:t xml:space="preserve"> בהחלטת הערכאה הדיונית לעניין פסיקת פיצויים לנאשם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 xml:space="preserve">ואשר ליישום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הסעיף קובע כי הפיצוי </w:t>
      </w:r>
      <w:r>
        <w:rPr>
          <w:sz w:val="22"/>
          <w:sz w:val="22"/>
          <w:rtl w:val="true"/>
        </w:rPr>
        <w:t>יכול שייפסק באחת משתי עילות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 xml:space="preserve">אם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לא היה יסוד להאשמה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 xml:space="preserve">או אם נמצאו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נסיבות אחרות המצדיקות זאת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בהתקיים אחת מעילות 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רשאי בית המשפט </w:t>
      </w:r>
      <w:r>
        <w:rPr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אך אינו חייב </w:t>
      </w:r>
      <w:r>
        <w:rPr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להורות על פיצוי המבקש </w:t>
      </w:r>
      <w:r>
        <w:rPr>
          <w:sz w:val="22"/>
          <w:rtl w:val="true"/>
        </w:rPr>
        <w:t>(</w:t>
      </w:r>
      <w:hyperlink r:id="rId2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7452/13</w:t>
        </w:r>
      </w:hyperlink>
      <w:r>
        <w:rPr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פלס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sz w:val="22"/>
          <w:rtl w:val="true"/>
        </w:rPr>
        <w:t xml:space="preserve">פסקה </w:t>
      </w:r>
      <w:r>
        <w:rPr>
          <w:sz w:val="22"/>
        </w:rPr>
        <w:t>5</w:t>
      </w:r>
      <w:r>
        <w:rPr>
          <w:sz w:val="22"/>
          <w:rtl w:val="true"/>
        </w:rPr>
        <w:t xml:space="preserve"> (</w:t>
      </w:r>
      <w:r>
        <w:rPr>
          <w:sz w:val="22"/>
        </w:rPr>
        <w:t>13.1.2015</w:t>
      </w:r>
      <w:r>
        <w:rPr>
          <w:sz w:val="22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eastAsia="Garamond"/>
          <w:sz w:val="22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Arial TUR;Arial" w:hAnsi="Arial TUR;Arial" w:cs="Arial TUR;Arial"/>
          <w:sz w:val="22"/>
        </w:rPr>
      </w:pPr>
      <w:r>
        <w:rPr>
          <w:sz w:val="22"/>
          <w:sz w:val="22"/>
          <w:rtl w:val="true"/>
        </w:rPr>
        <w:t>בעניין העילה הראשונה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המבחן שנקבע לקיומו של היסוד להאשמה הוא מבחן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התובע הסביר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הסיכוי הסביר להרשעה</w:t>
      </w:r>
      <w:r>
        <w:rPr>
          <w:sz w:val="22"/>
          <w:rtl w:val="true"/>
        </w:rPr>
        <w:t>" (</w:t>
      </w:r>
      <w:r>
        <w:rPr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דבש</w:t>
      </w:r>
      <w:r>
        <w:rPr>
          <w:rFonts w:cs="Century" w:ascii="Century" w:hAnsi="Century"/>
          <w:sz w:val="22"/>
          <w:rtl w:val="true"/>
        </w:rPr>
        <w:t>)</w:t>
      </w:r>
      <w:r>
        <w:rPr>
          <w:sz w:val="22"/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בהתאם לאמת מידה זו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יש לבחון באופן אובייקטיבי האם לנוכח התשתית הראייתית שהייתה מונחת לפני התביעה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היה תובע סביר וזהיר מגיע למסקנה שיש מקום להגשת כתב אישום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נפסק כי כדי שתתגבש עילה זו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יש צורך להוכיח כי מדובר במצבים חריגים של זדון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חוסר תום לב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רשלנות חמורה ביותר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או אי סבירות מהותית ובולטת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בוגנים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18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לחוות דעתו של השופט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כתוארו אז</w:t>
      </w:r>
      <w:r>
        <w:rPr>
          <w:rFonts w:cs="Arial TUR;Arial" w:ascii="Arial TUR;Arial" w:hAnsi="Arial TUR;Arial"/>
          <w:sz w:val="22"/>
          <w:rtl w:val="true"/>
        </w:rPr>
        <w:t xml:space="preserve">),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Fonts w:cs="Arial TUR;Arial" w:ascii="Arial TUR;Arial" w:hAnsi="Arial TUR;Arial"/>
          <w:sz w:val="22"/>
          <w:rtl w:val="true"/>
        </w:rPr>
        <w:t xml:space="preserve">;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ראו גם עניין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קקון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בפסקה </w:t>
      </w:r>
      <w:r>
        <w:rPr>
          <w:rFonts w:cs="Arial TUR;Arial" w:ascii="Arial TUR;Arial" w:hAnsi="Arial TUR;Arial"/>
          <w:sz w:val="22"/>
        </w:rPr>
        <w:t>11</w:t>
      </w:r>
      <w:r>
        <w:rPr>
          <w:rFonts w:cs="Arial TUR;Arial" w:ascii="Arial TUR;Arial" w:hAnsi="Arial TUR;Arial"/>
          <w:sz w:val="22"/>
          <w:rtl w:val="true"/>
        </w:rPr>
        <w:t>).</w:t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sz w:val="22"/>
        </w:rPr>
      </w:pPr>
      <w:r>
        <w:rPr>
          <w:rFonts w:ascii="Century" w:hAnsi="Century" w:cs="Century"/>
          <w:rtl w:val="true"/>
        </w:rPr>
        <w:t>אשר לעילת הזכאות לפיצוי המעוגנת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נסיבות אחרות המצדיקות זאת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עילה זו מנוסחת באופן רחב ומאפשרת גמישות באשר למגוון הנסיבות אשר יכול שתבואנה בגדרה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הביטוי עמום ונאמר כי ראוי כי כך יישאר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מנת לאפשר לבית המשפט שיקול דעת שאיננו תחום ברשימה סגורה של מקרים </w:t>
      </w:r>
      <w:r>
        <w:rPr>
          <w:rFonts w:cs="Century" w:ascii="Century" w:hAnsi="Century"/>
          <w:rtl w:val="true"/>
        </w:rPr>
        <w:t>(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7826/96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רייש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נא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481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1997</w:t>
      </w:r>
      <w:r>
        <w:rPr>
          <w:rFonts w:cs="Century" w:ascii="Century" w:hAnsi="Century"/>
          <w:sz w:val="22"/>
          <w:rtl w:val="true"/>
        </w:rPr>
        <w:t>))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נקבעו קווים מנחים וקטגוריות כלליות גם באשר להיקפה של עילה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מתפרשת על פני שלושה סוגים של עניינים</w:t>
      </w:r>
      <w:r>
        <w:rPr>
          <w:rFonts w:cs="Century" w:ascii="Century" w:hAnsi="Century"/>
          <w:rtl w:val="true"/>
        </w:rPr>
        <w:t>: 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נסיבות הנוגעות להליך המשפטי עצמו</w:t>
      </w:r>
      <w:r>
        <w:rPr>
          <w:rFonts w:cs="Century" w:ascii="Century" w:hAnsi="Century"/>
          <w:rtl w:val="true"/>
        </w:rPr>
        <w:t>; 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טיב זיכויו של הנאשם</w:t>
      </w:r>
      <w:r>
        <w:rPr>
          <w:rFonts w:cs="Century" w:ascii="Century" w:hAnsi="Century"/>
          <w:rtl w:val="true"/>
        </w:rPr>
        <w:t>; 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נסיבות אישיות של הנאשם שזוכה – כגון פגיעה בבריאותו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בשמו הטוב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במשפחתו וכדומה </w:t>
      </w:r>
      <w:r>
        <w:rPr>
          <w:rFonts w:cs="Century" w:ascii="Century" w:hAnsi="Century"/>
          <w:rtl w:val="true"/>
        </w:rPr>
        <w:t>(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4492/01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עשור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734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118</w:t>
      </w:r>
      <w:r>
        <w:rPr>
          <w:rFonts w:cs="Century" w:ascii="Century" w:hAnsi="Century"/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מנצור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448</w:t>
      </w:r>
      <w:r>
        <w:rPr>
          <w:rtl w:val="true"/>
        </w:rPr>
        <w:t xml:space="preserve">). </w:t>
      </w:r>
      <w:r>
        <w:rPr>
          <w:rFonts w:ascii="Arial TUR;Arial" w:hAnsi="Arial TUR;Arial" w:cs="Arial TUR;Arial"/>
          <w:sz w:val="22"/>
          <w:sz w:val="22"/>
          <w:rtl w:val="true"/>
        </w:rPr>
        <w:t>לצד קטגוריות אלו התפתחו בפסיקה מבחני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ascii="Arial TUR;Arial" w:hAnsi="Arial TUR;Arial" w:cs="Arial TUR;Arial"/>
          <w:sz w:val="22"/>
          <w:sz w:val="22"/>
          <w:rtl w:val="true"/>
        </w:rPr>
        <w:t>משנה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ביניהם</w:t>
      </w:r>
      <w:r>
        <w:rPr>
          <w:rFonts w:cs="Arial TUR;Arial" w:ascii="Arial TUR;Arial" w:hAnsi="Arial TUR;Arial"/>
          <w:sz w:val="22"/>
          <w:rtl w:val="true"/>
        </w:rPr>
        <w:t>: "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התנהגות המשטרה והתביעה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באופן זדוני או רשלני</w:t>
      </w:r>
      <w:r>
        <w:rPr>
          <w:rFonts w:cs="Arial TUR;Arial" w:ascii="Arial TUR;Arial" w:hAnsi="Arial TUR;Arial"/>
          <w:sz w:val="22"/>
          <w:rtl w:val="true"/>
        </w:rPr>
        <w:t xml:space="preserve">);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התנהגות הנאשם בחקירתו או במהלך משפט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כגון נאשם ששיקר או שמר על זכות השתיקה</w:t>
      </w:r>
      <w:r>
        <w:rPr>
          <w:rFonts w:cs="Arial TUR;Arial" w:ascii="Arial TUR;Arial" w:hAnsi="Arial TUR;Arial"/>
          <w:sz w:val="22"/>
          <w:rtl w:val="true"/>
        </w:rPr>
        <w:t xml:space="preserve">); </w:t>
      </w:r>
      <w:r>
        <w:rPr>
          <w:rFonts w:ascii="Arial TUR;Arial" w:hAnsi="Arial TUR;Arial" w:cs="Arial TUR;Arial"/>
          <w:sz w:val="22"/>
          <w:sz w:val="22"/>
          <w:rtl w:val="true"/>
        </w:rPr>
        <w:t>סוג העבירה והעונש לו הנאשם היה צפוי אלמלא זיכויו</w:t>
      </w:r>
      <w:r>
        <w:rPr>
          <w:sz w:val="22"/>
          <w:rtl w:val="true"/>
        </w:rPr>
        <w:t>" (</w:t>
      </w:r>
      <w:hyperlink r:id="rId2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1442/12</w:t>
        </w:r>
      </w:hyperlink>
      <w:r>
        <w:rPr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26.2.2013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 xml:space="preserve">פסקה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לחוות דעתו של השופט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sz w:val="22"/>
          <w:rtl w:val="true"/>
        </w:rPr>
        <w:t>).</w:t>
      </w:r>
    </w:p>
    <w:p>
      <w:pPr>
        <w:pStyle w:val="Ruller41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עיון בהכרעת דינו של בית המשפט המחוזי מלמד כי המערערים אכן זוכו בדינם מפני שנקבע שפעלו מתוך הגנה עצמית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זיכוי זה לא היה ללא התלבטות</w:t>
      </w:r>
      <w:r>
        <w:rPr>
          <w:rtl w:val="true"/>
        </w:rPr>
        <w:t xml:space="preserve">, </w:t>
      </w:r>
      <w:r>
        <w:rPr>
          <w:rtl w:val="true"/>
        </w:rPr>
        <w:t>ואין המדובר במקרה שבו היה ברור ונגלה כי אין סיכוי להרשעה</w:t>
      </w:r>
      <w:r>
        <w:rPr>
          <w:rtl w:val="true"/>
        </w:rPr>
        <w:t xml:space="preserve">. </w:t>
      </w:r>
      <w:r>
        <w:rPr>
          <w:rtl w:val="true"/>
        </w:rPr>
        <w:t>הזיכוי נבע בין היתר מכך שבני משפחת אילוז שתקפו את המערערים לפי טענתם</w:t>
      </w:r>
      <w:r>
        <w:rPr>
          <w:rtl w:val="true"/>
        </w:rPr>
        <w:t xml:space="preserve">, </w:t>
      </w:r>
      <w:r>
        <w:rPr>
          <w:rtl w:val="true"/>
        </w:rPr>
        <w:t>בחרו לשתוק ולא להעיד נגד המערערים בבית המשפט</w:t>
      </w:r>
      <w:r>
        <w:rPr>
          <w:rtl w:val="true"/>
        </w:rPr>
        <w:t xml:space="preserve">. </w:t>
      </w:r>
      <w:r>
        <w:rPr>
          <w:rtl w:val="true"/>
        </w:rPr>
        <w:t>בהכרעת הדין גם ניתנה התייחסות מפורשת לכך שבחינתן של הראיות אינה מובילה לממצאים מובהקים</w:t>
      </w:r>
      <w:r>
        <w:rPr>
          <w:rtl w:val="true"/>
        </w:rPr>
        <w:t xml:space="preserve">. </w:t>
      </w:r>
      <w:r>
        <w:rPr>
          <w:rtl w:val="true"/>
        </w:rPr>
        <w:t>כך למשל באשר להאזנה להקלטת האזנת הסתר שתיעדה את אשר התרחש במכונית שבה נסעו המערערים לפני ואחרי האירוע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אין המדובר במקרה שבו נתגלתה רשלנות חמורה או חוסר תום לב בהתנהלות התביעה</w:t>
      </w:r>
      <w:r>
        <w:rPr>
          <w:rtl w:val="true"/>
        </w:rPr>
        <w:t xml:space="preserve">, </w:t>
      </w:r>
      <w:r>
        <w:rPr>
          <w:rtl w:val="true"/>
        </w:rPr>
        <w:t>כי אם באירוע אשר בתמונתו הכוללת אינו מוביל למסקנה 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tl w:val="true"/>
        </w:rPr>
        <w:t xml:space="preserve">. </w:t>
      </w:r>
      <w:r>
        <w:rPr>
          <w:rtl w:val="true"/>
        </w:rPr>
        <w:t>לא ניתן לומר אפוא כי לא היה כל סיכוי סביר להרשעה או כי בהגשת כתב האישום הייתה החלטה שניתנה באי</w:t>
      </w:r>
      <w:r>
        <w:rPr>
          <w:rtl w:val="true"/>
        </w:rPr>
        <w:t>-</w:t>
      </w:r>
      <w:r>
        <w:rPr>
          <w:rtl w:val="true"/>
        </w:rPr>
        <w:t>סבירות בולטת</w:t>
      </w:r>
      <w:r>
        <w:rPr>
          <w:rtl w:val="true"/>
        </w:rPr>
        <w:t xml:space="preserve">. </w:t>
      </w:r>
      <w:r>
        <w:rPr>
          <w:rtl w:val="true"/>
        </w:rPr>
        <w:t>לפיכך תוך יישום המבחנים שפורטו לעיל</w:t>
      </w:r>
      <w:r>
        <w:rPr>
          <w:rtl w:val="true"/>
        </w:rPr>
        <w:t xml:space="preserve">, </w:t>
      </w:r>
      <w:r>
        <w:rPr>
          <w:rtl w:val="true"/>
        </w:rPr>
        <w:t>לא ניתן לומר שלא היה מקום להגיש כתב האישום נגד המערערים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ובאשר לקיומן של נסיבות אחרות המצדיקות את הפיצויים</w:t>
      </w:r>
      <w:r>
        <w:rPr>
          <w:rtl w:val="true"/>
        </w:rPr>
        <w:t xml:space="preserve">. </w:t>
      </w:r>
      <w:r>
        <w:rPr>
          <w:rtl w:val="true"/>
        </w:rPr>
        <w:t>אין חולק שהמערערים מסרו גרסה שקרית בחקירתם במשטרה</w:t>
      </w:r>
      <w:r>
        <w:rPr>
          <w:rtl w:val="true"/>
        </w:rPr>
        <w:t xml:space="preserve">, </w:t>
      </w:r>
      <w:r>
        <w:rPr>
          <w:rtl w:val="true"/>
        </w:rPr>
        <w:t>על פיה הם לא נתקפו על ידי משפחת אילוז כי אם על ידי קבוצת ערבים</w:t>
      </w:r>
      <w:r>
        <w:rPr>
          <w:rtl w:val="true"/>
        </w:rPr>
        <w:t xml:space="preserve">. </w:t>
      </w:r>
      <w:r>
        <w:rPr>
          <w:rtl w:val="true"/>
        </w:rPr>
        <w:t xml:space="preserve">בכך הם ביקשו לשוות לפגיעתם </w:t>
      </w:r>
      <w:r>
        <w:rPr>
          <w:rtl w:val="true"/>
        </w:rPr>
        <w:t>נופך ביטחוני</w:t>
      </w:r>
      <w:r>
        <w:rPr>
          <w:rtl w:val="true"/>
        </w:rPr>
        <w:t xml:space="preserve"> שקרי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מנהג יפה של אבותיהם בידיהם של המערערים הנפגשים מידי סוף שבוע ליד שולחן משפחתי לסעודה משותפת</w:t>
      </w:r>
      <w:r>
        <w:rPr>
          <w:rtl w:val="true"/>
        </w:rPr>
        <w:t xml:space="preserve">. </w:t>
      </w:r>
      <w:r>
        <w:rPr>
          <w:rtl w:val="true"/>
        </w:rPr>
        <w:t>אלא שברכבם של המערערים לא נמצא רק סיר קובה</w:t>
      </w:r>
      <w:r>
        <w:rPr>
          <w:rtl w:val="true"/>
        </w:rPr>
        <w:t xml:space="preserve">, </w:t>
      </w:r>
      <w:r>
        <w:rPr>
          <w:rtl w:val="true"/>
        </w:rPr>
        <w:t>אלא גם כלי משחית בדמות מוטות ברזל וסכינים</w:t>
      </w:r>
      <w:r>
        <w:rPr>
          <w:rtl w:val="true"/>
        </w:rPr>
        <w:t xml:space="preserve">. </w:t>
      </w:r>
      <w:r>
        <w:rPr>
          <w:rtl w:val="true"/>
        </w:rPr>
        <w:t>ערוכים היו המערערים למלחמה</w:t>
      </w:r>
      <w:r>
        <w:rPr>
          <w:rtl w:val="true"/>
        </w:rPr>
        <w:t xml:space="preserve">, </w:t>
      </w:r>
      <w:r>
        <w:rPr>
          <w:rtl w:val="true"/>
        </w:rPr>
        <w:t>השאלה הייתה רק היכן ומתי</w:t>
      </w:r>
      <w:r>
        <w:rPr>
          <w:rtl w:val="true"/>
        </w:rPr>
        <w:t xml:space="preserve">. </w:t>
      </w:r>
      <w:r>
        <w:rPr>
          <w:rtl w:val="true"/>
        </w:rPr>
        <w:t>הם אכן הופתעו על ידי בני משפחת אילוז</w:t>
      </w:r>
      <w:r>
        <w:rPr>
          <w:rtl w:val="true"/>
        </w:rPr>
        <w:t xml:space="preserve">, </w:t>
      </w:r>
      <w:r>
        <w:rPr>
          <w:rtl w:val="true"/>
        </w:rPr>
        <w:t>אך על פי ממצאי הכרעת הדין</w:t>
      </w:r>
      <w:r>
        <w:rPr>
          <w:rtl w:val="true"/>
        </w:rPr>
        <w:t xml:space="preserve">, </w:t>
      </w:r>
      <w:r>
        <w:rPr>
          <w:rtl w:val="true"/>
        </w:rPr>
        <w:t>הם התעשתו במהרה והשיבו יפה מלחמה שערה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גם בבית המשפט המחוזי</w:t>
      </w:r>
      <w:r>
        <w:rPr>
          <w:rtl w:val="true"/>
        </w:rPr>
        <w:t xml:space="preserve">, </w:t>
      </w:r>
      <w:r>
        <w:rPr>
          <w:rtl w:val="true"/>
        </w:rPr>
        <w:t>במהלך הדיון במשפטם של אילוז הם מילאו את פיהם מים כשם שעשו משפחת אילוז במשפטם של המערערים</w:t>
      </w:r>
      <w:r>
        <w:rPr>
          <w:rtl w:val="true"/>
        </w:rPr>
        <w:t xml:space="preserve">. </w:t>
      </w:r>
      <w:r>
        <w:rPr>
          <w:rtl w:val="true"/>
        </w:rPr>
        <w:t>ברית שתיקה כרתו המערערים עם משפחת אילוז</w:t>
      </w:r>
      <w:r>
        <w:rPr>
          <w:rtl w:val="true"/>
        </w:rPr>
        <w:t xml:space="preserve">, </w:t>
      </w:r>
      <w:r>
        <w:rPr>
          <w:rtl w:val="true"/>
        </w:rPr>
        <w:t>אשר גם הם זוכו במשפטם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טענת המערערים כי קיימת הצדקה לפצותם על מעצרם בשל </w:t>
      </w:r>
      <w:r>
        <w:rPr>
          <w:rtl w:val="true"/>
        </w:rPr>
        <w:t>"</w:t>
      </w:r>
      <w:r>
        <w:rPr>
          <w:rtl w:val="true"/>
        </w:rPr>
        <w:t>נסיבות אחרות המצדיקות זאת</w:t>
      </w:r>
      <w:r>
        <w:rPr>
          <w:rtl w:val="true"/>
        </w:rPr>
        <w:t xml:space="preserve">", </w:t>
      </w:r>
      <w:r>
        <w:rPr>
          <w:rtl w:val="true"/>
        </w:rPr>
        <w:t>אינה יכולה להתקבל</w:t>
      </w:r>
      <w:r>
        <w:rPr>
          <w:rtl w:val="true"/>
        </w:rPr>
        <w:t xml:space="preserve">. </w:t>
      </w:r>
      <w:r>
        <w:rPr>
          <w:rtl w:val="true"/>
        </w:rPr>
        <w:t>המערערים לא הצביעו על שיקולים מיוחדים המובילים למסקנה שלא היה מקום להגיש כתב אישום</w:t>
      </w:r>
      <w:r>
        <w:rPr>
          <w:rtl w:val="true"/>
        </w:rPr>
        <w:t xml:space="preserve">. </w:t>
      </w:r>
      <w:r>
        <w:rPr>
          <w:rtl w:val="true"/>
        </w:rPr>
        <w:t>ההיפך הוא הנכון</w:t>
      </w:r>
      <w:r>
        <w:rPr>
          <w:rtl w:val="true"/>
        </w:rPr>
        <w:t xml:space="preserve">. </w:t>
      </w:r>
      <w:r>
        <w:rPr>
          <w:rtl w:val="true"/>
        </w:rPr>
        <w:t>מהתמונה במלואה עולה השתלשלות עניינים מורכבת אשר רב בה הנסתר על הגלוי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בהירות היא אשר הובילה לזיכויים של המערערים מעבירות חמורות</w:t>
      </w:r>
      <w:r>
        <w:rPr>
          <w:rtl w:val="true"/>
        </w:rPr>
        <w:t xml:space="preserve">, </w:t>
      </w:r>
      <w:r>
        <w:rPr>
          <w:rtl w:val="true"/>
        </w:rPr>
        <w:t>אך לא ניתן להתעלם גם מהתנהלותם של המערערים במהלך חקירתם במשטרה</w:t>
      </w:r>
      <w:r>
        <w:rPr>
          <w:rtl w:val="true"/>
        </w:rPr>
        <w:t xml:space="preserve">, </w:t>
      </w:r>
      <w:r>
        <w:rPr>
          <w:rtl w:val="true"/>
        </w:rPr>
        <w:t>ניסיונם להרחיק את משפחת אילוז מהתרחשות האירוע</w:t>
      </w:r>
      <w:r>
        <w:rPr>
          <w:rtl w:val="true"/>
        </w:rPr>
        <w:t xml:space="preserve">, </w:t>
      </w:r>
      <w:r>
        <w:rPr>
          <w:rtl w:val="true"/>
        </w:rPr>
        <w:t>העובדה שנשאו עמם מוטות ברזל וסכינים וקשר השתיקה שנרקם בינם לבין משפחת אילוז</w:t>
      </w:r>
      <w:r>
        <w:rPr>
          <w:rtl w:val="true"/>
        </w:rPr>
        <w:t xml:space="preserve">. </w:t>
      </w:r>
      <w:r>
        <w:rPr>
          <w:rtl w:val="true"/>
        </w:rPr>
        <w:t>נוכח דברים אלו</w:t>
      </w:r>
      <w:r>
        <w:rPr>
          <w:rtl w:val="true"/>
        </w:rPr>
        <w:t xml:space="preserve">, </w:t>
      </w:r>
      <w:r>
        <w:rPr>
          <w:rtl w:val="true"/>
        </w:rPr>
        <w:t>ובהינתן מערכת דברים פתלתלה זו</w:t>
      </w:r>
      <w:r>
        <w:rPr>
          <w:rtl w:val="true"/>
        </w:rPr>
        <w:t xml:space="preserve">, </w:t>
      </w:r>
      <w:r>
        <w:rPr>
          <w:rtl w:val="true"/>
        </w:rPr>
        <w:t>לא נמצא טעם המצדיק התערבות בהחלטת בית המשפט המחוזי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במכלול נסיבות העניין עולה כי אין המדובר כלל במקרה המצדיק את התערבותה של ערכאת הערעור בהחלטה לגבי הזכות לפיצוי לפי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22.3.2016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אציע אפוא לחברי לדחות 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11.2.2018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16072350</w:t>
      </w:r>
      <w:r>
        <w:rPr>
          <w:sz w:val="16"/>
          <w:rtl w:val="true"/>
        </w:rPr>
        <w:t>_</w:t>
      </w:r>
      <w:r>
        <w:rPr>
          <w:sz w:val="16"/>
        </w:rPr>
        <w:t>N02.doc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54678313-7235/16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7235/16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ירון כהן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  <w:textAlignment w:val="auto"/>
    </w:pPr>
    <w:rPr>
      <w:sz w:val="22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1005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80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law/74903/62" TargetMode="External"/><Relationship Id="rId7" Type="http://schemas.openxmlformats.org/officeDocument/2006/relationships/hyperlink" Target="http://www.nevo.co.il/case/13100501" TargetMode="External"/><Relationship Id="rId8" Type="http://schemas.openxmlformats.org/officeDocument/2006/relationships/hyperlink" Target="http://www.nevo.co.il/law/70301/80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80" TargetMode="External"/><Relationship Id="rId11" Type="http://schemas.openxmlformats.org/officeDocument/2006/relationships/hyperlink" Target="http://www.nevo.co.il/law/70301/80" TargetMode="External"/><Relationship Id="rId12" Type="http://schemas.openxmlformats.org/officeDocument/2006/relationships/hyperlink" Target="http://www.nevo.co.il/law/70301/80" TargetMode="External"/><Relationship Id="rId13" Type="http://schemas.openxmlformats.org/officeDocument/2006/relationships/hyperlink" Target="http://www.nevo.co.il/case/6177493" TargetMode="External"/><Relationship Id="rId14" Type="http://schemas.openxmlformats.org/officeDocument/2006/relationships/hyperlink" Target="http://www.nevo.co.il/case/5828635" TargetMode="External"/><Relationship Id="rId15" Type="http://schemas.openxmlformats.org/officeDocument/2006/relationships/hyperlink" Target="http://www.nevo.co.il/law/74903/62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case/5999760" TargetMode="External"/><Relationship Id="rId18" Type="http://schemas.openxmlformats.org/officeDocument/2006/relationships/hyperlink" Target="http://www.nevo.co.il/case/6051547" TargetMode="External"/><Relationship Id="rId19" Type="http://schemas.openxmlformats.org/officeDocument/2006/relationships/hyperlink" Target="http://www.nevo.co.il/case/5959459" TargetMode="External"/><Relationship Id="rId20" Type="http://schemas.openxmlformats.org/officeDocument/2006/relationships/hyperlink" Target="http://www.nevo.co.il/case/5746638" TargetMode="External"/><Relationship Id="rId21" Type="http://schemas.openxmlformats.org/officeDocument/2006/relationships/hyperlink" Target="http://www.nevo.co.il/case/11285608" TargetMode="External"/><Relationship Id="rId22" Type="http://schemas.openxmlformats.org/officeDocument/2006/relationships/hyperlink" Target="http://www.nevo.co.il/case/5568982" TargetMode="External"/><Relationship Id="rId23" Type="http://schemas.openxmlformats.org/officeDocument/2006/relationships/hyperlink" Target="http://www.nevo.co.il/case/5841690" TargetMode="External"/><Relationship Id="rId24" Type="http://schemas.openxmlformats.org/officeDocument/2006/relationships/hyperlink" Target="http://www.nevo.co.il/law/70301/80" TargetMode="External"/><Relationship Id="rId25" Type="http://schemas.openxmlformats.org/officeDocument/2006/relationships/hyperlink" Target="http://www.nevo.co.il/case/8478588" TargetMode="External"/><Relationship Id="rId26" Type="http://schemas.openxmlformats.org/officeDocument/2006/relationships/hyperlink" Target="http://www.nevo.co.il/case/5898389" TargetMode="External"/><Relationship Id="rId27" Type="http://schemas.openxmlformats.org/officeDocument/2006/relationships/hyperlink" Target="http://www.nevo.co.il/case/5896046" TargetMode="External"/><Relationship Id="rId28" Type="http://schemas.openxmlformats.org/officeDocument/2006/relationships/hyperlink" Target="http://www.nevo.co.il/case/5576167" TargetMode="External"/><Relationship Id="rId29" Type="http://schemas.openxmlformats.org/officeDocument/2006/relationships/hyperlink" Target="http://www.nevo.co.il/law/70301/80" TargetMode="External"/><Relationship Id="rId30" Type="http://schemas.openxmlformats.org/officeDocument/2006/relationships/hyperlink" Target="http://www.nevo.co.il/case/21053250" TargetMode="External"/><Relationship Id="rId31" Type="http://schemas.openxmlformats.org/officeDocument/2006/relationships/hyperlink" Target="http://www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2018-02-15T08:55:00Z</dcterms:created>
  <dc:creator> </dc:creator>
  <dc:description/>
  <cp:keywords/>
  <dc:language>en-IL</dc:language>
  <cp:lastModifiedBy>orly</cp:lastModifiedBy>
  <cp:lastPrinted>2005-02-10T11:00:00Z</cp:lastPrinted>
  <dcterms:modified xsi:type="dcterms:W3CDTF">2018-02-15T08:55:00Z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ירון כהן;דניאל כהן;מאור כהן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13100501:2;6177493;5828635;5999760;6051547;5959459;5746638;11285608;5568982;5841690;8478588;5898389;5896046;5576167;21053250</vt:lpwstr>
  </property>
  <property fmtid="{D5CDD505-2E9C-101B-9397-08002B2CF9AE}" pid="9" name="CITY">
    <vt:lpwstr/>
  </property>
  <property fmtid="{D5CDD505-2E9C-101B-9397-08002B2CF9AE}" pid="10" name="DATE">
    <vt:lpwstr>20180211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שהם;ד' מינץ;י' וילנר</vt:lpwstr>
  </property>
  <property fmtid="{D5CDD505-2E9C-101B-9397-08002B2CF9AE}" pid="14" name="LAWLISTTMP1">
    <vt:lpwstr>70301/080:6</vt:lpwstr>
  </property>
  <property fmtid="{D5CDD505-2E9C-101B-9397-08002B2CF9AE}" pid="15" name="LAWLISTTMP2">
    <vt:lpwstr>74903/062</vt:lpwstr>
  </property>
  <property fmtid="{D5CDD505-2E9C-101B-9397-08002B2CF9AE}" pid="16" name="LAWYER">
    <vt:lpwstr>לינור בן אוליאל;ודים שו#ב;מאיה ברקאי;אריאל הרמן;אלכס גפני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בתי-משפט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77;18;14</vt:lpwstr>
  </property>
  <property fmtid="{D5CDD505-2E9C-101B-9397-08002B2CF9AE}" pid="38" name="NOSE21">
    <vt:lpwstr>פיצויים והוצאות</vt:lpwstr>
  </property>
  <property fmtid="{D5CDD505-2E9C-101B-9397-08002B2CF9AE}" pid="39" name="NOSE210">
    <vt:lpwstr/>
  </property>
  <property fmtid="{D5CDD505-2E9C-101B-9397-08002B2CF9AE}" pid="40" name="NOSE22">
    <vt:lpwstr>מעצר</vt:lpwstr>
  </property>
  <property fmtid="{D5CDD505-2E9C-101B-9397-08002B2CF9AE}" pid="41" name="NOSE23">
    <vt:lpwstr>ערעור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1447;485;333</vt:lpwstr>
  </property>
  <property fmtid="{D5CDD505-2E9C-101B-9397-08002B2CF9AE}" pid="49" name="NOSE31">
    <vt:lpwstr>פיצויים לנאשם שזוכה</vt:lpwstr>
  </property>
  <property fmtid="{D5CDD505-2E9C-101B-9397-08002B2CF9AE}" pid="50" name="NOSE310">
    <vt:lpwstr/>
  </property>
  <property fmtid="{D5CDD505-2E9C-101B-9397-08002B2CF9AE}" pid="51" name="NOSE32">
    <vt:lpwstr>פיצויים</vt:lpwstr>
  </property>
  <property fmtid="{D5CDD505-2E9C-101B-9397-08002B2CF9AE}" pid="52" name="NOSE33">
    <vt:lpwstr>התערבות ערכאת ערעור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9012;16762;2712</vt:lpwstr>
  </property>
  <property fmtid="{D5CDD505-2E9C-101B-9397-08002B2CF9AE}" pid="60" name="PADIDATE">
    <vt:lpwstr>20180215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7235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410120180211</vt:lpwstr>
  </property>
  <property fmtid="{D5CDD505-2E9C-101B-9397-08002B2CF9AE}" pid="70" name="TYPE_N_DATE">
    <vt:lpwstr>41020180211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