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7238/19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7249/19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7326/19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8"/>
          <w:szCs w:val="24"/>
        </w:rPr>
      </w:pPr>
      <w:r>
        <w:rPr>
          <w:rFonts w:cs="Miriam"/>
          <w:b/>
          <w:bCs/>
          <w:sz w:val="18"/>
          <w:szCs w:val="24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7238/19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7249/19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7326/19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בבאר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שבע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תפ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"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50625-04-17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16.</w:t>
            </w:r>
            <w:r>
              <w:rPr>
                <w:rFonts w:cs="Miriam" w:ascii="Century" w:hAnsi="Century"/>
                <w:b/>
                <w:szCs w:val="24"/>
              </w:rPr>
              <w:t>9.2019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הנשיאה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יפה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"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ץ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והשופטים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משניות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3.3.2020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7238/19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חיימוביץ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7249/19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7326/19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בונדר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שוייצר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245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שפיטה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1971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</w:rPr>
          <w:t>24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המרשם הפלילי ותקנת השבים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1981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</w:rPr>
          <w:t>14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נערים כבני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הורשעו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לנוער בביצוע מעשים מגונים ומעשי סדום בילדה בת </w:t>
      </w:r>
      <w:r>
        <w:rPr>
          <w:rFonts w:cs="Times New Roman" w:ascii="Times New Roman" w:hAnsi="Times New Roman"/>
          <w:spacing w:val="0"/>
          <w:szCs w:val="26"/>
        </w:rPr>
        <w:t>12.5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ובעבירות של הדחה בחקירה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 כי אין בשיקולי השיקום הייחודיים החלים לגבי קטינים כדי לטשטש את חומרת מעשיהם של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ניתן להימנע מהרשעתם ותחת זאת לנקוט כלפיהם דרכי טיפול בלבד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נוער – שפיטה – הרשעה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נוער – ענישה – הרשעה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קטינים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תסקיר שירות מבחן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נוער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התערבות ערכאת הערעור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נערים כבני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 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הורשעו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לנוער בביצוע מעשים מגונים ומעשי סדום בזה אחר זה על פני יומיים רצופים בילדה בת </w:t>
      </w:r>
      <w:r>
        <w:rPr>
          <w:rFonts w:cs="Times New Roman" w:ascii="Times New Roman" w:hAnsi="Times New Roman"/>
          <w:spacing w:val="0"/>
          <w:szCs w:val="26"/>
        </w:rPr>
        <w:t>12.5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ובעבירות של הדחה בחקירה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המערערים נגזר צו מבחן למשך שנה וענישה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בערעורים טוענים המערערים כי היה על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להימנע מהרשעתם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ותחת זאת לנקוט כלפיהם דרכי טיפול בלבד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סולברג ושטיין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הערעורים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 ייטה שלא להתערב בחומרת העונש שנגזר על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בנסיבות חריגות שבהן נפלה טעות מהותית ובולטת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העונש סוטה במידה קיצונית ממדיניות הענישה הנהוגה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הערעורים דנן אינם נמנים עם מקרים חריגים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אומנם המערערים היו קטינים בעת ביצוע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ויש בכך כדי להעניק משקל משמעותי מהרגיל לשיקולי שיקום על פני יתר שיקולי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מסוימים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גילם אף עשוי לתמוך בהימנעות מהרשעתם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קטינות אינה מזכה בחסינות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ובצד המשקל המוגבר הניתן לשיקולי השיקום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חובה להעניק משקל הולם גם לשיקולי גמול והרתעה ולסיכויי השיקום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זה מעשיהם החמורים של המערערים והנזק שגרמו למתלוננת מצדיקים ענישה מוחשית שתרתיע את הרבים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עונשם של המערערים לגלם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ולו במועט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הפגיעה הקשה שגרמו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יעלה הדעת שכלל לא יורשעו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להעביר מסר חינוכי המדגיש את החומרה הרבה שבביצוע עבירות מין בידי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ובתי המשפט נדרשים לסייע בהפצת מסר זה באמצעות הטלת ענישה מרתיעה על עבירות כאלו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 העבירות והפגיעות במתלוננת מחייבים ענישה מוחשית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הכוללת לכל הפחות את הרשעת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 נכונים ביתר שאת לאור התסקירים המשלימים מהם עולה כי הרשעת המערערים לא פגעה בהליך הטיפולי שחוו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דומה כי לא עמדה בדרכם להתגייס לצה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 יש קושי הנובע מהרשעת המערערים במעשים שהודו בהם לפני למעלה משנתיים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החשיבות שבשיקום קטינים העומדים לדין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שעשויה לעיתים לגרור התמשכות הליכים בשל הגשות תסקירי שירות המבחן ובקשות דחייה חוזרות ונשנות לצורך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נכון יהא תמיד לסיים את ההליכים בעניינם של קטינים בהקדם ככל שניתן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אך אין בכך עילה להתערבות בהחלטה להרשיע את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חרף נסיבותיהם של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מדובר במקרה קשה של ביצוע מעשי סדום ומעשים מגונים בילדה כבת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וחצי על ידי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שהותירו את המתלוננת במצב נפשי וחברתי קשה מנשוא המשליך על המשך חייה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בשיקולי השיקום הייחודיים החלים לגבי קטינים כדי לטשטש את חומרת מעשיהם של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ניתן להימנע מהרשעתם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קבוצת נערים כבני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ניצלו את חולשתה של ילדה כבת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 xml:space="preserve">ביצעו בה מעשים מגונים ומעשי סדום בזה אחר זה על פני יומיים רצופים </w:t>
      </w:r>
      <w:r>
        <w:rPr>
          <w:rtl w:val="true"/>
        </w:rPr>
        <w:t>–</w:t>
      </w:r>
      <w:r>
        <w:rPr>
          <w:rtl w:val="true"/>
        </w:rPr>
        <w:t xml:space="preserve"> ולבסוף דחקו בה שלא להגיש נגדם תלונה במשטרה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יפה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משניות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מהרשעתם</w:t>
      </w:r>
      <w:r>
        <w:rPr>
          <w:rtl w:val="true"/>
        </w:rPr>
        <w:t xml:space="preserve">, </w:t>
      </w:r>
      <w:r>
        <w:rPr>
          <w:rtl w:val="true"/>
        </w:rPr>
        <w:t>ותחת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>.</w:t>
      </w:r>
      <w:r>
        <w:rPr>
          <w:rtl w:val="true"/>
        </w:rPr>
        <w:br/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כתב האישום המתוקן בשלישית</w:t>
      </w:r>
      <w:r>
        <w:rPr>
          <w:rtl w:val="true"/>
        </w:rPr>
        <w:t xml:space="preserve">, </w:t>
      </w:r>
      <w:r>
        <w:rPr>
          <w:rtl w:val="true"/>
        </w:rPr>
        <w:t>שבו הודו המערערים</w:t>
      </w:r>
      <w:r>
        <w:rPr>
          <w:rtl w:val="true"/>
        </w:rPr>
        <w:t xml:space="preserve">, </w:t>
      </w:r>
      <w:r>
        <w:rPr>
          <w:rtl w:val="true"/>
        </w:rPr>
        <w:t>כולל ארבעה אישומים שונים המתארים כיצד ביצעו מעשי סדום ומעשים מגונים במתלוננת</w:t>
      </w:r>
      <w:r>
        <w:rPr>
          <w:rtl w:val="true"/>
        </w:rPr>
        <w:t xml:space="preserve">, </w:t>
      </w:r>
      <w:r>
        <w:rPr>
          <w:rtl w:val="true"/>
        </w:rPr>
        <w:t xml:space="preserve">שהייתה באותה עת כבת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; </w:t>
      </w:r>
      <w:r>
        <w:rPr>
          <w:rtl w:val="true"/>
        </w:rPr>
        <w:t>וכיצד ביקשו ממנה לאחר מכן שלא תגיש נגדם תלונה במשטרה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7238/19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)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7236/19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tl w:val="true"/>
        </w:rPr>
        <w:t xml:space="preserve">)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ושבעה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7249/19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</w:t>
      </w:r>
      <w:r>
        <w:rPr>
          <w:rtl w:val="true"/>
        </w:rPr>
        <w:t>).</w:t>
      </w:r>
      <w:r>
        <w:rPr>
          <w:rtl w:val="true"/>
        </w:rPr>
        <w:br/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פי המתואר באישום הראשון</w:t>
      </w:r>
      <w:r>
        <w:rPr>
          <w:rtl w:val="true"/>
        </w:rPr>
        <w:t xml:space="preserve">, </w:t>
      </w:r>
      <w:r>
        <w:rPr>
          <w:rtl w:val="true"/>
        </w:rPr>
        <w:t>בליל ה</w:t>
      </w:r>
      <w:r>
        <w:rPr>
          <w:rtl w:val="true"/>
        </w:rPr>
        <w:t>-</w:t>
      </w:r>
      <w:r>
        <w:rPr/>
        <w:t>25.7.2016</w:t>
      </w:r>
      <w:r>
        <w:rPr>
          <w:rtl w:val="true"/>
        </w:rPr>
        <w:t xml:space="preserve"> </w:t>
      </w:r>
      <w:r>
        <w:rPr>
          <w:rtl w:val="true"/>
        </w:rPr>
        <w:t>שהו המערערים ונער נוסף יחד</w:t>
      </w:r>
      <w:r>
        <w:rPr>
          <w:rtl w:val="true"/>
        </w:rPr>
        <w:t xml:space="preserve">. </w:t>
      </w:r>
      <w:r>
        <w:rPr>
          <w:rtl w:val="true"/>
        </w:rPr>
        <w:t>משחלפה המתלוננת על פניהם קרא לה הנער הנוסף</w:t>
      </w:r>
      <w:r>
        <w:rPr>
          <w:rtl w:val="true"/>
        </w:rPr>
        <w:t xml:space="preserve">, </w:t>
      </w:r>
      <w:r>
        <w:rPr>
          <w:rtl w:val="true"/>
        </w:rPr>
        <w:t>שעימו הייתה לה היכרות שטחית קודמת</w:t>
      </w:r>
      <w:r>
        <w:rPr>
          <w:rtl w:val="true"/>
        </w:rPr>
        <w:t xml:space="preserve">. </w:t>
      </w:r>
      <w:r>
        <w:rPr>
          <w:rtl w:val="true"/>
        </w:rPr>
        <w:t xml:space="preserve">הנערים שאלו </w:t>
      </w:r>
      <w:r>
        <w:rPr>
          <w:rtl w:val="true"/>
        </w:rPr>
        <w:t>"</w:t>
      </w:r>
      <w:r>
        <w:rPr>
          <w:rtl w:val="true"/>
        </w:rPr>
        <w:t>אם יש לה חבר</w:t>
      </w:r>
      <w:r>
        <w:rPr>
          <w:rtl w:val="true"/>
        </w:rPr>
        <w:t xml:space="preserve">", </w:t>
      </w:r>
      <w:r>
        <w:rPr>
          <w:rtl w:val="true"/>
        </w:rPr>
        <w:t>לשון כתב האישום המתוקן</w:t>
      </w:r>
      <w:r>
        <w:rPr>
          <w:rtl w:val="true"/>
        </w:rPr>
        <w:t xml:space="preserve">. </w:t>
      </w:r>
      <w:r>
        <w:rPr>
          <w:rtl w:val="true"/>
        </w:rPr>
        <w:t>משענתה בשלילה</w:t>
      </w:r>
      <w:r>
        <w:rPr>
          <w:rtl w:val="true"/>
        </w:rPr>
        <w:t xml:space="preserve">, </w:t>
      </w:r>
      <w:r>
        <w:rPr>
          <w:rtl w:val="true"/>
        </w:rPr>
        <w:t xml:space="preserve">אמרו כי </w:t>
      </w:r>
      <w:r>
        <w:rPr>
          <w:rtl w:val="true"/>
        </w:rPr>
        <w:t>"</w:t>
      </w:r>
      <w:r>
        <w:rPr>
          <w:rtl w:val="true"/>
        </w:rPr>
        <w:t>יסדרו לה חבר</w:t>
      </w:r>
      <w:r>
        <w:rPr>
          <w:rtl w:val="true"/>
        </w:rPr>
        <w:t xml:space="preserve">", </w:t>
      </w:r>
      <w:r>
        <w:rPr>
          <w:rtl w:val="true"/>
        </w:rPr>
        <w:t>והחמישה צעדו למקום אחר בעיר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ישחקו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"'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'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נגיעות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;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החדירו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  <w:r>
        <w:rPr>
          <w:rtl w:val="true"/>
        </w:rPr>
        <w:br/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כמתואר באישום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המערערים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תיאמו להיפגש עם המתלוננת למחרת היום</w:t>
      </w:r>
      <w:r>
        <w:rPr>
          <w:rtl w:val="true"/>
        </w:rPr>
        <w:t xml:space="preserve">, </w:t>
      </w:r>
      <w:r>
        <w:rPr>
          <w:rtl w:val="true"/>
        </w:rPr>
        <w:t xml:space="preserve">והשלושה הלכו יחד לביתו של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שבו בוצעו באותה עת שיפוצים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",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tl w:val="true"/>
        </w:rPr>
        <w:t xml:space="preserve">", </w:t>
      </w:r>
      <w:r>
        <w:rPr>
          <w:rtl w:val="true"/>
        </w:rPr>
        <w:t>והגיע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ניקה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"'</w:t>
      </w:r>
      <w:r>
        <w:rPr>
          <w:rtl w:val="true"/>
        </w:rPr>
        <w:t>למצוץ</w:t>
      </w:r>
      <w:r>
        <w:rPr>
          <w:rtl w:val="true"/>
        </w:rPr>
        <w:t xml:space="preserve">' </w:t>
      </w:r>
      <w:r>
        <w:rPr>
          <w:rtl w:val="true"/>
        </w:rPr>
        <w:t>לו</w:t>
      </w:r>
      <w:r>
        <w:rPr>
          <w:rtl w:val="true"/>
        </w:rPr>
        <w:t xml:space="preserve">"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>.</w:t>
      </w:r>
      <w:r>
        <w:rPr>
          <w:rtl w:val="true"/>
        </w:rPr>
        <w:br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ascii="FrankRuehl" w:hAnsi="FrankRuehl"/>
          <w:rtl w:val="true"/>
        </w:rPr>
        <w:t>ֵ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18:00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לפי האישום השלישי</w:t>
      </w:r>
      <w:r>
        <w:rPr>
          <w:rtl w:val="true"/>
        </w:rPr>
        <w:t xml:space="preserve">, </w:t>
      </w:r>
      <w:r>
        <w:rPr>
          <w:rtl w:val="true"/>
        </w:rPr>
        <w:t xml:space="preserve">משהגיעה המתלוננת לדירת מגוריו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18:00</w:t>
      </w:r>
      <w:r>
        <w:rPr>
          <w:rtl w:val="true"/>
        </w:rPr>
        <w:t xml:space="preserve"> </w:t>
      </w:r>
      <w:r>
        <w:rPr>
          <w:rtl w:val="true"/>
        </w:rPr>
        <w:t>באותו יום</w:t>
      </w:r>
      <w:r>
        <w:rPr>
          <w:rtl w:val="true"/>
        </w:rPr>
        <w:t xml:space="preserve">, </w:t>
      </w:r>
      <w:r>
        <w:rPr>
          <w:rtl w:val="true"/>
        </w:rPr>
        <w:t xml:space="preserve">כהוראתו של המערער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פגשה את שלושת המערערים</w:t>
      </w:r>
      <w:r>
        <w:rPr>
          <w:rtl w:val="true"/>
        </w:rPr>
        <w:t xml:space="preserve">, </w:t>
      </w:r>
      <w:r>
        <w:rPr>
          <w:rtl w:val="true"/>
        </w:rPr>
        <w:t>אשר נכנסו עימה בזה אחר זה אל אחד מחדרי הדירה והחדירו את איברי מינם לפיה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תמצוץ</w:t>
      </w:r>
      <w:r>
        <w:rPr>
          <w:rtl w:val="true"/>
        </w:rPr>
        <w:t xml:space="preserve">"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שפשפו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גוזייה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ומכנסיים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טייטס</w:t>
      </w:r>
      <w:r>
        <w:rPr>
          <w:rtl w:val="true"/>
        </w:rPr>
        <w:t xml:space="preserve">")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החדירו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שדיה</w:t>
      </w:r>
      <w:r>
        <w:rPr>
          <w:rtl w:val="true"/>
        </w:rPr>
        <w:t xml:space="preserve">, </w:t>
      </w:r>
      <w:r>
        <w:rPr>
          <w:rtl w:val="true"/>
        </w:rPr>
        <w:t>והתחככו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מכנסיה</w:t>
      </w:r>
      <w:r>
        <w:rPr>
          <w:rtl w:val="true"/>
        </w:rPr>
        <w:t xml:space="preserve">;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חולצה</w:t>
      </w:r>
      <w:r>
        <w:rPr>
          <w:rtl w:val="true"/>
        </w:rPr>
        <w:t xml:space="preserve">, </w:t>
      </w:r>
      <w:r>
        <w:rPr>
          <w:rtl w:val="true"/>
        </w:rPr>
        <w:t>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ותחתוניו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", </w:t>
      </w:r>
      <w:r>
        <w:rPr>
          <w:rtl w:val="true"/>
        </w:rPr>
        <w:t>השכיב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למכנסיה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הולדת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: "</w:t>
      </w:r>
      <w:r>
        <w:rPr>
          <w:rtl w:val="true"/>
        </w:rPr>
        <w:t>עזבו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נחפש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לפי האישום הרביעי</w:t>
      </w:r>
      <w:r>
        <w:rPr>
          <w:rtl w:val="true"/>
        </w:rPr>
        <w:t xml:space="preserve">, </w:t>
      </w:r>
      <w:r>
        <w:rPr>
          <w:rtl w:val="true"/>
        </w:rPr>
        <w:t>יומיים לאחר אירועי האישום השלישי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28.7.2016</w:t>
      </w:r>
      <w:r>
        <w:rPr>
          <w:rtl w:val="true"/>
        </w:rPr>
        <w:t xml:space="preserve">, </w:t>
      </w:r>
      <w:r>
        <w:rPr>
          <w:rtl w:val="true"/>
        </w:rPr>
        <w:t xml:space="preserve">פגשו המערערים את המתלוננת בבריכה וביקשו ממנה סליחה כדי </w:t>
      </w:r>
      <w:r>
        <w:rPr>
          <w:rtl w:val="true"/>
        </w:rPr>
        <w:t>"</w:t>
      </w:r>
      <w:r>
        <w:rPr>
          <w:rtl w:val="true"/>
        </w:rPr>
        <w:t>שלא תתלונן עליהם במשטרה</w:t>
      </w:r>
      <w:r>
        <w:rPr>
          <w:rtl w:val="true"/>
        </w:rPr>
        <w:t xml:space="preserve">", </w:t>
      </w:r>
      <w:r>
        <w:rPr>
          <w:rtl w:val="true"/>
        </w:rPr>
        <w:t>לשון כתב האישום המתוקן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29.7.2016</w:t>
      </w:r>
      <w:r>
        <w:rPr>
          <w:rtl w:val="true"/>
        </w:rPr>
        <w:t xml:space="preserve">, </w:t>
      </w:r>
      <w:r>
        <w:rPr>
          <w:rtl w:val="true"/>
        </w:rPr>
        <w:t>פגשה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שוחחו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יהרוס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",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ותסקירי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לנוער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בהתאם להודאותיהם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קמא בהכרעות דינו מיום </w:t>
      </w:r>
      <w:r>
        <w:rPr/>
        <w:t>9.11.2017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16.11.2017</w:t>
      </w:r>
      <w:r>
        <w:rPr>
          <w:rtl w:val="true"/>
        </w:rPr>
        <w:t xml:space="preserve"> </w:t>
      </w:r>
      <w:r>
        <w:rPr>
          <w:rtl w:val="true"/>
        </w:rPr>
        <w:t xml:space="preserve">כי המערערים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ביצעו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עבירות של מעשה סדום 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ascii="Times New Roman" w:hAnsi="Times New Roman" w:cs="Times New Roman"/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עבירה של מעשים מגונים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זה</w:t>
      </w:r>
      <w:r>
        <w:rPr>
          <w:rtl w:val="true"/>
        </w:rPr>
        <w:t xml:space="preserve">, </w:t>
      </w:r>
      <w:r>
        <w:rPr>
          <w:rtl w:val="true"/>
        </w:rPr>
        <w:t xml:space="preserve">ועבירה של הדחה בחקירה 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וכי המערער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ביצע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 של מעשה סדום</w:t>
      </w:r>
      <w:r>
        <w:rPr>
          <w:rtl w:val="true"/>
        </w:rPr>
        <w:t xml:space="preserve">, </w:t>
      </w:r>
      <w:r>
        <w:rPr>
          <w:rtl w:val="true"/>
        </w:rPr>
        <w:t>עבירה של מעשים מגונים</w:t>
      </w:r>
      <w:r>
        <w:rPr>
          <w:rtl w:val="true"/>
        </w:rPr>
        <w:t xml:space="preserve">, </w:t>
      </w:r>
      <w:r>
        <w:rPr>
          <w:rtl w:val="true"/>
        </w:rPr>
        <w:t>ועבירה של הדחה בחקירה לפי אותם סעיפים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כעולה מגזר הדין</w:t>
      </w:r>
      <w:r>
        <w:rPr>
          <w:rtl w:val="true"/>
        </w:rPr>
        <w:t xml:space="preserve">, </w:t>
      </w:r>
      <w:r>
        <w:rPr>
          <w:rtl w:val="true"/>
        </w:rPr>
        <w:t>הדיון בטיעונים לעונש נדחה פעמים מספר לבקשת שירות המבחן לנוער</w:t>
      </w:r>
      <w:r>
        <w:rPr>
          <w:rtl w:val="true"/>
        </w:rPr>
        <w:t xml:space="preserve">, </w:t>
      </w:r>
      <w:r>
        <w:rPr>
          <w:rtl w:val="true"/>
        </w:rPr>
        <w:t>אשר ביקש לבחון אפיקי שיקום ודרכי טיפול למערערים</w:t>
      </w:r>
      <w:r>
        <w:rPr>
          <w:rtl w:val="true"/>
        </w:rPr>
        <w:t xml:space="preserve">. </w:t>
      </w:r>
      <w:r>
        <w:rPr>
          <w:rtl w:val="true"/>
        </w:rPr>
        <w:t>בין לבין</w:t>
      </w:r>
      <w:r>
        <w:rPr>
          <w:rtl w:val="true"/>
        </w:rPr>
        <w:t xml:space="preserve">, </w:t>
      </w:r>
      <w:r>
        <w:rPr>
          <w:rtl w:val="true"/>
        </w:rPr>
        <w:t>התקיימו דיונים מספר בבית המשפט ובמהלכם נמסרו עדכונים באשר לקצב התקדמותם של המערערים ולצפי הטיפולים בעתיד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 xml:space="preserve">, </w:t>
      </w:r>
      <w:r>
        <w:rPr>
          <w:rtl w:val="true"/>
        </w:rPr>
        <w:t>ושבסופו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לנוכח סירוב אימה של המתלוננת</w:t>
      </w:r>
      <w:r>
        <w:rPr>
          <w:rtl w:val="true"/>
        </w:rPr>
        <w:t xml:space="preserve">, </w:t>
      </w:r>
      <w:r>
        <w:rPr>
          <w:rtl w:val="true"/>
        </w:rPr>
        <w:t>לא הוגש לבית המשפט קמא תסקיר נפגעת 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משפנתה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זונה</w:t>
      </w:r>
      <w:r>
        <w:rPr>
          <w:rtl w:val="true"/>
        </w:rPr>
        <w:t>", "</w:t>
      </w:r>
      <w:r>
        <w:rPr>
          <w:rtl w:val="true"/>
        </w:rPr>
        <w:t>שרמוטה</w:t>
      </w:r>
      <w:r>
        <w:rPr>
          <w:rtl w:val="true"/>
        </w:rPr>
        <w:t>", "</w:t>
      </w:r>
      <w:r>
        <w:rPr>
          <w:rtl w:val="true"/>
        </w:rPr>
        <w:t>נותנת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מלשינה</w:t>
      </w:r>
      <w:r>
        <w:rPr>
          <w:rtl w:val="true"/>
        </w:rPr>
        <w:t xml:space="preserve">";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ובלימודים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שחוותה</w:t>
      </w:r>
      <w:r>
        <w:rPr>
          <w:rtl w:val="true"/>
        </w:rPr>
        <w:t xml:space="preserve">, </w:t>
      </w:r>
      <w:r>
        <w:rPr>
          <w:rtl w:val="true"/>
        </w:rPr>
        <w:t>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לקשייה</w:t>
      </w:r>
      <w:r>
        <w:rPr>
          <w:rtl w:val="true"/>
        </w:rPr>
        <w:t xml:space="preserve">. </w:t>
      </w:r>
      <w:r>
        <w:rPr>
          <w:rtl w:val="true"/>
        </w:rPr>
        <w:t>מעדותה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לעשן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" </w:t>
      </w:r>
      <w:r>
        <w:rPr>
          <w:rtl w:val="true"/>
        </w:rPr>
        <w:t>ביחסיה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בגזר דינו מיום </w:t>
      </w:r>
      <w:r>
        <w:rPr/>
        <w:t>16.9.2019</w:t>
      </w:r>
      <w:r>
        <w:rPr>
          <w:rtl w:val="true"/>
        </w:rPr>
        <w:t xml:space="preserve"> </w:t>
      </w:r>
      <w:r>
        <w:rPr>
          <w:rtl w:val="true"/>
        </w:rPr>
        <w:t>עמד בית המשפט קמא על החומרה שבמעשיהם של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אשר ניצלו את חולשתה של המתלוננת שהייתה בעת ביצוע המעשים כבת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וחצי בלבד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 xml:space="preserve">מצאה עצמה כלי שרת לסיפוק צרכיהם </w:t>
      </w:r>
      <w:r>
        <w:rPr>
          <w:rtl w:val="true"/>
        </w:rPr>
        <w:t>...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תוך שהם מחפיצים ומעליבים אותה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מנצלים אותה וגורמים לה נזקים נפשיים קשים שלא יימחו בנקל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בהקשר זה הודגש כי יש לייחס חומרה יתרה לכך שמהמערערים פעלו בקבוצה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וצוין כי הם </w:t>
      </w:r>
      <w:r>
        <w:rPr>
          <w:rtl w:val="true"/>
        </w:rPr>
        <w:t>"</w:t>
      </w:r>
      <w:r>
        <w:rPr>
          <w:rtl w:val="true"/>
        </w:rPr>
        <w:t>לא טרחו כלל לשאול לדעתה או לברר את רצונה או הסכמתה</w:t>
      </w:r>
      <w:r>
        <w:rPr>
          <w:rtl w:val="true"/>
        </w:rPr>
        <w:t xml:space="preserve">" </w:t>
      </w:r>
      <w:r>
        <w:rPr>
          <w:rtl w:val="true"/>
        </w:rPr>
        <w:t>של המתלוננת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המשקעים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מעדותה</w:t>
      </w:r>
      <w:r>
        <w:rPr>
          <w:rtl w:val="true"/>
        </w:rPr>
        <w:t>, "</w:t>
      </w:r>
      <w:r>
        <w:rPr>
          <w:rtl w:val="true"/>
        </w:rPr>
        <w:t>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השיקומית</w:t>
      </w:r>
      <w:r>
        <w:rPr>
          <w:rtl w:val="true"/>
        </w:rPr>
        <w:t xml:space="preserve">, </w:t>
      </w:r>
      <w:r>
        <w:rPr>
          <w:rtl w:val="true"/>
        </w:rPr>
        <w:t>והדרך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יעביר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זניחת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;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והמשפט</w:t>
      </w:r>
      <w:r>
        <w:rPr>
          <w:rtl w:val="true"/>
        </w:rPr>
        <w:t xml:space="preserve">;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שיגנו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;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גיוסם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גיוסם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מלאכותי</w:t>
      </w:r>
      <w:r>
        <w:rPr>
          <w:rtl w:val="true"/>
        </w:rPr>
        <w:t xml:space="preserve">;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יגויסו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לשנה</w:t>
      </w:r>
      <w:r>
        <w:rPr>
          <w:rtl w:val="true"/>
        </w:rPr>
        <w:t xml:space="preserve">;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; </w:t>
      </w:r>
      <w:r>
        <w:rPr>
          <w:rtl w:val="true"/>
        </w:rPr>
        <w:t>והתחייבות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מכאן הערעורים שלפנינו</w:t>
      </w:r>
      <w:r>
        <w:rPr>
          <w:rtl w:val="true"/>
        </w:rPr>
        <w:t xml:space="preserve">, </w:t>
      </w:r>
      <w:r>
        <w:rPr>
          <w:rtl w:val="true"/>
        </w:rPr>
        <w:t>הנסבים על קביעת בית המשפט קמא שיש להרשיע את המערערים</w:t>
      </w:r>
      <w:r>
        <w:rPr>
          <w:rtl w:val="true"/>
        </w:rPr>
        <w:t xml:space="preserve">, </w:t>
      </w:r>
      <w:r>
        <w:rPr>
          <w:rtl w:val="true"/>
        </w:rPr>
        <w:t>תחת נקיטת דרכי טיפול בלבד</w:t>
      </w:r>
      <w:r>
        <w:rPr>
          <w:rtl w:val="true"/>
        </w:rPr>
        <w:t xml:space="preserve">, </w:t>
      </w:r>
      <w:r>
        <w:rPr>
          <w:rtl w:val="true"/>
        </w:rPr>
        <w:t>כמשמען ב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–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הנוער</w:t>
      </w:r>
      <w:r>
        <w:rPr>
          <w:rtl w:val="true"/>
        </w:rPr>
        <w:t>).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טענתם המרכזית של שלושת המערערים דומה</w:t>
      </w:r>
      <w:r>
        <w:rPr>
          <w:rtl w:val="true"/>
        </w:rPr>
        <w:t xml:space="preserve">: </w:t>
      </w:r>
      <w:r>
        <w:rPr>
          <w:rtl w:val="true"/>
        </w:rPr>
        <w:t>לנוכח גילם הצעיר בעת ביצוע המעשים</w:t>
      </w:r>
      <w:r>
        <w:rPr>
          <w:rtl w:val="true"/>
        </w:rPr>
        <w:t xml:space="preserve">, </w:t>
      </w:r>
      <w:r>
        <w:rPr>
          <w:rtl w:val="true"/>
        </w:rPr>
        <w:t>ההליך הטיפולי המשמעותי שעברו</w:t>
      </w:r>
      <w:r>
        <w:rPr>
          <w:rtl w:val="true"/>
        </w:rPr>
        <w:t xml:space="preserve">, </w:t>
      </w:r>
      <w:r>
        <w:rPr>
          <w:rtl w:val="true"/>
        </w:rPr>
        <w:t xml:space="preserve">המלצת שירות המבחן שלא להרשיעם והסכמת המשיבה לכך </w:t>
      </w:r>
      <w:r>
        <w:rPr>
          <w:rFonts w:ascii="Times New Roman" w:hAnsi="Times New Roman" w:cs="Times New Roman"/>
          <w:rtl w:val="true"/>
        </w:rPr>
        <w:t>–</w:t>
      </w:r>
      <w:r>
        <w:rPr>
          <w:rtl w:val="true"/>
        </w:rPr>
        <w:t xml:space="preserve"> לא היה מקום להרשיעם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לטענת בא כוח המשיבה דין הערעורים 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בפריזמה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הצרה</w:t>
      </w:r>
      <w:r>
        <w:rPr>
          <w:rtl w:val="true"/>
        </w:rPr>
        <w:t xml:space="preserve">, </w:t>
      </w:r>
      <w:r>
        <w:rPr>
          <w:rtl w:val="true"/>
        </w:rPr>
        <w:t>הנוגעת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המקורית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שעברו</w:t>
      </w:r>
      <w:r>
        <w:rPr>
          <w:rtl w:val="true"/>
        </w:rPr>
        <w:t xml:space="preserve">;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",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התגובה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המרשם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ותקנת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השבים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–</w:t>
      </w:r>
      <w:r>
        <w:rPr/>
        <w:t>1981</w:t>
      </w:r>
      <w:r>
        <w:rPr>
          <w:rtl w:val="true"/>
        </w:rPr>
        <w:t xml:space="preserve">,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לשלמות התמונה יוער כי עובר לדיון בערעור הוגשו לנו תסקירים משלימים על כל אחד מהמערערים מטעם שירות המבחן לנוער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ובוגר</w:t>
      </w:r>
      <w:r>
        <w:rPr>
          <w:rtl w:val="true"/>
        </w:rPr>
        <w:t xml:space="preserve">";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בהצטיינות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גיוסו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16.12.2019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"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התפקודי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ונבחנת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הקשור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תפקודו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לגיוסו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",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", </w:t>
      </w:r>
      <w:r>
        <w:rPr>
          <w:rtl w:val="true"/>
        </w:rPr>
        <w:t>והמליץ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 שבחנו את טיעוני הצדדים בכתב ובעל פה</w:t>
      </w:r>
      <w:r>
        <w:rPr>
          <w:rtl w:val="true"/>
        </w:rPr>
        <w:t xml:space="preserve">, </w:t>
      </w:r>
      <w:r>
        <w:rPr>
          <w:rtl w:val="true"/>
        </w:rPr>
        <w:t xml:space="preserve">בתסקירי שירות המבחן לנוער ובמכתבה של המתלוננת שהוגש לבית המשפט קמא </w:t>
      </w:r>
      <w:r>
        <w:rPr>
          <w:rtl w:val="true"/>
        </w:rPr>
        <w:t>–</w:t>
      </w:r>
      <w:r>
        <w:rPr>
          <w:rtl w:val="true"/>
        </w:rPr>
        <w:t xml:space="preserve"> הגענו לכלל מסקנה כי דין הערעורים 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בית משפט זה ייטה שלא להתערב בחומרת העונש שנגזר על 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 xml:space="preserve">כאשר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סוטה</w:t>
      </w:r>
      <w:r>
        <w:rPr>
          <w:rtl w:val="true"/>
        </w:rPr>
        <w:t xml:space="preserve"> </w:t>
      </w:r>
      <w:r>
        <w:rPr>
          <w:rtl w:val="true"/>
        </w:rPr>
        <w:t>במידה</w:t>
      </w:r>
      <w:r>
        <w:rPr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6339/16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7.12.2017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אומנם המערערים היו קטינים בעת ביצוע המעשים</w:t>
      </w:r>
      <w:r>
        <w:rPr>
          <w:rtl w:val="true"/>
        </w:rPr>
        <w:t xml:space="preserve">, </w:t>
      </w:r>
      <w:r>
        <w:rPr>
          <w:rtl w:val="true"/>
        </w:rPr>
        <w:t>ויש בכך כדי להעניק משקל משמעותי מהרגיל לשיקולי שיקום על פני יתר שיקולי הענישה</w:t>
      </w:r>
      <w:r>
        <w:rPr>
          <w:rtl w:val="true"/>
        </w:rPr>
        <w:t xml:space="preserve">. </w:t>
      </w:r>
      <w:r>
        <w:rPr>
          <w:rtl w:val="true"/>
        </w:rPr>
        <w:t>במקרים מסוימים</w:t>
      </w:r>
      <w:r>
        <w:rPr>
          <w:rtl w:val="true"/>
        </w:rPr>
        <w:t xml:space="preserve">, </w:t>
      </w:r>
      <w:r>
        <w:rPr>
          <w:rtl w:val="true"/>
        </w:rPr>
        <w:t xml:space="preserve">גילם אף עשוי לתמוך בהימנעות מהרשעתם </w:t>
      </w:r>
      <w:r>
        <w:rPr>
          <w:rtl w:val="true"/>
        </w:rPr>
        <w:t>(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12.1.2020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בחסינות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Century"/>
          <w:rtl w:val="true"/>
        </w:rPr>
        <w:t>ראו למשל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שם</w:t>
      </w:r>
      <w:r>
        <w:rPr>
          <w:rtl w:val="true"/>
        </w:rPr>
        <w:t xml:space="preserve">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5355/14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(</w:t>
      </w:r>
      <w:r>
        <w:rPr/>
        <w:t>27.10.2015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במקרה שלפנינו מעשיהם החמורים של המערערים והנזק המשמעותי שגרמו למתלוננת מצדיקים ענישה מוחשית אשר תיתן את אותותיה ותרתיע את הרבים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הבוגרים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Fonts w:cs="Times New Roman" w:ascii="Times New Roman" w:hAnsi="Times New Roman"/>
          <w:rtl w:val="true"/>
        </w:rPr>
        <w:t>–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אוראלי</w:t>
      </w:r>
      <w:r>
        <w:rPr>
          <w:rtl w:val="true"/>
        </w:rPr>
        <w:t xml:space="preserve">, </w:t>
      </w:r>
      <w:r>
        <w:rPr>
          <w:rtl w:val="true"/>
        </w:rPr>
        <w:t>התיישבו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וחיככו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מינם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צורכיהם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ברצונותיה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זונה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מעדותה</w:t>
      </w:r>
      <w:r>
        <w:rPr>
          <w:rtl w:val="true"/>
        </w:rPr>
        <w:t xml:space="preserve">, </w:t>
      </w:r>
      <w:r>
        <w:rPr>
          <w:rtl w:val="true"/>
        </w:rPr>
        <w:t>חווייתה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הפיצו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והעניקו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כינויי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בלימודיה</w:t>
      </w:r>
      <w:r>
        <w:rPr>
          <w:rtl w:val="true"/>
        </w:rPr>
        <w:t xml:space="preserve">;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ואלכוהול</w:t>
      </w:r>
      <w:r>
        <w:rPr>
          <w:rtl w:val="true"/>
        </w:rPr>
        <w:t xml:space="preserve">; </w:t>
      </w:r>
      <w:r>
        <w:rPr>
          <w:rtl w:val="true"/>
        </w:rPr>
        <w:t>עודנה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; </w:t>
      </w:r>
      <w:r>
        <w:rPr>
          <w:rtl w:val="true"/>
        </w:rPr>
        <w:t>ואך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בטחונה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לגלם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במועט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יש להעביר מסר חינוכי המדגיש את החומרה הרבה שבביצוע עבירות מין בידי קטינים</w:t>
      </w:r>
      <w:r>
        <w:rPr>
          <w:rtl w:val="true"/>
        </w:rPr>
        <w:t xml:space="preserve">, </w:t>
      </w:r>
      <w:r>
        <w:rPr>
          <w:rtl w:val="true"/>
        </w:rPr>
        <w:t>ובתי המשפט נדרשים לסייע בהפצת מסר זה באמצעות הטלת ענישה מרתיעה על עבירות כאלו</w:t>
      </w:r>
      <w:r>
        <w:rPr>
          <w:rtl w:val="true"/>
        </w:rPr>
        <w:t xml:space="preserve">. </w:t>
      </w:r>
      <w:r>
        <w:rPr>
          <w:rtl w:val="true"/>
        </w:rPr>
        <w:t>יש לקוות כי בכך יהיה כדי להגביר את מודעותם של בני נוער לגבולות האסור והמותר</w:t>
      </w:r>
      <w:r>
        <w:rPr>
          <w:rtl w:val="true"/>
        </w:rPr>
        <w:t xml:space="preserve">. </w:t>
      </w:r>
      <w:r>
        <w:rPr>
          <w:rtl w:val="true"/>
        </w:rPr>
        <w:t xml:space="preserve">כפי שכתב הנשיא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ברק</w:t>
      </w:r>
      <w:r>
        <w:rPr>
          <w:rtl w:val="true"/>
        </w:rPr>
        <w:t xml:space="preserve"> בעניין אחר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הורים</w:t>
      </w:r>
      <w:r>
        <w:rPr>
          <w:rtl w:val="true"/>
        </w:rPr>
        <w:t xml:space="preserve">, </w:t>
      </w:r>
      <w:r>
        <w:rPr>
          <w:rtl w:val="true"/>
        </w:rPr>
        <w:t>מורים</w:t>
      </w:r>
      <w:r>
        <w:rPr>
          <w:rtl w:val="true"/>
        </w:rPr>
        <w:t xml:space="preserve">, </w:t>
      </w:r>
      <w:r>
        <w:rPr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לטכס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חינוכית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מתבגרים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למאווייהם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הרגעיים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הלקחים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>-</w:t>
      </w:r>
      <w:r>
        <w:rPr>
          <w:rtl w:val="true"/>
        </w:rPr>
        <w:t>לא</w:t>
      </w:r>
      <w:r>
        <w:rPr>
          <w:rtl w:val="true"/>
        </w:rPr>
        <w:t>-</w:t>
      </w:r>
      <w:r>
        <w:rPr>
          <w:rtl w:val="true"/>
        </w:rPr>
        <w:t>יהיה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בצלם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ולהגן</w:t>
      </w:r>
      <w:r>
        <w:rPr>
          <w:rtl w:val="true"/>
        </w:rPr>
        <w:t>" 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Fonts w:cs="Garamond" w:ascii="Garamond" w:hAnsi="Garamond"/>
          <w:sz w:val="24"/>
          <w:rtl w:val="true"/>
        </w:rPr>
        <w:t>(</w:t>
      </w:r>
      <w:r>
        <w:rPr>
          <w:rFonts w:cs="Garamond" w:ascii="Garamond" w:hAnsi="Garamond"/>
          <w:sz w:val="24"/>
        </w:rPr>
        <w:t>2</w:t>
      </w:r>
      <w:r>
        <w:rPr>
          <w:rFonts w:cs="Garamond" w:ascii="Garamond" w:hAnsi="Garamond"/>
          <w:sz w:val="24"/>
          <w:rtl w:val="true"/>
        </w:rPr>
        <w:t xml:space="preserve">) </w:t>
      </w:r>
      <w:r>
        <w:rPr>
          <w:rFonts w:cs="Garamond" w:ascii="Garamond" w:hAnsi="Garamond"/>
          <w:sz w:val="24"/>
        </w:rPr>
        <w:t>408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cs="Garamond" w:ascii="Garamond" w:hAnsi="Garamond"/>
          <w:sz w:val="24"/>
        </w:rPr>
        <w:t>431</w:t>
      </w:r>
      <w:r>
        <w:rPr>
          <w:rFonts w:cs="Garamond" w:ascii="Garamond" w:hAnsi="Garamond"/>
          <w:sz w:val="24"/>
          <w:rtl w:val="true"/>
        </w:rPr>
        <w:t xml:space="preserve"> (</w:t>
      </w:r>
      <w:r>
        <w:rPr>
          <w:rFonts w:cs="Garamond" w:ascii="Garamond" w:hAnsi="Garamond"/>
          <w:sz w:val="24"/>
        </w:rPr>
        <w:t>2000</w:t>
      </w:r>
      <w:r>
        <w:rPr>
          <w:rFonts w:cs="Garamond" w:ascii="Garamond" w:hAnsi="Garamond"/>
          <w:sz w:val="24"/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במעשיהם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חומרת העבירות והפגיעות במתלוננת מחייבים במקרה דנן ענישה מוחשית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הכוללת לכל הפחות את הרשעתם של המערערים בעבירות שביצעו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גם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8164/02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פלוני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נח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577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588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הדברים נכונים ביתר שאת כעת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 התסקירים המשלימים מהם עולה כי הרשעת המערערים לא פגעה בהליך הטיפולי שחוו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דומה כי לא עמדה בדרכם להתגייס לצה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 נעלם מעיניי הקושי הנובע מהרשעת המערערים במעשים שהודו בהם לפני למעלה משנתיים</w:t>
      </w:r>
      <w:r>
        <w:rPr>
          <w:rtl w:val="true"/>
        </w:rPr>
        <w:t xml:space="preserve">: </w:t>
      </w:r>
      <w:r>
        <w:rPr>
          <w:rtl w:val="true"/>
        </w:rPr>
        <w:t>אם היה נגזר דינם של המערערים סמוך למתן הודאתם</w:t>
      </w:r>
      <w:r>
        <w:rPr>
          <w:rtl w:val="true"/>
        </w:rPr>
        <w:t xml:space="preserve">, </w:t>
      </w:r>
      <w:r>
        <w:rPr>
          <w:rtl w:val="true"/>
        </w:rPr>
        <w:t>הרשעותיהם היו מתיישנות תוך פחות משנה</w:t>
      </w:r>
      <w:r>
        <w:rPr>
          <w:rtl w:val="true"/>
        </w:rPr>
        <w:t xml:space="preserve">; </w:t>
      </w:r>
      <w:r>
        <w:rPr>
          <w:rtl w:val="true"/>
        </w:rPr>
        <w:t>ואילו העיכוב במתן גזר הדין</w:t>
      </w:r>
      <w:r>
        <w:rPr>
          <w:rtl w:val="true"/>
        </w:rPr>
        <w:t xml:space="preserve">, </w:t>
      </w:r>
      <w:r>
        <w:rPr>
          <w:rtl w:val="true"/>
        </w:rPr>
        <w:t>שנבע בעיקרו מההליך הטיפולי והשיקומי שעברו</w:t>
      </w:r>
      <w:r>
        <w:rPr>
          <w:rtl w:val="true"/>
        </w:rPr>
        <w:t xml:space="preserve">, </w:t>
      </w:r>
      <w:r>
        <w:rPr>
          <w:rtl w:val="true"/>
        </w:rPr>
        <w:t>הביא לדחיית התיישנות ההרשעות בכמעט שנתיים נוספות באופן שעשוי לעכב אף את מחיקתן מהמרשם הפלילי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שעשויה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התמשכות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הננקטים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המתחוללים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התבגרותו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בעיצובה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ובייצובה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[,]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>" 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2.8.2010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והצודק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ההמלצות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והמקיף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ההתמקדות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בקורבן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לטשטש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מהרשעתם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הערעורים נדחים</w:t>
      </w:r>
      <w:r>
        <w:rPr>
          <w:rtl w:val="true"/>
        </w:rPr>
        <w:t>.</w:t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18.3.2020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19072380</w:t>
      </w:r>
      <w:r>
        <w:rPr>
          <w:sz w:val="16"/>
          <w:rtl w:val="true"/>
        </w:rPr>
        <w:t>_</w:t>
      </w:r>
      <w:r>
        <w:rPr>
          <w:sz w:val="16"/>
        </w:rPr>
        <w:t>J07.docx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54678313-7238/19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7238/19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 w:before="480" w:after="360"/>
      <w:outlineLvl w:val="0"/>
    </w:pPr>
    <w:rPr>
      <w:rFonts w:ascii="Century" w:hAnsi="Century" w:cs="Miriam"/>
      <w:b/>
      <w:sz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entury" w:hAnsi="Century" w:cs="Miriam"/>
      <w:b/>
      <w:sz w:val="22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  <w:spacing w:before="0" w:after="420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45.a" TargetMode="External"/><Relationship Id="rId4" Type="http://schemas.openxmlformats.org/officeDocument/2006/relationships/hyperlink" Target="http://www.nevo.co.il/law/70301/345.a.3" TargetMode="External"/><Relationship Id="rId5" Type="http://schemas.openxmlformats.org/officeDocument/2006/relationships/hyperlink" Target="http://www.nevo.co.il/law/70301/347" TargetMode="External"/><Relationship Id="rId6" Type="http://schemas.openxmlformats.org/officeDocument/2006/relationships/hyperlink" Target="http://www.nevo.co.il/law/70301/348.b" TargetMode="External"/><Relationship Id="rId7" Type="http://schemas.openxmlformats.org/officeDocument/2006/relationships/hyperlink" Target="http://www.nevo.co.il/law/70348" TargetMode="External"/><Relationship Id="rId8" Type="http://schemas.openxmlformats.org/officeDocument/2006/relationships/hyperlink" Target="http://www.nevo.co.il/law/70348/24" TargetMode="External"/><Relationship Id="rId9" Type="http://schemas.openxmlformats.org/officeDocument/2006/relationships/hyperlink" Target="http://www.nevo.co.il/law/70302" TargetMode="External"/><Relationship Id="rId10" Type="http://schemas.openxmlformats.org/officeDocument/2006/relationships/hyperlink" Target="http://www.nevo.co.il/law/70302/14.b.4" TargetMode="External"/><Relationship Id="rId11" Type="http://schemas.openxmlformats.org/officeDocument/2006/relationships/hyperlink" Target="http://www.nevo.co.il/law/70301/347" TargetMode="External"/><Relationship Id="rId12" Type="http://schemas.openxmlformats.org/officeDocument/2006/relationships/hyperlink" Target="http://www.nevo.co.il/law/70301/345.a.3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48.b" TargetMode="External"/><Relationship Id="rId15" Type="http://schemas.openxmlformats.org/officeDocument/2006/relationships/hyperlink" Target="http://www.nevo.co.il/law/70301/345.a.3" TargetMode="External"/><Relationship Id="rId16" Type="http://schemas.openxmlformats.org/officeDocument/2006/relationships/hyperlink" Target="http://www.nevo.co.il/law/70301/245.a" TargetMode="External"/><Relationship Id="rId17" Type="http://schemas.openxmlformats.org/officeDocument/2006/relationships/hyperlink" Target="http://www.nevo.co.il/law/70348" TargetMode="External"/><Relationship Id="rId18" Type="http://schemas.openxmlformats.org/officeDocument/2006/relationships/hyperlink" Target="http://www.nevo.co.il/law/70302/14.b.4" TargetMode="External"/><Relationship Id="rId19" Type="http://schemas.openxmlformats.org/officeDocument/2006/relationships/hyperlink" Target="http://www.nevo.co.il/law/70302" TargetMode="External"/><Relationship Id="rId20" Type="http://schemas.openxmlformats.org/officeDocument/2006/relationships/hyperlink" Target="http://www.nevo.co.il/case/21478340" TargetMode="External"/><Relationship Id="rId21" Type="http://schemas.openxmlformats.org/officeDocument/2006/relationships/hyperlink" Target="http://www.nevo.co.il/law/70348/24" TargetMode="External"/><Relationship Id="rId22" Type="http://schemas.openxmlformats.org/officeDocument/2006/relationships/hyperlink" Target="http://www.nevo.co.il/case/25796850" TargetMode="External"/><Relationship Id="rId23" Type="http://schemas.openxmlformats.org/officeDocument/2006/relationships/hyperlink" Target="http://www.nevo.co.il/case/17908563" TargetMode="External"/><Relationship Id="rId24" Type="http://schemas.openxmlformats.org/officeDocument/2006/relationships/hyperlink" Target="http://www.nevo.co.il/case/5678502" TargetMode="External"/><Relationship Id="rId25" Type="http://schemas.openxmlformats.org/officeDocument/2006/relationships/hyperlink" Target="http://www.nevo.co.il/case/6239005" TargetMode="External"/><Relationship Id="rId26" Type="http://schemas.openxmlformats.org/officeDocument/2006/relationships/hyperlink" Target="http://www.nevo.co.il/case/6249370" TargetMode="External"/><Relationship Id="rId27" Type="http://schemas.openxmlformats.org/officeDocument/2006/relationships/hyperlink" Target="http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2020-03-19T08:32:00Z</dcterms:created>
  <dc:creator>h4</dc:creator>
  <dc:description/>
  <cp:keywords/>
  <dc:language>en-IL</dc:language>
  <cp:lastModifiedBy>orly</cp:lastModifiedBy>
  <cp:lastPrinted>2020-03-18T08:06:00Z</cp:lastPrinted>
  <dcterms:modified xsi:type="dcterms:W3CDTF">2020-03-19T08:32:00Z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פלוני;פלוני;פלוני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21478340;25796850;17908563;5678502;6239005;6249370</vt:lpwstr>
  </property>
  <property fmtid="{D5CDD505-2E9C-101B-9397-08002B2CF9AE}" pid="9" name="CITY">
    <vt:lpwstr/>
  </property>
  <property fmtid="{D5CDD505-2E9C-101B-9397-08002B2CF9AE}" pid="10" name="DATE">
    <vt:lpwstr>20200318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אלרון;א' שטיין</vt:lpwstr>
  </property>
  <property fmtid="{D5CDD505-2E9C-101B-9397-08002B2CF9AE}" pid="14" name="LAWLISTTMP1">
    <vt:lpwstr>70301/347;345.a.3:2;348.b;245.a</vt:lpwstr>
  </property>
  <property fmtid="{D5CDD505-2E9C-101B-9397-08002B2CF9AE}" pid="15" name="LAWLISTTMP2">
    <vt:lpwstr>70348/024</vt:lpwstr>
  </property>
  <property fmtid="{D5CDD505-2E9C-101B-9397-08002B2CF9AE}" pid="16" name="LAWLISTTMP3">
    <vt:lpwstr>70302/014.b.4</vt:lpwstr>
  </property>
  <property fmtid="{D5CDD505-2E9C-101B-9397-08002B2CF9AE}" pid="17" name="LAWYER">
    <vt:lpwstr>חיים שוייצר;ליאור חיימוביץ';אמיר ברק;נועם בונדר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נוער</vt:lpwstr>
  </property>
  <property fmtid="{D5CDD505-2E9C-101B-9397-08002B2CF9AE}" pid="29" name="NOSE110">
    <vt:lpwstr/>
  </property>
  <property fmtid="{D5CDD505-2E9C-101B-9397-08002B2CF9AE}" pid="30" name="NOSE12">
    <vt:lpwstr>נוער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>עונשין</vt:lpwstr>
  </property>
  <property fmtid="{D5CDD505-2E9C-101B-9397-08002B2CF9AE}" pid="35" name="NOSE17">
    <vt:lpwstr>עונשין</vt:lpwstr>
  </property>
  <property fmtid="{D5CDD505-2E9C-101B-9397-08002B2CF9AE}" pid="36" name="NOSE18">
    <vt:lpwstr>עונשין</vt:lpwstr>
  </property>
  <property fmtid="{D5CDD505-2E9C-101B-9397-08002B2CF9AE}" pid="37" name="NOSE19">
    <vt:lpwstr/>
  </property>
  <property fmtid="{D5CDD505-2E9C-101B-9397-08002B2CF9AE}" pid="38" name="NOSE1ID">
    <vt:lpwstr>65;65;77;77;77;77;77;77</vt:lpwstr>
  </property>
  <property fmtid="{D5CDD505-2E9C-101B-9397-08002B2CF9AE}" pid="39" name="NOSE21">
    <vt:lpwstr>שפיטה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>ענישה</vt:lpwstr>
  </property>
  <property fmtid="{D5CDD505-2E9C-101B-9397-08002B2CF9AE}" pid="46" name="NOSE27">
    <vt:lpwstr>ענישה</vt:lpwstr>
  </property>
  <property fmtid="{D5CDD505-2E9C-101B-9397-08002B2CF9AE}" pid="47" name="NOSE28">
    <vt:lpwstr>ענישה</vt:lpwstr>
  </property>
  <property fmtid="{D5CDD505-2E9C-101B-9397-08002B2CF9AE}" pid="48" name="NOSE29">
    <vt:lpwstr/>
  </property>
  <property fmtid="{D5CDD505-2E9C-101B-9397-08002B2CF9AE}" pid="49" name="NOSE2ID">
    <vt:lpwstr>1298;1296;1446;1446;1446;1446;1446;1446</vt:lpwstr>
  </property>
  <property fmtid="{D5CDD505-2E9C-101B-9397-08002B2CF9AE}" pid="50" name="NOSE31">
    <vt:lpwstr>הרשעה</vt:lpwstr>
  </property>
  <property fmtid="{D5CDD505-2E9C-101B-9397-08002B2CF9AE}" pid="51" name="NOSE310">
    <vt:lpwstr/>
  </property>
  <property fmtid="{D5CDD505-2E9C-101B-9397-08002B2CF9AE}" pid="52" name="NOSE32">
    <vt:lpwstr>הרשעה</vt:lpwstr>
  </property>
  <property fmtid="{D5CDD505-2E9C-101B-9397-08002B2CF9AE}" pid="53" name="NOSE33">
    <vt:lpwstr>קטינים</vt:lpwstr>
  </property>
  <property fmtid="{D5CDD505-2E9C-101B-9397-08002B2CF9AE}" pid="54" name="NOSE34">
    <vt:lpwstr>תסקיר שירות מבחן</vt:lpwstr>
  </property>
  <property fmtid="{D5CDD505-2E9C-101B-9397-08002B2CF9AE}" pid="55" name="NOSE35">
    <vt:lpwstr>מדיניות ענישה: נוער</vt:lpwstr>
  </property>
  <property fmtid="{D5CDD505-2E9C-101B-9397-08002B2CF9AE}" pid="56" name="NOSE36">
    <vt:lpwstr>מדיניות ענישה: עבירות מין</vt:lpwstr>
  </property>
  <property fmtid="{D5CDD505-2E9C-101B-9397-08002B2CF9AE}" pid="57" name="NOSE37">
    <vt:lpwstr>מדיניות ענישה: שיקום</vt:lpwstr>
  </property>
  <property fmtid="{D5CDD505-2E9C-101B-9397-08002B2CF9AE}" pid="58" name="NOSE38">
    <vt:lpwstr>התערבות ערכאת הערעור</vt:lpwstr>
  </property>
  <property fmtid="{D5CDD505-2E9C-101B-9397-08002B2CF9AE}" pid="59" name="NOSE39">
    <vt:lpwstr/>
  </property>
  <property fmtid="{D5CDD505-2E9C-101B-9397-08002B2CF9AE}" pid="60" name="NOSE3ID">
    <vt:lpwstr>7913;7904;14248;13182;8983;8988;14346;8978</vt:lpwstr>
  </property>
  <property fmtid="{D5CDD505-2E9C-101B-9397-08002B2CF9AE}" pid="61" name="PADIDATE">
    <vt:lpwstr>20200319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עפ;עפ;עפ</vt:lpwstr>
  </property>
  <property fmtid="{D5CDD505-2E9C-101B-9397-08002B2CF9AE}" pid="66" name="PROCNUM">
    <vt:lpwstr>7238;7249;7326</vt:lpwstr>
  </property>
  <property fmtid="{D5CDD505-2E9C-101B-9397-08002B2CF9AE}" pid="67" name="PROCYEAR">
    <vt:lpwstr>19;19;19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410120200318</vt:lpwstr>
  </property>
  <property fmtid="{D5CDD505-2E9C-101B-9397-08002B2CF9AE}" pid="71" name="TYPE_N_DATE">
    <vt:lpwstr>41020200318</vt:lpwstr>
  </property>
  <property fmtid="{D5CDD505-2E9C-101B-9397-08002B2CF9AE}" pid="72" name="VOLUME">
    <vt:lpwstr/>
  </property>
  <property fmtid="{D5CDD505-2E9C-101B-9397-08002B2CF9AE}" pid="73" name="WORDNUMPAGES">
    <vt:lpwstr>14</vt:lpwstr>
  </property>
</Properties>
</file>