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7269/21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164/22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1162/22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המערערת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7269/21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164/22</w:t>
            </w:r>
            <w:r>
              <w:rPr>
                <w:rFonts w:cs="David" w:ascii="David" w:hAnsi="David"/>
                <w:rtl w:val="true"/>
              </w:rPr>
              <w:t xml:space="preserve">, </w:t>
            </w:r>
            <w:r>
              <w:rPr>
                <w:rFonts w:ascii="David" w:hAnsi="David"/>
                <w:rtl w:val="true"/>
              </w:rPr>
              <w:t>והמשיבה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1162/22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BodyRuller1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31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1"/>
        <w:gridCol w:w="5101"/>
      </w:tblGrid>
      <w:tr>
        <w:trPr/>
        <w:tc>
          <w:tcPr>
            <w:tcW w:w="3211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7269/21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01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מאהר גבריל</w:t>
            </w:r>
          </w:p>
        </w:tc>
      </w:tr>
    </w:tbl>
    <w:p>
      <w:pPr>
        <w:pStyle w:val="BodyRuller1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31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1"/>
        <w:gridCol w:w="5101"/>
      </w:tblGrid>
      <w:tr>
        <w:trPr/>
        <w:tc>
          <w:tcPr>
            <w:tcW w:w="3211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164/22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והמערער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1162/22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0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נאדר טרוה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נצרת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  <w:rtl w:val="true"/>
              </w:rPr>
              <w:t xml:space="preserve">. </w:t>
            </w:r>
            <w:r>
              <w:rPr>
                <w:sz w:val="24"/>
                <w:szCs w:val="24"/>
              </w:rPr>
              <w:t>9.2021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ת</w:t>
              </w:r>
              <w:r>
                <w:rPr>
                  <w:rStyle w:val="Hyperlink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sz w:val="24"/>
                  <w:sz w:val="24"/>
                  <w:szCs w:val="24"/>
                  <w:rtl w:val="true"/>
                </w:rPr>
                <w:t xml:space="preserve"> </w:t>
              </w:r>
              <w:r>
                <w:rPr>
                  <w:rStyle w:val="Hyperlink"/>
                  <w:sz w:val="24"/>
                  <w:szCs w:val="24"/>
                </w:rPr>
                <w:t>68832-11-20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צפריר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16.12.2021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3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68764-11-20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אזולאי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285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86"/>
        <w:gridCol w:w="5099"/>
      </w:tblGrid>
      <w:tr>
        <w:trPr/>
        <w:tc>
          <w:tcPr>
            <w:tcW w:w="3186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/>
                <w:sz w:val="24"/>
                <w:sz w:val="24"/>
                <w:szCs w:val="24"/>
                <w:rtl w:val="true"/>
              </w:rPr>
              <w:t>תאריך הישיבה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5099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>"</w:t>
            </w:r>
            <w:r>
              <w:rPr>
                <w:rFonts w:ascii="David" w:hAnsi="David"/>
                <w:sz w:val="24"/>
                <w:sz w:val="24"/>
                <w:szCs w:val="24"/>
                <w:rtl w:val="true"/>
              </w:rPr>
              <w:t>ח באדר ב התשפ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>"</w:t>
            </w:r>
            <w:r>
              <w:rPr>
                <w:rFonts w:ascii="David" w:hAnsi="David"/>
                <w:sz w:val="24"/>
                <w:sz w:val="24"/>
                <w:szCs w:val="24"/>
                <w:rtl w:val="true"/>
              </w:rPr>
              <w:t xml:space="preserve">ב 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>(</w:t>
            </w:r>
            <w:r>
              <w:rPr>
                <w:rFonts w:cs="David" w:ascii="David" w:hAnsi="David"/>
                <w:sz w:val="24"/>
                <w:szCs w:val="24"/>
              </w:rPr>
              <w:t>21.</w:t>
            </w:r>
            <w:r>
              <w:rPr>
                <w:rFonts w:cs="David" w:ascii="David" w:hAnsi="David"/>
                <w:sz w:val="24"/>
                <w:szCs w:val="24"/>
              </w:rPr>
              <w:t>3</w:t>
            </w:r>
            <w:r>
              <w:rPr>
                <w:rFonts w:cs="David" w:ascii="David" w:hAnsi="David"/>
                <w:sz w:val="24"/>
                <w:szCs w:val="24"/>
              </w:rPr>
              <w:t>.</w:t>
            </w:r>
            <w:r>
              <w:rPr>
                <w:rFonts w:cs="David" w:ascii="David" w:hAnsi="David"/>
                <w:sz w:val="24"/>
                <w:szCs w:val="24"/>
              </w:rPr>
              <w:t>2022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285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86"/>
        <w:gridCol w:w="5099"/>
      </w:tblGrid>
      <w:tr>
        <w:trPr/>
        <w:tc>
          <w:tcPr>
            <w:tcW w:w="3186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4" w:name="lawyers_a_title"/>
            <w:bookmarkEnd w:id="4"/>
            <w:r>
              <w:rPr>
                <w:rFonts w:ascii="David" w:hAnsi="David"/>
                <w:rtl w:val="true"/>
              </w:rPr>
              <w:t>בשם המערערת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7269/21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164/22</w:t>
            </w:r>
            <w:r>
              <w:rPr>
                <w:rFonts w:cs="David" w:ascii="David" w:hAnsi="David"/>
                <w:rtl w:val="true"/>
              </w:rPr>
              <w:t xml:space="preserve">, </w:t>
            </w:r>
            <w:r>
              <w:rPr>
                <w:rFonts w:ascii="David" w:hAnsi="David"/>
                <w:rtl w:val="true"/>
              </w:rPr>
              <w:t>והמשיבה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1162/22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09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עו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ד אופיר טישלר</w:t>
            </w:r>
          </w:p>
        </w:tc>
      </w:tr>
    </w:tbl>
    <w:p>
      <w:pPr>
        <w:pStyle w:val="BodyRuller1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285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86"/>
        <w:gridCol w:w="5099"/>
      </w:tblGrid>
      <w:tr>
        <w:trPr/>
        <w:tc>
          <w:tcPr>
            <w:tcW w:w="3186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5" w:name="FirstLawyer"/>
            <w:bookmarkStart w:id="6" w:name="lawyers_b_title"/>
            <w:bookmarkEnd w:id="5"/>
            <w:bookmarkEnd w:id="6"/>
            <w:r>
              <w:rPr>
                <w:rFonts w:ascii="David" w:hAnsi="David"/>
                <w:rtl w:val="true"/>
              </w:rPr>
              <w:t>בשם המשיב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7269/21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099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עו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ד פאריס בריק </w:t>
            </w:r>
            <w:r>
              <w:rPr>
                <w:rFonts w:cs="David" w:ascii="David" w:hAnsi="David"/>
                <w:rtl w:val="true"/>
              </w:rPr>
              <w:tab/>
            </w:r>
          </w:p>
        </w:tc>
      </w:tr>
    </w:tbl>
    <w:p>
      <w:pPr>
        <w:pStyle w:val="BodyRuller1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285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86"/>
        <w:gridCol w:w="5099"/>
      </w:tblGrid>
      <w:tr>
        <w:trPr/>
        <w:tc>
          <w:tcPr>
            <w:tcW w:w="3186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בשם המשיב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164/22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והמערער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1162/22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09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עו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ד ספדי סעאדה</w:t>
            </w:r>
            <w:r>
              <w:rPr>
                <w:rFonts w:cs="David" w:ascii="David" w:hAnsi="David"/>
                <w:rtl w:val="true"/>
              </w:rPr>
              <w:t xml:space="preserve">, </w:t>
            </w:r>
            <w:r>
              <w:rPr>
                <w:rFonts w:ascii="David" w:hAnsi="David"/>
                <w:rtl w:val="true"/>
              </w:rPr>
              <w:t>עו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ד זיאד אבו סאלח </w:t>
            </w:r>
            <w:r>
              <w:rPr>
                <w:rFonts w:cs="David" w:ascii="David" w:hAnsi="David"/>
                <w:rtl w:val="true"/>
              </w:rPr>
              <w:tab/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7" w:name="LawTable"/>
      <w:bookmarkEnd w:id="7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402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499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7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תשי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1952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12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8" w:name="LawTable_End"/>
      <w:bookmarkStart w:id="9" w:name="LawTable_End"/>
      <w:bookmarkEnd w:id="9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10" w:name="ABSTRACT_START"/>
      <w:bookmarkEnd w:id="10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החמיר בעונשם של המשיבים אשר הורשעו בביצוע שוד אלים ומתכונן בביתו של קשיש כבן </w:t>
      </w:r>
      <w:r>
        <w:rPr>
          <w:rFonts w:cs="Times New Roman" w:ascii="Times New Roman" w:hAnsi="Times New Roman"/>
          <w:spacing w:val="0"/>
          <w:sz w:val="24"/>
          <w:szCs w:val="26"/>
        </w:rPr>
        <w:t>73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תוך אימוץ מדרג הענישה ביניהם כך שעונשי המאסר בפועל הועמדו על </w:t>
      </w:r>
      <w:r>
        <w:rPr>
          <w:rFonts w:cs="Times New Roman" w:ascii="Times New Roman" w:hAnsi="Times New Roman"/>
          <w:spacing w:val="0"/>
          <w:sz w:val="24"/>
          <w:szCs w:val="26"/>
        </w:rPr>
        <w:t>40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חודשים ביחס למשיב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ועל </w:t>
      </w:r>
      <w:r>
        <w:rPr>
          <w:rFonts w:cs="Times New Roman" w:ascii="Times New Roman" w:hAnsi="Times New Roman"/>
          <w:spacing w:val="0"/>
          <w:sz w:val="24"/>
          <w:szCs w:val="26"/>
        </w:rPr>
        <w:t>60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חודשים ביחס למשיב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נגד קשישים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אחדות הענישה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שוד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ערעור – התערבות במידת העונש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ערכאת 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 לחומרה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מאהר גבריל ונאדר טרוה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 בהתאמה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משיב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משיב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וביחד המשיבים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הודו והורשעו בעבירה של שוד בנסיבות מחמירות בעבירה של קשירת קשר לביצוע פשע ובעבירה של כניסה או ישיבה בישראל שלא כחוק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מדובר בשוד אלים ומתכונן בביתו של קשיש כבן </w:t>
      </w:r>
      <w:r>
        <w:rPr>
          <w:rFonts w:cs="Times New Roman" w:ascii="Times New Roman" w:hAnsi="Times New Roman"/>
          <w:spacing w:val="0"/>
          <w:sz w:val="24"/>
          <w:szCs w:val="26"/>
        </w:rPr>
        <w:t>73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החי בגפו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על רקע היכרות מוקדמת של המשיב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 המתלונן וסברה כי הוא בעל ממון רב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 המשיבים הורשעו במסגרת הסדר טיעון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משיב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הודה והורשע בסמוך להקראת כתב האישום בעניינו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ואילו משיב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הודה והורשע לאחר ניהול הליך הוכחות בעניינו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על המשיב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נמצא כי יש לו פיגור שכלי סביבתי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אך הוא אחראי למעשיו וכשיר לעמוד לדין – הוטלו </w:t>
      </w:r>
      <w:r>
        <w:rPr>
          <w:rFonts w:cs="Times New Roman" w:ascii="Times New Roman" w:hAnsi="Times New Roman"/>
          <w:spacing w:val="0"/>
          <w:sz w:val="24"/>
          <w:szCs w:val="26"/>
        </w:rPr>
        <w:t>27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 לצד ענישה נלווית ואילו על המשיב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הוטלו </w:t>
      </w:r>
      <w:r>
        <w:rPr>
          <w:rFonts w:cs="Times New Roman" w:ascii="Times New Roman" w:hAnsi="Times New Roman"/>
          <w:spacing w:val="0"/>
          <w:sz w:val="24"/>
          <w:szCs w:val="26"/>
        </w:rPr>
        <w:t>42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 לצד ענישה נלווית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המדינה מערערת על קולת העונשים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ומשיב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חומרתו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מינץ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בהסכמת השופטים נ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סולברג 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וילנר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קיבל את ערעורי המדינה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ודחה את ערעור המשיב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ראשית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דוחה את טענת משיב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בדבר הפרת עקרון אחידות הענישה בגזר דינו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בהינתן שמשיב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הגה ויזם את אירוע השוד על רקע היכרותו המוקדמת עם המתלונן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והוא זה שפנה למשיב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לצורך ביצועו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ולכך שמשיב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הודה במעשיו בטרם שמיעת הוכחות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ובכך חסך זמן שיפוטי לעומת משיב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נמצא כי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המחוזי שגה משמצא להחמיר עם עונשו של משיב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ביחס לעונשו של משיב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עוגן נוסף להבחנה בין השניים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נעוץ במצבו הקוגניטיבי והנפשי של משיב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נלקח גם כן בחשבון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כן נדחתה טענת משיב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לפיה מיוחסת לו מידה פחותה של אלימות מזו המיוחסת למשיב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מנגד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נמצא כי יש ממש בטענות המדינה בערעוריה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ככלל ערכאת הערעור לא תתערב בעונש שהטילה הערכאה הדיונית אלא במקרים חריגים בהם נפלה טעות מהותית או כאשר ניכרת סטייה ברורה ממדיניות הענישה הנוהגת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זה הקל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עם המשיבים יתר על המידה באופן המצדיק את התערבות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זה עמד לא אחת על חומרתן של עבירות שוד שקורבנותיהן קשישים ועל הצורך בענישה ממשית ומרתיעה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הכוללת רכיב משמעותי של מאסר מאחורי סורג ובריח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עוד צוין כי במקרים מעין אלו על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ליתן משקל יתר לעקרונות הגמול וההרתעה על פני שיקולי הענישה האחרים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ניכר כי העונש שהוטל על כל אחד מהמשיבים סוטה באופן משמעותי ממדיניות הענישה הנוהגת במקרים דומים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ענייננו במעשים הנמצאים ברף הגבוה של עבירת השוד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הענישה במקרים כאלו צריכה לשקף את ההגנה המתבקשת על כבודם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גופם וקניינם של קשישים אשר מהווים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טרף קל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למעשי בריונות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בנסיבותיהם המקלות של מי מהמשיבים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 משיב ונסיבותיו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 לבכר את אלו על פני חומרת המעשים והנזקים שגרמו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תסקירי שירות המבחן שהוגשו לביהמ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מלמדים על הצורך בהרתעת המשיבים מפני הישנות ביצוע 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כן יש להחמיר בעונשם של שני המשיבים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לא נמצא לקבל את ערעור המדינה באשר לרכיב הפיצוי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פיצוי למתלונן בסך </w:t>
      </w:r>
      <w:r>
        <w:rPr>
          <w:rFonts w:cs="Times New Roman" w:ascii="Times New Roman" w:hAnsi="Times New Roman"/>
          <w:spacing w:val="0"/>
          <w:sz w:val="24"/>
          <w:szCs w:val="26"/>
        </w:rPr>
        <w:t>3,000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 שהוטל על כל אחד מהמשיבים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הגם כי מדובר בפיצוי בשיעור נמוך יחסית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משאין מדובר בסטייה קיצונית משיעור הפיצוי הראוי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 האמור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ובהתחשב בעקרון שלפיו ערכאת הערעור אינה ממצה את מלוא חומרת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מחמיר בעונשיהם של שני המשיבים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תוך אימוץ מדרג הענישה ביניהם כך עונשי המאסר בפועל הועמדו על </w:t>
      </w:r>
      <w:r>
        <w:rPr>
          <w:rFonts w:cs="Times New Roman" w:ascii="Times New Roman" w:hAnsi="Times New Roman"/>
          <w:spacing w:val="0"/>
          <w:sz w:val="24"/>
          <w:szCs w:val="26"/>
        </w:rPr>
        <w:t>40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חודשים ביחס למשיב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ועל </w:t>
      </w:r>
      <w:r>
        <w:rPr>
          <w:rFonts w:cs="Times New Roman" w:ascii="Times New Roman" w:hAnsi="Times New Roman"/>
          <w:spacing w:val="0"/>
          <w:sz w:val="24"/>
          <w:szCs w:val="26"/>
        </w:rPr>
        <w:t>60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חודשים ביחס למשיב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יתר רכיבי גזר הדין יעמדו בעינם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11" w:name="ABSTRACT_END"/>
      <w:bookmarkStart w:id="12" w:name="ABSTRACT_END"/>
      <w:bookmarkEnd w:id="12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3" w:name="PsakDin"/>
            <w:bookmarkStart w:id="14" w:name="BeginProtocol"/>
            <w:bookmarkStart w:id="15" w:name="secretary"/>
            <w:bookmarkEnd w:id="13"/>
            <w:bookmarkEnd w:id="14"/>
            <w:bookmarkEnd w:id="15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6" w:name="Writer_Name"/>
      <w:bookmarkEnd w:id="16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7" w:name="Start_Write"/>
      <w:bookmarkStart w:id="18" w:name="Start_Write"/>
      <w:bookmarkEnd w:id="18"/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ערעורים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בנצרת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צפריר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9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68832-11-20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13.9.2021</w:t>
      </w:r>
      <w:r>
        <w:rPr>
          <w:rtl w:val="true"/>
        </w:rPr>
        <w:t xml:space="preserve">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גבריל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tl w:val="true"/>
        </w:rPr>
        <w:t xml:space="preserve">)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נלווית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7269/21</w:t>
      </w:r>
      <w:r>
        <w:rPr>
          <w:rtl w:val="true"/>
        </w:rPr>
        <w:t xml:space="preserve">), </w:t>
      </w:r>
      <w:r>
        <w:rPr>
          <w:rtl w:val="true"/>
        </w:rPr>
        <w:t>ושני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בנצרת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אזולאי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68764-11-20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16.12.2021</w:t>
      </w:r>
      <w:r>
        <w:rPr>
          <w:rtl w:val="true"/>
        </w:rPr>
        <w:t xml:space="preserve">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</w:t>
      </w:r>
      <w:r>
        <w:rPr>
          <w:rtl w:val="true"/>
        </w:rPr>
        <w:t xml:space="preserve">)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164/22</w:t>
      </w:r>
      <w:r>
        <w:rPr>
          <w:rtl w:val="true"/>
        </w:rPr>
        <w:t xml:space="preserve">), </w:t>
      </w:r>
      <w:r>
        <w:rPr>
          <w:rtl w:val="true"/>
        </w:rPr>
        <w:t>ומשיב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1162/22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לערעורים</w:t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ומשיב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יכונו יחדיו 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המשיבים</w:t>
      </w:r>
      <w:r>
        <w:rPr>
          <w:rtl w:val="true"/>
        </w:rPr>
        <w:t xml:space="preserve">) </w:t>
      </w:r>
      <w:r>
        <w:rPr>
          <w:rtl w:val="true"/>
        </w:rPr>
        <w:t xml:space="preserve">הודו והורשעו בעבירה של שוד בנסיבות מחמירות לפי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 xml:space="preserve">בעבירה של קשירת קשר לביצוע פשע לפי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; </w:t>
      </w:r>
      <w:r>
        <w:rPr>
          <w:rtl w:val="true"/>
        </w:rPr>
        <w:t xml:space="preserve">ובעבירה של כניסה או ישיבה בישראל שלא כחוק לפי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tl w:val="true"/>
        </w:rPr>
        <w:t xml:space="preserve">, </w:t>
      </w:r>
      <w:r>
        <w:rPr>
          <w:rtl w:val="true"/>
        </w:rPr>
        <w:t>התשי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1952</w:t>
      </w:r>
      <w:r>
        <w:rPr>
          <w:rtl w:val="true"/>
        </w:rPr>
        <w:t xml:space="preserve">. </w:t>
      </w:r>
      <w:r>
        <w:rPr>
          <w:rtl w:val="true"/>
        </w:rPr>
        <w:t>שני המשיבים הורשעו במסגרת הסדר טיעון</w:t>
      </w:r>
      <w:r>
        <w:rPr>
          <w:rtl w:val="true"/>
        </w:rPr>
        <w:t xml:space="preserve">. </w:t>
      </w:r>
      <w:r>
        <w:rPr>
          <w:rtl w:val="true"/>
        </w:rPr>
        <w:t xml:space="preserve">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הודה והורשע בסמוך להקראת כתב האישום בעניינו</w:t>
      </w:r>
      <w:r>
        <w:rPr>
          <w:rtl w:val="true"/>
        </w:rPr>
        <w:t xml:space="preserve">, </w:t>
      </w:r>
      <w:r>
        <w:rPr>
          <w:rtl w:val="true"/>
        </w:rPr>
        <w:t xml:space="preserve">ואילו 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הודה והורשע לאחר ניהול הליך הוכחות בעניינו</w:t>
      </w:r>
      <w:r>
        <w:rPr>
          <w:rtl w:val="true"/>
        </w:rPr>
        <w:t xml:space="preserve">. </w:t>
      </w:r>
      <w:r>
        <w:rPr>
          <w:rtl w:val="true"/>
        </w:rPr>
        <w:t>על פי המתואר בכתבי האישום</w:t>
      </w:r>
      <w:r>
        <w:rPr>
          <w:rtl w:val="true"/>
        </w:rPr>
        <w:t xml:space="preserve">, </w:t>
      </w:r>
      <w:r>
        <w:rPr>
          <w:rtl w:val="true"/>
        </w:rPr>
        <w:t xml:space="preserve">קשר 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קשר עם 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ותכנן עמו לבצע שוד בביתו של קשיש כבן </w:t>
      </w:r>
      <w:r>
        <w:rPr/>
        <w:t>73</w:t>
      </w:r>
      <w:r>
        <w:rPr>
          <w:rtl w:val="true"/>
        </w:rPr>
        <w:t xml:space="preserve"> </w:t>
      </w:r>
      <w:r>
        <w:rPr>
          <w:rtl w:val="true"/>
        </w:rPr>
        <w:t xml:space="preserve">החי בגפו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המתלונן</w:t>
      </w:r>
      <w:r>
        <w:rPr>
          <w:rtl w:val="true"/>
        </w:rPr>
        <w:t xml:space="preserve">), </w:t>
      </w:r>
      <w:r>
        <w:rPr>
          <w:rtl w:val="true"/>
        </w:rPr>
        <w:t>זאת על רקע היכרות מוקדמת שלו עם המתלונן וסברה כי הוא בעל ממון רב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9.11.2020</w:t>
      </w:r>
      <w:r>
        <w:rPr>
          <w:rtl w:val="true"/>
        </w:rPr>
        <w:t xml:space="preserve"> </w:t>
      </w:r>
      <w:r>
        <w:rPr>
          <w:rtl w:val="true"/>
        </w:rPr>
        <w:t xml:space="preserve">בשעת ערב התקשר 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למתלונן באמתלה כי ברצונו לבוא עם אשתו להתרשם מהצימר שבבעלות המתלונן</w:t>
      </w:r>
      <w:r>
        <w:rPr>
          <w:rtl w:val="true"/>
        </w:rPr>
        <w:t xml:space="preserve">. </w:t>
      </w:r>
      <w:r>
        <w:rPr>
          <w:rtl w:val="true"/>
        </w:rPr>
        <w:t>המתלונן נענה לבקשתו והסביר לו כיצד להגיע לביתו</w:t>
      </w:r>
      <w:r>
        <w:rPr>
          <w:rtl w:val="true"/>
        </w:rPr>
        <w:t xml:space="preserve">. </w:t>
      </w:r>
      <w:r>
        <w:rPr>
          <w:rtl w:val="true"/>
        </w:rPr>
        <w:t>המשיבים הגיעו לביתו של המתלונן ודפקו על דלתו</w:t>
      </w:r>
      <w:r>
        <w:rPr>
          <w:rtl w:val="true"/>
        </w:rPr>
        <w:t xml:space="preserve">. </w:t>
      </w:r>
      <w:r>
        <w:rPr>
          <w:rtl w:val="true"/>
        </w:rPr>
        <w:t>כאשר פתח המתלונן את דלת הבית</w:t>
      </w:r>
      <w:r>
        <w:rPr>
          <w:rtl w:val="true"/>
        </w:rPr>
        <w:t xml:space="preserve">, </w:t>
      </w:r>
      <w:r>
        <w:rPr>
          <w:rtl w:val="true"/>
        </w:rPr>
        <w:t>הוא הופל לרצפה</w:t>
      </w:r>
      <w:r>
        <w:rPr>
          <w:rtl w:val="true"/>
        </w:rPr>
        <w:t xml:space="preserve">, </w:t>
      </w:r>
      <w:r>
        <w:rPr>
          <w:rtl w:val="true"/>
        </w:rPr>
        <w:t>המשיבים קשרו את גופו ואת ידיו באמצעות ניילון</w:t>
      </w:r>
      <w:r>
        <w:rPr>
          <w:rtl w:val="true"/>
        </w:rPr>
        <w:t xml:space="preserve">, </w:t>
      </w:r>
      <w:r>
        <w:rPr>
          <w:rtl w:val="true"/>
        </w:rPr>
        <w:t>דבק וחבלים בהם הצטיידו מראש</w:t>
      </w:r>
      <w:r>
        <w:rPr>
          <w:rtl w:val="true"/>
        </w:rPr>
        <w:t xml:space="preserve">, </w:t>
      </w:r>
      <w:r>
        <w:rPr>
          <w:rtl w:val="true"/>
        </w:rPr>
        <w:t>והכו אותו</w:t>
      </w:r>
      <w:r>
        <w:rPr>
          <w:rtl w:val="true"/>
        </w:rPr>
        <w:t xml:space="preserve">. </w:t>
      </w:r>
      <w:r>
        <w:rPr>
          <w:rtl w:val="true"/>
        </w:rPr>
        <w:t xml:space="preserve">המתלונן ניסה להתנגד ולזעוק לעזרה ובזמן שמשיב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ניסה להשתיקו וכיסה את פניו במגבת</w:t>
      </w:r>
      <w:r>
        <w:rPr>
          <w:rtl w:val="true"/>
        </w:rPr>
        <w:t xml:space="preserve">, </w:t>
      </w:r>
      <w:r>
        <w:rPr>
          <w:rtl w:val="true"/>
        </w:rPr>
        <w:t xml:space="preserve">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חיפש כסף בחדרי ביתו</w:t>
      </w:r>
      <w:r>
        <w:rPr>
          <w:rtl w:val="true"/>
        </w:rPr>
        <w:t xml:space="preserve">. </w:t>
      </w:r>
      <w:r>
        <w:rPr>
          <w:rtl w:val="true"/>
        </w:rPr>
        <w:t>משלא נמצא דבר</w:t>
      </w:r>
      <w:r>
        <w:rPr>
          <w:rtl w:val="true"/>
        </w:rPr>
        <w:t xml:space="preserve">, </w:t>
      </w:r>
      <w:r>
        <w:rPr>
          <w:rtl w:val="true"/>
        </w:rPr>
        <w:t>נטלו המשיבים את מכשיר הטלפון של המתלונן וברחו מהמקום תוך שהם מותירים אותו קשור וחבול כשדם ניגר מעל אוזנו</w:t>
      </w:r>
      <w:r>
        <w:rPr>
          <w:rtl w:val="true"/>
        </w:rPr>
        <w:t xml:space="preserve">. </w:t>
      </w:r>
      <w:r>
        <w:rPr>
          <w:rtl w:val="true"/>
        </w:rPr>
        <w:t>רק כעבור כחצי שעה הצליח המתלונן להתיר את קשריו ולהזעיק עזרה</w:t>
      </w:r>
      <w:r>
        <w:rPr>
          <w:rtl w:val="true"/>
        </w:rPr>
        <w:t xml:space="preserve">, </w:t>
      </w:r>
      <w:r>
        <w:rPr>
          <w:rtl w:val="true"/>
        </w:rPr>
        <w:t>והוא פונה לקבלת טיפול רפואי</w:t>
      </w:r>
      <w:r>
        <w:rPr>
          <w:rtl w:val="true"/>
        </w:rPr>
        <w:t xml:space="preserve">. </w:t>
      </w:r>
      <w:r>
        <w:rPr>
          <w:rtl w:val="true"/>
        </w:rPr>
        <w:t>כתוצאה מהאמור</w:t>
      </w:r>
      <w:r>
        <w:rPr>
          <w:rtl w:val="true"/>
        </w:rPr>
        <w:t xml:space="preserve">, </w:t>
      </w:r>
      <w:r>
        <w:rPr>
          <w:rtl w:val="true"/>
        </w:rPr>
        <w:t>נגרמה למתלונן חבלת ראש</w:t>
      </w:r>
      <w:r>
        <w:rPr>
          <w:rtl w:val="true"/>
        </w:rPr>
        <w:t xml:space="preserve">, </w:t>
      </w:r>
      <w:r>
        <w:rPr>
          <w:rtl w:val="true"/>
        </w:rPr>
        <w:t>הוא סבל מסחרחורת וכאבים בידו ומנפיחות מעל אוזן שמאל</w:t>
      </w:r>
      <w:r>
        <w:rPr>
          <w:rtl w:val="true"/>
        </w:rPr>
        <w:t xml:space="preserve">. 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בטיעונים לעונש של משיב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טענה המדינה כי מתחם העונש ההולם במקרה זה נע בין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>נטען כי יש למקם את העונש באמצע מתחם הענישה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בין היתר בהתחשב בחומרת המעשים</w:t>
      </w:r>
      <w:r>
        <w:rPr>
          <w:rtl w:val="true"/>
        </w:rPr>
        <w:t xml:space="preserve">, </w:t>
      </w:r>
      <w:r>
        <w:rPr>
          <w:rtl w:val="true"/>
        </w:rPr>
        <w:t>בתכנון שקדם להם</w:t>
      </w:r>
      <w:r>
        <w:rPr>
          <w:rtl w:val="true"/>
        </w:rPr>
        <w:t xml:space="preserve">, </w:t>
      </w:r>
      <w:r>
        <w:rPr>
          <w:rtl w:val="true"/>
        </w:rPr>
        <w:t>בחלקו בביצועם</w:t>
      </w:r>
      <w:r>
        <w:rPr>
          <w:rtl w:val="true"/>
        </w:rPr>
        <w:t xml:space="preserve">, </w:t>
      </w:r>
      <w:r>
        <w:rPr>
          <w:rtl w:val="true"/>
        </w:rPr>
        <w:t>ובממצאי תסקיר שירות המבחן בעניינו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ביקשה המדינה להשית מאסר על תנאי ארוך</w:t>
      </w:r>
      <w:r>
        <w:rPr>
          <w:rtl w:val="true"/>
        </w:rPr>
        <w:t xml:space="preserve">, </w:t>
      </w:r>
      <w:r>
        <w:rPr>
          <w:rtl w:val="true"/>
        </w:rPr>
        <w:t>קנס ופיצוי גבוה למתלונן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 המשיב טען כי בשל מצבו הקוגניטיב</w:t>
      </w:r>
      <w:r>
        <w:rPr>
          <w:rtl w:val="true"/>
        </w:rPr>
        <w:t>י</w:t>
      </w:r>
      <w:r>
        <w:rPr>
          <w:rtl w:val="true"/>
        </w:rPr>
        <w:t xml:space="preserve"> והנפשי של המשיב המשפיעים על יכולתו להבין את הפסול שבמעשים או להימנע מביצועם</w:t>
      </w:r>
      <w:r>
        <w:rPr>
          <w:rtl w:val="true"/>
        </w:rPr>
        <w:t xml:space="preserve">, </w:t>
      </w:r>
      <w:r>
        <w:rPr>
          <w:rtl w:val="true"/>
        </w:rPr>
        <w:t>יש לקבוע את מתחם העונש ההולם בטווח נמוך יותר</w:t>
      </w:r>
      <w:r>
        <w:rPr>
          <w:rtl w:val="true"/>
        </w:rPr>
        <w:t xml:space="preserve">, </w:t>
      </w:r>
      <w:r>
        <w:rPr>
          <w:rtl w:val="true"/>
        </w:rPr>
        <w:t xml:space="preserve">הנע בין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בהקשר זה ולבקשת 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הוגשו לבית המשפט חוות דעת פסיכיאטרית מיום </w:t>
      </w:r>
      <w:r>
        <w:rPr/>
        <w:t>13.12.2020</w:t>
      </w:r>
      <w:r>
        <w:rPr>
          <w:rtl w:val="true"/>
        </w:rPr>
        <w:t xml:space="preserve"> </w:t>
      </w:r>
      <w:r>
        <w:rPr>
          <w:rtl w:val="true"/>
        </w:rPr>
        <w:t>ודו</w:t>
      </w:r>
      <w:r>
        <w:rPr>
          <w:rtl w:val="true"/>
        </w:rPr>
        <w:t>"</w:t>
      </w:r>
      <w:r>
        <w:rPr>
          <w:rtl w:val="true"/>
        </w:rPr>
        <w:t xml:space="preserve">ח ועדת אבחון מנהל המוגבלויות מיום </w:t>
      </w:r>
      <w:r>
        <w:rPr/>
        <w:t>18.3.2021</w:t>
      </w:r>
      <w:r>
        <w:rPr>
          <w:rtl w:val="true"/>
        </w:rPr>
        <w:t xml:space="preserve"> </w:t>
      </w:r>
      <w:r>
        <w:rPr>
          <w:rtl w:val="true"/>
        </w:rPr>
        <w:t>בעניינו של המשיב</w:t>
      </w:r>
      <w:r>
        <w:rPr>
          <w:rtl w:val="true"/>
        </w:rPr>
        <w:t xml:space="preserve">, </w:t>
      </w:r>
      <w:r>
        <w:rPr>
          <w:rtl w:val="true"/>
        </w:rPr>
        <w:t>אליהם התייחס גם שירות המבחן בתסקירו</w:t>
      </w:r>
      <w:r>
        <w:rPr>
          <w:rtl w:val="true"/>
        </w:rPr>
        <w:t xml:space="preserve">. </w:t>
      </w:r>
      <w:r>
        <w:rPr>
          <w:rtl w:val="true"/>
        </w:rPr>
        <w:t>במסגרת התסקיר עמד שירות המבחן על גורמי סיכון להישנות מעשים דומים</w:t>
      </w:r>
      <w:r>
        <w:rPr>
          <w:rtl w:val="true"/>
        </w:rPr>
        <w:t xml:space="preserve">, </w:t>
      </w:r>
      <w:r>
        <w:rPr>
          <w:rtl w:val="true"/>
        </w:rPr>
        <w:t>ביניהם העובדה שהוא מטשטש את האחריות למעשיו ואינו מעוניין להשתלב בתהליך טיפולי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בתסקיר הומלץ</w:t>
      </w:r>
      <w:r>
        <w:rPr>
          <w:rtl w:val="true"/>
        </w:rPr>
        <w:t xml:space="preserve">, </w:t>
      </w:r>
      <w:r>
        <w:rPr>
          <w:rtl w:val="true"/>
        </w:rPr>
        <w:t>בין היתר על בסיס מסמכים אלה</w:t>
      </w:r>
      <w:r>
        <w:rPr>
          <w:rtl w:val="true"/>
        </w:rPr>
        <w:t xml:space="preserve">, </w:t>
      </w:r>
      <w:r>
        <w:rPr>
          <w:rtl w:val="true"/>
        </w:rPr>
        <w:t>להתחשב במצבו הרגיש והמורכב מבחינה קוגניטיבית ונפשית בקביעת משך עונשו של המשיב</w:t>
      </w:r>
      <w:r>
        <w:rPr>
          <w:rtl w:val="true"/>
        </w:rPr>
        <w:t xml:space="preserve">. </w:t>
      </w:r>
      <w:r>
        <w:rPr>
          <w:rtl w:val="true"/>
        </w:rPr>
        <w:t>זאת בהינתן העובדה שלמשיב הנמכה משמעותית בתפקוד האינטלקטואלי</w:t>
      </w:r>
      <w:r>
        <w:rPr>
          <w:rtl w:val="true"/>
        </w:rPr>
        <w:t xml:space="preserve">; </w:t>
      </w:r>
      <w:r>
        <w:rPr>
          <w:rtl w:val="true"/>
        </w:rPr>
        <w:t>תפקודו הקוגניטיב</w:t>
      </w:r>
      <w:r>
        <w:rPr>
          <w:rtl w:val="true"/>
        </w:rPr>
        <w:t>י</w:t>
      </w:r>
      <w:r>
        <w:rPr>
          <w:rtl w:val="true"/>
        </w:rPr>
        <w:t xml:space="preserve"> וההסתגלותי נמוכים</w:t>
      </w:r>
      <w:r>
        <w:rPr>
          <w:rtl w:val="true"/>
        </w:rPr>
        <w:t xml:space="preserve">; </w:t>
      </w:r>
      <w:r>
        <w:rPr>
          <w:rtl w:val="true"/>
        </w:rPr>
        <w:t>ומצבו הנפשי רגיש</w:t>
      </w:r>
      <w:r>
        <w:rPr>
          <w:rtl w:val="true"/>
        </w:rPr>
        <w:t xml:space="preserve">. </w:t>
      </w:r>
      <w:r>
        <w:rPr>
          <w:rtl w:val="true"/>
        </w:rPr>
        <w:t>נמצא כי יש לו פיגור שכלי סביבתי</w:t>
      </w:r>
      <w:r>
        <w:rPr>
          <w:rtl w:val="true"/>
        </w:rPr>
        <w:t xml:space="preserve">, </w:t>
      </w:r>
      <w:r>
        <w:rPr>
          <w:rtl w:val="true"/>
        </w:rPr>
        <w:t>אך הוא אחראי למעשיו וכשיר לעמוד לדין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13.9.2021</w:t>
      </w:r>
      <w:r>
        <w:rPr>
          <w:rtl w:val="true"/>
        </w:rPr>
        <w:t xml:space="preserve"> </w:t>
      </w:r>
      <w:r>
        <w:rPr>
          <w:rtl w:val="true"/>
        </w:rPr>
        <w:t xml:space="preserve">ניתן גזר דינו של משיב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בית המשפט המחוזי עמד על חומרת העבירות שביצע</w:t>
      </w:r>
      <w:r>
        <w:rPr>
          <w:rtl w:val="true"/>
        </w:rPr>
        <w:t xml:space="preserve">, </w:t>
      </w:r>
      <w:r>
        <w:rPr>
          <w:rtl w:val="true"/>
        </w:rPr>
        <w:t>ועל כך שעבירת הכניסה לישראל שלא כדין מהווה עבירה עצמאית העומדת על רגליה במנותק מהעבירות האחרות</w:t>
      </w:r>
      <w:r>
        <w:rPr>
          <w:rtl w:val="true"/>
        </w:rPr>
        <w:t xml:space="preserve">. </w:t>
      </w:r>
      <w:r>
        <w:rPr>
          <w:rtl w:val="true"/>
        </w:rPr>
        <w:t>נקבע כי המשיב היה שותף מלא לקשירת הקשר ושותף משמעותי להוצאת עבירת השוד אל הפועל</w:t>
      </w:r>
      <w:r>
        <w:rPr>
          <w:rtl w:val="true"/>
        </w:rPr>
        <w:t xml:space="preserve">, </w:t>
      </w:r>
      <w:r>
        <w:rPr>
          <w:rtl w:val="true"/>
        </w:rPr>
        <w:t>היה ער למעשיו</w:t>
      </w:r>
      <w:r>
        <w:rPr>
          <w:rtl w:val="true"/>
        </w:rPr>
        <w:t xml:space="preserve">, </w:t>
      </w:r>
      <w:r>
        <w:rPr>
          <w:rtl w:val="true"/>
        </w:rPr>
        <w:t>הייתה לו שליטה מלאה עליהם והיה ביכולתו להימנע מהם</w:t>
      </w:r>
      <w:r>
        <w:rPr>
          <w:rtl w:val="true"/>
        </w:rPr>
        <w:t xml:space="preserve">. </w:t>
      </w:r>
      <w:r>
        <w:rPr>
          <w:rtl w:val="true"/>
        </w:rPr>
        <w:t xml:space="preserve">בהתחשב באמור ובפסיקה הנוהגת נקבע מתחם ענישה הנע בין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 מאסר ביחס לעבירת השוד בנסיבות מחמירות וקשירת קשר לפשע</w:t>
      </w:r>
      <w:r>
        <w:rPr>
          <w:rtl w:val="true"/>
        </w:rPr>
        <w:t xml:space="preserve">, </w:t>
      </w:r>
      <w:r>
        <w:rPr>
          <w:rtl w:val="true"/>
        </w:rPr>
        <w:t xml:space="preserve">ומתחם ענישה הנע בין מאסר מותנה עד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בפועל ביחס לעבירת הכניסה לישראל שלא כדין</w:t>
      </w:r>
      <w:r>
        <w:rPr>
          <w:rtl w:val="true"/>
        </w:rPr>
        <w:t xml:space="preserve">. </w:t>
      </w:r>
      <w:r>
        <w:rPr>
          <w:rtl w:val="true"/>
        </w:rPr>
        <w:t>יוער כי נוכח ממצאי חוות הדעת הפסיכיאטרית</w:t>
      </w:r>
      <w:r>
        <w:rPr>
          <w:rtl w:val="true"/>
        </w:rPr>
        <w:t xml:space="preserve">, </w:t>
      </w:r>
      <w:r>
        <w:rPr>
          <w:rtl w:val="true"/>
        </w:rPr>
        <w:t>נדחתה הטענה כי אין למשיב יכולת להבין את הפסול שבמעשיו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מיקם את עונשו של המשיב בחלקו התחתון של מתחם הענישה וגזר עליו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זאת בהתחשב בין היתר במצבו הסוציואקונומ</w:t>
      </w:r>
      <w:r>
        <w:rPr>
          <w:rtl w:val="true"/>
        </w:rPr>
        <w:t>י</w:t>
      </w:r>
      <w:r>
        <w:rPr>
          <w:rtl w:val="true"/>
        </w:rPr>
        <w:t xml:space="preserve"> והקוגניטיב</w:t>
      </w:r>
      <w:r>
        <w:rPr>
          <w:rtl w:val="true"/>
        </w:rPr>
        <w:t>י</w:t>
      </w:r>
      <w:r>
        <w:rPr>
          <w:rtl w:val="true"/>
        </w:rPr>
        <w:t xml:space="preserve">; </w:t>
      </w:r>
      <w:r>
        <w:rPr>
          <w:rtl w:val="true"/>
        </w:rPr>
        <w:t>ברמתו השכלית ויכולותיו הנפשיות</w:t>
      </w:r>
      <w:r>
        <w:rPr>
          <w:rtl w:val="true"/>
        </w:rPr>
        <w:t xml:space="preserve">; </w:t>
      </w:r>
      <w:r>
        <w:rPr>
          <w:rtl w:val="true"/>
        </w:rPr>
        <w:t>בקשיי שפה והסתגלות הנלווים לשהותו בכלא הואיל ואינו דובר עברית ומנותק ממשפחתו</w:t>
      </w:r>
      <w:r>
        <w:rPr>
          <w:rtl w:val="true"/>
        </w:rPr>
        <w:t xml:space="preserve">; </w:t>
      </w:r>
      <w:r>
        <w:rPr>
          <w:rtl w:val="true"/>
        </w:rPr>
        <w:t>בכך שחסך זמן שיפוטי והביע חרטה</w:t>
      </w:r>
      <w:r>
        <w:rPr>
          <w:rtl w:val="true"/>
        </w:rPr>
        <w:t xml:space="preserve">; </w:t>
      </w:r>
      <w:r>
        <w:rPr>
          <w:rtl w:val="true"/>
        </w:rPr>
        <w:t>בממצאי שירות המבחן בעניינו</w:t>
      </w:r>
      <w:r>
        <w:rPr>
          <w:rtl w:val="true"/>
        </w:rPr>
        <w:t xml:space="preserve">, </w:t>
      </w:r>
      <w:r>
        <w:rPr>
          <w:rtl w:val="true"/>
        </w:rPr>
        <w:t>ובהמלצתם להתחשב במצבו הרגיש מבחינה קוגניטיבי</w:t>
      </w:r>
      <w:r>
        <w:rPr>
          <w:rtl w:val="true"/>
        </w:rPr>
        <w:t>ת</w:t>
      </w:r>
      <w:r>
        <w:rPr>
          <w:rtl w:val="true"/>
        </w:rPr>
        <w:t xml:space="preserve"> ומבחינה נפשית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 xml:space="preserve">הושתו על המשיב עונשים נלווים והוא חוייב גם בתשלום פיצוי בסך של </w:t>
      </w:r>
      <w:r>
        <w:rPr/>
        <w:t>3,000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למתלונן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בטיעונים לעונש של משיב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 xml:space="preserve">טענה המדינה למתחם ענישה זהה לזה של משיב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כמו גם לגזירת העונש באמצע המתחם המבוקש</w:t>
      </w:r>
      <w:r>
        <w:rPr>
          <w:rtl w:val="true"/>
        </w:rPr>
        <w:t xml:space="preserve">, </w:t>
      </w:r>
      <w:r>
        <w:rPr>
          <w:rtl w:val="true"/>
        </w:rPr>
        <w:t>לצד מאסר על תנאי</w:t>
      </w:r>
      <w:r>
        <w:rPr>
          <w:rtl w:val="true"/>
        </w:rPr>
        <w:t xml:space="preserve">, </w:t>
      </w:r>
      <w:r>
        <w:rPr>
          <w:rtl w:val="true"/>
        </w:rPr>
        <w:t>קנס ופיצוי גבוה למתלונן</w:t>
      </w:r>
      <w:r>
        <w:rPr>
          <w:rtl w:val="true"/>
        </w:rPr>
        <w:t xml:space="preserve">. </w:t>
      </w:r>
      <w:r>
        <w:rPr>
          <w:rtl w:val="true"/>
        </w:rPr>
        <w:t xml:space="preserve">הגם שסברה המדינה כי על 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הושת עונש מאסר נמוך מידי</w:t>
      </w:r>
      <w:r>
        <w:rPr>
          <w:rtl w:val="true"/>
        </w:rPr>
        <w:t xml:space="preserve">, </w:t>
      </w:r>
      <w:r>
        <w:rPr>
          <w:rtl w:val="true"/>
        </w:rPr>
        <w:t xml:space="preserve">בשונה ממשיב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הוא הודה במיוחס לו כבר בשלב חקירתו במשטרה ואף הפליל את האחרון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בגזירת עונשו של 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בית המשפט נתן משקל להיותו אדם המתמודד עם </w:t>
      </w:r>
      <w:r>
        <w:rPr>
          <w:rtl w:val="true"/>
        </w:rPr>
        <w:t>"</w:t>
      </w:r>
      <w:r>
        <w:rPr>
          <w:rtl w:val="true"/>
        </w:rPr>
        <w:t>הנמכה קוגניטיבי</w:t>
      </w:r>
      <w:r>
        <w:rPr>
          <w:rtl w:val="true"/>
        </w:rPr>
        <w:t>ת</w:t>
      </w:r>
      <w:r>
        <w:rPr>
          <w:rtl w:val="true"/>
        </w:rPr>
        <w:t xml:space="preserve">" </w:t>
      </w:r>
      <w:r>
        <w:rPr>
          <w:rtl w:val="true"/>
        </w:rPr>
        <w:t xml:space="preserve">שאינה רלוונטית בעניינו של משיב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מנגד טען בא</w:t>
      </w:r>
      <w:r>
        <w:rPr>
          <w:rtl w:val="true"/>
        </w:rPr>
        <w:t>-</w:t>
      </w:r>
      <w:r>
        <w:rPr>
          <w:rtl w:val="true"/>
        </w:rPr>
        <w:t xml:space="preserve">כוח 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כי נוכח נסיבות אישיות של המשיב ומאחר שהודה במיוחס לו והביע חרטה</w:t>
      </w:r>
      <w:r>
        <w:rPr>
          <w:rtl w:val="true"/>
        </w:rPr>
        <w:t xml:space="preserve">, </w:t>
      </w:r>
      <w:r>
        <w:rPr>
          <w:rtl w:val="true"/>
        </w:rPr>
        <w:t xml:space="preserve">מתחם העונש ההולם נע בין עבודות שירות לבין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 מאסר בפועל ועתר למיקומו ברף הנמוך של המתחם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 xml:space="preserve">עקרון אחידות הענישה ביחס למשיב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מצדיק גם כן את מתחם הענישה המבוקש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16.12.2021</w:t>
      </w:r>
      <w:r>
        <w:rPr>
          <w:rtl w:val="true"/>
        </w:rPr>
        <w:t xml:space="preserve"> </w:t>
      </w:r>
      <w:r>
        <w:rPr>
          <w:rtl w:val="true"/>
        </w:rPr>
        <w:t xml:space="preserve">ניתן גזר דינו של משיב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עמד על חומרת מעשה השוד אשר כוון כלפי אדם כבן </w:t>
      </w:r>
      <w:r>
        <w:rPr/>
        <w:t>73</w:t>
      </w:r>
      <w:r>
        <w:rPr>
          <w:rtl w:val="true"/>
        </w:rPr>
        <w:t xml:space="preserve"> </w:t>
      </w:r>
      <w:r>
        <w:rPr>
          <w:rtl w:val="true"/>
        </w:rPr>
        <w:t>המתגורר בגפו</w:t>
      </w:r>
      <w:r>
        <w:rPr>
          <w:rtl w:val="true"/>
        </w:rPr>
        <w:t xml:space="preserve">, </w:t>
      </w:r>
      <w:r>
        <w:rPr>
          <w:rtl w:val="true"/>
        </w:rPr>
        <w:t>ביצועו בצוותא והתכנון שקדם לו</w:t>
      </w:r>
      <w:r>
        <w:rPr>
          <w:rtl w:val="true"/>
        </w:rPr>
        <w:t xml:space="preserve">. </w:t>
      </w:r>
      <w:r>
        <w:rPr>
          <w:rtl w:val="true"/>
        </w:rPr>
        <w:t xml:space="preserve">נקבע כי מתחם הענישה ההולם את עבירת השוד בנסיבות מחמירות וקשירת הקשר נע בין </w:t>
      </w:r>
      <w:r>
        <w:rPr/>
        <w:t>5-3</w:t>
      </w:r>
      <w:r>
        <w:rPr>
          <w:rtl w:val="true"/>
        </w:rPr>
        <w:t xml:space="preserve"> </w:t>
      </w:r>
      <w:r>
        <w:rPr>
          <w:rtl w:val="true"/>
        </w:rPr>
        <w:t>שנות מאסר בפועל בצירוף עונשים נלווים</w:t>
      </w:r>
      <w:r>
        <w:rPr>
          <w:rtl w:val="true"/>
        </w:rPr>
        <w:t xml:space="preserve">, </w:t>
      </w:r>
      <w:r>
        <w:rPr>
          <w:rtl w:val="true"/>
        </w:rPr>
        <w:t>ומתחם הענישה ההולם את עבירת הכניסה או ישיבה בישראל שלא כדין נע בין מאסר מותנה 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בפועל בצירוף עונשים נלווים</w:t>
      </w:r>
      <w:r>
        <w:rPr>
          <w:rtl w:val="true"/>
        </w:rPr>
        <w:t xml:space="preserve">. </w:t>
      </w:r>
      <w:r>
        <w:rPr>
          <w:rtl w:val="true"/>
        </w:rPr>
        <w:t>בגזירת העונש בית המשפט התחשב בהודאת המשיב למרות שניהל את ההליך המשפטי כמעט עד תומו</w:t>
      </w:r>
      <w:r>
        <w:rPr>
          <w:rtl w:val="true"/>
        </w:rPr>
        <w:t xml:space="preserve">; </w:t>
      </w:r>
      <w:r>
        <w:rPr>
          <w:rtl w:val="true"/>
        </w:rPr>
        <w:t>בהיותו נעדר עבר פלילי</w:t>
      </w:r>
      <w:r>
        <w:rPr>
          <w:rtl w:val="true"/>
        </w:rPr>
        <w:t xml:space="preserve">; </w:t>
      </w:r>
      <w:r>
        <w:rPr>
          <w:rtl w:val="true"/>
        </w:rPr>
        <w:t>במצבה הכלכלי הנטען של משפחתו</w:t>
      </w:r>
      <w:r>
        <w:rPr>
          <w:rtl w:val="true"/>
        </w:rPr>
        <w:t xml:space="preserve">; </w:t>
      </w:r>
      <w:r>
        <w:rPr>
          <w:rtl w:val="true"/>
        </w:rPr>
        <w:t>בשיקולי הרתעה</w:t>
      </w:r>
      <w:r>
        <w:rPr>
          <w:rtl w:val="true"/>
        </w:rPr>
        <w:t xml:space="preserve">; </w:t>
      </w:r>
      <w:r>
        <w:rPr>
          <w:rtl w:val="true"/>
        </w:rPr>
        <w:t>בממצאי תסקיר שירות המבחן</w:t>
      </w:r>
      <w:r>
        <w:rPr>
          <w:rtl w:val="true"/>
        </w:rPr>
        <w:t xml:space="preserve">, </w:t>
      </w:r>
      <w:r>
        <w:rPr>
          <w:rtl w:val="true"/>
        </w:rPr>
        <w:t>לפיהם בין היתר קיים סיכון גבוה להישנות מעשה עבירה מצדו</w:t>
      </w:r>
      <w:r>
        <w:rPr>
          <w:rtl w:val="true"/>
        </w:rPr>
        <w:t xml:space="preserve">, </w:t>
      </w:r>
      <w:r>
        <w:rPr>
          <w:rtl w:val="true"/>
        </w:rPr>
        <w:t xml:space="preserve">ולקיחת האחריות על מעשיו היא </w:t>
      </w:r>
      <w:r>
        <w:rPr>
          <w:rtl w:val="true"/>
        </w:rPr>
        <w:t>"</w:t>
      </w:r>
      <w:r>
        <w:rPr>
          <w:rtl w:val="true"/>
        </w:rPr>
        <w:t>פורמאלית</w:t>
      </w:r>
      <w:r>
        <w:rPr>
          <w:rtl w:val="true"/>
        </w:rPr>
        <w:t xml:space="preserve">" </w:t>
      </w:r>
      <w:r>
        <w:rPr>
          <w:rtl w:val="true"/>
        </w:rPr>
        <w:t>בלבד</w:t>
      </w:r>
      <w:r>
        <w:rPr>
          <w:rtl w:val="true"/>
        </w:rPr>
        <w:t xml:space="preserve">; </w:t>
      </w:r>
      <w:r>
        <w:rPr>
          <w:rtl w:val="true"/>
        </w:rPr>
        <w:t xml:space="preserve">ובעקרון אחידות הענישה ביחס למשיב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עם זאת וחרף כך שהעבירות בוצעו בצוותא</w:t>
      </w:r>
      <w:r>
        <w:rPr>
          <w:rtl w:val="true"/>
        </w:rPr>
        <w:t xml:space="preserve">, </w:t>
      </w:r>
      <w:r>
        <w:rPr>
          <w:rtl w:val="true"/>
        </w:rPr>
        <w:t xml:space="preserve">לנוכח היכרותו המוקדמת של 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עם המתלונן</w:t>
      </w:r>
      <w:r>
        <w:rPr>
          <w:rtl w:val="true"/>
        </w:rPr>
        <w:t xml:space="preserve">, </w:t>
      </w:r>
      <w:r>
        <w:rPr>
          <w:rtl w:val="true"/>
        </w:rPr>
        <w:t>היותו יוזם רעיון השוד</w:t>
      </w:r>
      <w:r>
        <w:rPr>
          <w:rtl w:val="true"/>
        </w:rPr>
        <w:t xml:space="preserve">, </w:t>
      </w:r>
      <w:r>
        <w:rPr>
          <w:rtl w:val="true"/>
        </w:rPr>
        <w:t>כמו גם העובדה שהוא שרכש את הכלים באמצעותם בוצע השוד</w:t>
      </w:r>
      <w:r>
        <w:rPr>
          <w:rtl w:val="true"/>
        </w:rPr>
        <w:t xml:space="preserve">, </w:t>
      </w:r>
      <w:r>
        <w:rPr>
          <w:rtl w:val="true"/>
        </w:rPr>
        <w:t xml:space="preserve">ובשים לב לכך שבגזר דינו של משיב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נלקחו בחשבון העובדה שהפליל את משיב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רמתו השכלית ויכולותיו הנפשיות כטעמים להקלה בעונשו</w:t>
      </w:r>
      <w:r>
        <w:rPr>
          <w:rtl w:val="true"/>
        </w:rPr>
        <w:t xml:space="preserve">, </w:t>
      </w:r>
      <w:r>
        <w:rPr>
          <w:rtl w:val="true"/>
        </w:rPr>
        <w:t xml:space="preserve">נקבע כי על עונשו של 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להיות חמור משל 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אך קל מהעונש הראוי שהיה נגזר עליו אלמלא עקרון אחידות הענישה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השית על 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עונש של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 מאסר בפועל בצירוף עונשים נלווים</w:t>
      </w:r>
      <w:r>
        <w:rPr>
          <w:rtl w:val="true"/>
        </w:rPr>
        <w:t xml:space="preserve">, </w:t>
      </w:r>
      <w:r>
        <w:rPr>
          <w:rtl w:val="true"/>
        </w:rPr>
        <w:t xml:space="preserve">והוא חויב גם בתשלום פיצוי בסך של </w:t>
      </w:r>
      <w:r>
        <w:rPr/>
        <w:t>3,000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למתלונן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בערעורים</w:t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לטענת המדינה עונשם של כל אחד מהמשיבים מקל יתר על המידה נוכח חומרת העבירות שביצעו ואינו מבטא את מדיניות הענישה הנהוגה והראויה בעבירות אלו בנסיבות דומות</w:t>
      </w:r>
      <w:r>
        <w:rPr>
          <w:rtl w:val="true"/>
        </w:rPr>
        <w:t xml:space="preserve">. </w:t>
      </w:r>
      <w:r>
        <w:rPr>
          <w:rtl w:val="true"/>
        </w:rPr>
        <w:t xml:space="preserve">עונשם אינו עולה בקנה אחד עם מדיניות ההחמרה בה נוקט בית המשפט בעבירות שוד המכוונות נגד קשישים המהווים </w:t>
      </w:r>
      <w:r>
        <w:rPr>
          <w:rtl w:val="true"/>
        </w:rPr>
        <w:t>"</w:t>
      </w:r>
      <w:r>
        <w:rPr>
          <w:rtl w:val="true"/>
        </w:rPr>
        <w:t>מטרה קלה</w:t>
      </w:r>
      <w:r>
        <w:rPr>
          <w:rtl w:val="true"/>
        </w:rPr>
        <w:t xml:space="preserve">", </w:t>
      </w:r>
      <w:r>
        <w:rPr>
          <w:rtl w:val="true"/>
        </w:rPr>
        <w:t>בפרט כאשר המתלונן מופקר לנפשו לאחר המעשה</w:t>
      </w:r>
      <w:r>
        <w:rPr>
          <w:rtl w:val="true"/>
        </w:rPr>
        <w:t xml:space="preserve">. </w:t>
      </w:r>
      <w:r>
        <w:rPr>
          <w:rtl w:val="true"/>
        </w:rPr>
        <w:t>עוד לטענת המדינה</w:t>
      </w:r>
      <w:r>
        <w:rPr>
          <w:rtl w:val="true"/>
        </w:rPr>
        <w:t xml:space="preserve">, </w:t>
      </w:r>
      <w:r>
        <w:rPr>
          <w:rtl w:val="true"/>
        </w:rPr>
        <w:t>מתחם העונש ההולם שנקבע לעבירת השוד נמוך ביחס לנהוג בעבירות שוד של קשישים בביתם</w:t>
      </w:r>
      <w:r>
        <w:rPr>
          <w:rtl w:val="true"/>
        </w:rPr>
        <w:t xml:space="preserve">. </w:t>
      </w:r>
      <w:r>
        <w:rPr>
          <w:rtl w:val="true"/>
        </w:rPr>
        <w:t>בית המשפט גם שגה כאשר גזר את עונשם של המשיבים בשליש התחתון של מתחם הענישה</w:t>
      </w:r>
      <w:r>
        <w:rPr>
          <w:rtl w:val="true"/>
        </w:rPr>
        <w:t xml:space="preserve">. </w:t>
      </w:r>
      <w:r>
        <w:rPr>
          <w:rtl w:val="true"/>
        </w:rPr>
        <w:t>זאת בשים לב לממצאי תסקיר שירות המבחן בעניינם אשר אינם מצדיקים התחשבות כה משמעותית בנסיבותיהם האישיות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תסקיר שירות המבחן בעניינו של 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מלמד כי נשקפת מסוכנות מצדו</w:t>
      </w:r>
      <w:r>
        <w:rPr>
          <w:rtl w:val="true"/>
        </w:rPr>
        <w:t xml:space="preserve">, </w:t>
      </w:r>
      <w:r>
        <w:rPr>
          <w:rtl w:val="true"/>
        </w:rPr>
        <w:t>כי הוא מייחס את עיקר האחריות למעשים שביצע לשותפו ומצמצם מחומרתם וכי סירב להליך טיפולי</w:t>
      </w:r>
      <w:r>
        <w:rPr>
          <w:rtl w:val="true"/>
        </w:rPr>
        <w:t xml:space="preserve">. </w:t>
      </w:r>
      <w:r>
        <w:rPr>
          <w:rtl w:val="true"/>
        </w:rPr>
        <w:t>בית המשפט גם שגה כאשר קבע כי מצבו הקוגניטיבי והנפשי מהווה שיקול לקולא בגזירת עונשו שעה שהגורמים המקצועיים קבעו כי הוא מתפקד ברמה ש</w:t>
      </w:r>
      <w:r>
        <w:rPr>
          <w:rtl w:val="true"/>
        </w:rPr>
        <w:t>"</w:t>
      </w:r>
      <w:r>
        <w:rPr>
          <w:rtl w:val="true"/>
        </w:rPr>
        <w:t>אינה בתחום מוגבלות שכלית התפתחותית</w:t>
      </w:r>
      <w:r>
        <w:rPr>
          <w:rtl w:val="true"/>
        </w:rPr>
        <w:t xml:space="preserve">" </w:t>
      </w:r>
      <w:r>
        <w:rPr>
          <w:rtl w:val="true"/>
        </w:rPr>
        <w:t>ושעה שבית המשפט קבע כי הייתה לו שליטה מלאה על מעשיו והוא היה שותף משמעותי לביצוע העבירה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גם בעניינו של משיב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תסקיר שירות המבחן מלמד כי קיים סיכון גבוה להישנות עבירות מצדו וכי הוא ממזער את חלקו בביצוע העבירות</w:t>
      </w:r>
      <w:r>
        <w:rPr>
          <w:rtl w:val="true"/>
        </w:rPr>
        <w:t xml:space="preserve">. </w:t>
      </w:r>
      <w:r>
        <w:rPr>
          <w:rtl w:val="true"/>
        </w:rPr>
        <w:t>נוסף על כך</w:t>
      </w:r>
      <w:r>
        <w:rPr>
          <w:rtl w:val="true"/>
        </w:rPr>
        <w:t xml:space="preserve">, </w:t>
      </w:r>
      <w:r>
        <w:rPr>
          <w:rtl w:val="true"/>
        </w:rPr>
        <w:t>משעה שהודאתו ניתנה רק לאחר סיום הליך ההוכחות</w:t>
      </w:r>
      <w:r>
        <w:rPr>
          <w:rtl w:val="true"/>
        </w:rPr>
        <w:t xml:space="preserve">, </w:t>
      </w:r>
      <w:r>
        <w:rPr>
          <w:rtl w:val="true"/>
        </w:rPr>
        <w:t>במסגרתו העיד המתלונן ארוכות</w:t>
      </w:r>
      <w:r>
        <w:rPr>
          <w:rtl w:val="true"/>
        </w:rPr>
        <w:t xml:space="preserve">, </w:t>
      </w:r>
      <w:r>
        <w:rPr>
          <w:rtl w:val="true"/>
        </w:rPr>
        <w:t>גם ביחס למשיב זה לא היה מקום להתחשבות כה משמעותית בנסיבותיו האישיות בגזרת עונשו</w:t>
      </w:r>
      <w:r>
        <w:rPr>
          <w:rtl w:val="true"/>
        </w:rPr>
        <w:t xml:space="preserve">. </w:t>
      </w:r>
      <w:r>
        <w:rPr>
          <w:rtl w:val="true"/>
        </w:rPr>
        <w:t>יתרה מזאת</w:t>
      </w:r>
      <w:r>
        <w:rPr>
          <w:rtl w:val="true"/>
        </w:rPr>
        <w:t xml:space="preserve">, </w:t>
      </w:r>
      <w:r>
        <w:rPr>
          <w:rtl w:val="true"/>
        </w:rPr>
        <w:t xml:space="preserve">בנסיבות אלה ובשים לב לכך שמשיב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 יוזם המעשים</w:t>
      </w:r>
      <w:r>
        <w:rPr>
          <w:rtl w:val="true"/>
        </w:rPr>
        <w:t xml:space="preserve">, </w:t>
      </w:r>
      <w:r>
        <w:rPr>
          <w:rtl w:val="true"/>
        </w:rPr>
        <w:t>אין בעקרון אחידות הענישה כדי להצדיק את הענישה המקלה שנגזרה עליו</w:t>
      </w:r>
      <w:r>
        <w:rPr>
          <w:rtl w:val="true"/>
        </w:rPr>
        <w:t xml:space="preserve">. </w:t>
      </w:r>
      <w:r>
        <w:rPr>
          <w:rtl w:val="true"/>
        </w:rPr>
        <w:t>המדינה הוסיפה כי סכום הפיצוי שהוטל על כל אחד מהמשיבים אינו משקף ולו מעט מהנזק שנגרם למתלונן</w:t>
      </w:r>
      <w:r>
        <w:rPr>
          <w:rtl w:val="true"/>
        </w:rPr>
        <w:t xml:space="preserve">. </w:t>
      </w:r>
      <w:r>
        <w:rPr>
          <w:rtl w:val="true"/>
        </w:rPr>
        <w:t>בדיון שנערך לפנינו ציין בא</w:t>
      </w:r>
      <w:r>
        <w:rPr>
          <w:rtl w:val="true"/>
        </w:rPr>
        <w:t>-</w:t>
      </w:r>
      <w:r>
        <w:rPr>
          <w:rtl w:val="true"/>
        </w:rPr>
        <w:t>כוח המדינה כי הגם שעתרה בבית המשפט המחוזי למתחם ענישה זהה לשני המשיבים</w:t>
      </w:r>
      <w:r>
        <w:rPr>
          <w:rtl w:val="true"/>
        </w:rPr>
        <w:t xml:space="preserve">, </w:t>
      </w:r>
      <w:r>
        <w:rPr>
          <w:rtl w:val="true"/>
        </w:rPr>
        <w:t>היא סבורה כיום כי יש מקום להבחין בין עונשיהם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 xml:space="preserve">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טען כי נוכח נסיבותיו האישיות ובשל העובדה כי הוא הודה בשלב מוקדם בהליך יש להותיר את עונשו על כנו</w:t>
      </w:r>
      <w:r>
        <w:rPr>
          <w:rtl w:val="true"/>
        </w:rPr>
        <w:t xml:space="preserve">. </w:t>
      </w:r>
      <w:r>
        <w:rPr>
          <w:rtl w:val="true"/>
        </w:rPr>
        <w:t xml:space="preserve">בדיון שנערך לפנינו 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עמד על כך שיש פער מוצדק בין העונשים שנקבעו לכל אחד מהמשיבים</w:t>
      </w:r>
      <w:r>
        <w:rPr>
          <w:rtl w:val="true"/>
        </w:rPr>
        <w:t xml:space="preserve">. </w:t>
      </w:r>
      <w:r>
        <w:rPr>
          <w:rtl w:val="true"/>
        </w:rPr>
        <w:t>עוד הדגיש את קביעתם של גורמי המקצוע באשר למצבו הקוגניטיבי ואת המלצת שירות המבחן בהקשר זה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בתשובת 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לערעור המדינה ובערעור מטעמו</w:t>
      </w:r>
      <w:r>
        <w:rPr>
          <w:rtl w:val="true"/>
        </w:rPr>
        <w:t xml:space="preserve">, </w:t>
      </w:r>
      <w:r>
        <w:rPr>
          <w:rtl w:val="true"/>
        </w:rPr>
        <w:t xml:space="preserve">הוא טען כי העונש שהוטל עליו חמור ואינו עולה בקנה אחד עם עקרון אחידות הענישה נוכח עונשו של משיב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משמדובר באותה מסכת אירועים</w:t>
      </w:r>
      <w:r>
        <w:rPr>
          <w:rtl w:val="true"/>
        </w:rPr>
        <w:t xml:space="preserve">, </w:t>
      </w:r>
      <w:r>
        <w:rPr>
          <w:rtl w:val="true"/>
        </w:rPr>
        <w:t xml:space="preserve">אותם שותפים לעבירה ובפרט משחלקו של 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במעשי האלימות כלפי המתלונן הוא פחוּת ביחס לשותפו</w:t>
      </w:r>
      <w:r>
        <w:rPr>
          <w:rtl w:val="true"/>
        </w:rPr>
        <w:t xml:space="preserve">. </w:t>
      </w:r>
      <w:r>
        <w:rPr>
          <w:rtl w:val="true"/>
        </w:rPr>
        <w:t>בדיון שנערך לפנינו ציין כי גם אם קיים שוני בחלקם של המשיבים</w:t>
      </w:r>
      <w:r>
        <w:rPr>
          <w:rtl w:val="true"/>
        </w:rPr>
        <w:t xml:space="preserve">, </w:t>
      </w:r>
      <w:r>
        <w:rPr>
          <w:rtl w:val="true"/>
        </w:rPr>
        <w:t>הוא לא מהותי באופן שמצדיק את הפער בענישה שהושתה</w:t>
      </w:r>
      <w:r>
        <w:rPr>
          <w:rtl w:val="true"/>
        </w:rPr>
        <w:t xml:space="preserve">, </w:t>
      </w:r>
      <w:r>
        <w:rPr>
          <w:rtl w:val="true"/>
        </w:rPr>
        <w:t>בפרט משהמדינה מתייחסת לאירוע השוד כאל אירוע שבוצע בצוותא</w:t>
      </w:r>
      <w:r>
        <w:rPr>
          <w:rtl w:val="true"/>
        </w:rPr>
        <w:t xml:space="preserve">. </w:t>
      </w:r>
      <w:r>
        <w:rPr>
          <w:rtl w:val="true"/>
        </w:rPr>
        <w:t xml:space="preserve">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גם סבור שבית המשפט לא התחשב בנסיבות המיוחדות בנוגע למצבו הכלכלי</w:t>
      </w:r>
      <w:r>
        <w:rPr>
          <w:rtl w:val="true"/>
        </w:rPr>
        <w:t xml:space="preserve">, </w:t>
      </w:r>
      <w:r>
        <w:rPr>
          <w:rtl w:val="true"/>
        </w:rPr>
        <w:t>ללקיחת אחריות על מעשיו והבעת החרטה מטעמו</w:t>
      </w:r>
      <w:r>
        <w:rPr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 xml:space="preserve">הוא תולה את הערכת שירות המבחן באשר ללקיחת אחריות </w:t>
      </w:r>
      <w:r>
        <w:rPr>
          <w:rtl w:val="true"/>
        </w:rPr>
        <w:t>"</w:t>
      </w:r>
      <w:r>
        <w:rPr>
          <w:rtl w:val="true"/>
        </w:rPr>
        <w:t>פורמלית</w:t>
      </w:r>
      <w:r>
        <w:rPr>
          <w:rtl w:val="true"/>
        </w:rPr>
        <w:t xml:space="preserve">" </w:t>
      </w:r>
      <w:r>
        <w:rPr>
          <w:rtl w:val="true"/>
        </w:rPr>
        <w:t>על מעשיו בקשיים תקשורתיים הנובעים מהעדר שליטתו בשפה העברית ותיווך דבריו באמצעות מתורגמן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הפנה לתסקיר המשלים שנערך בעניינו המצביע לשיטתו על כך שהוא מתחיל לעלות על דרך הישר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לאחר עיון בנימוקי הערעורים ולאחר שמיעת טענות הצדדים בדיון שהתקיים לפנינו</w:t>
      </w:r>
      <w:r>
        <w:rPr>
          <w:rtl w:val="true"/>
        </w:rPr>
        <w:t xml:space="preserve">, </w:t>
      </w:r>
      <w:r>
        <w:rPr>
          <w:rtl w:val="true"/>
        </w:rPr>
        <w:t>הגעתי לכלל מסקנה כי דין ערעורי המדינה ביחס לעונשי המאסר שהושתו על שני המשיבים להתקבל</w:t>
      </w:r>
      <w:r>
        <w:rPr>
          <w:rtl w:val="true"/>
        </w:rPr>
        <w:t xml:space="preserve">, </w:t>
      </w:r>
      <w:r>
        <w:rPr>
          <w:rtl w:val="true"/>
        </w:rPr>
        <w:t xml:space="preserve">וכפועל יוצא דין ערעור 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, </w:t>
      </w:r>
      <w:r>
        <w:rPr>
          <w:rtl w:val="true"/>
        </w:rPr>
        <w:t>וכך אציע לחבריי שנעשה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אתייחס תחילה לטענת 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בדבר הפרת עקרון אחידות הענישה בגזר דינו</w:t>
      </w:r>
      <w:r>
        <w:rPr>
          <w:rtl w:val="true"/>
        </w:rPr>
        <w:t xml:space="preserve">. </w:t>
      </w:r>
      <w:r>
        <w:rPr>
          <w:rtl w:val="true"/>
        </w:rPr>
        <w:t>לעקרון אחידות הענישה שני היבטים</w:t>
      </w:r>
      <w:r>
        <w:rPr>
          <w:rtl w:val="true"/>
        </w:rPr>
        <w:t xml:space="preserve">. </w:t>
      </w:r>
      <w:r>
        <w:rPr>
          <w:rtl w:val="true"/>
        </w:rPr>
        <w:t xml:space="preserve">עמד על כך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דנציגר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; </w:t>
      </w:r>
      <w:r>
        <w:rPr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>כללי</w:t>
      </w:r>
      <w:r>
        <w:rPr>
          <w:rtl w:val="true"/>
        </w:rPr>
        <w:t>-</w:t>
      </w:r>
      <w:r>
        <w:rPr>
          <w:rtl w:val="true"/>
        </w:rPr>
        <w:t>חיצוני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המבטיח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ונסיבותיה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</w:t>
      </w:r>
      <w:r>
        <w:rPr>
          <w:rtl w:val="true"/>
        </w:rPr>
        <w:t>.</w:t>
      </w:r>
      <w:r>
        <w:rPr>
          <w:rtl w:val="true"/>
        </w:rPr>
        <w:t>.</w:t>
      </w:r>
      <w:r>
        <w:rPr>
          <w:rtl w:val="true"/>
        </w:rPr>
        <w:t xml:space="preserve">.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פרטני</w:t>
      </w:r>
      <w:r>
        <w:rPr>
          <w:rtl w:val="true"/>
        </w:rPr>
        <w:t>-</w:t>
      </w:r>
      <w:r>
        <w:rPr>
          <w:rtl w:val="true"/>
        </w:rPr>
        <w:t>פנימי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המבטיח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השותפים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>" (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4597/13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פיצו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22.9.2014</w:t>
      </w:r>
      <w:r>
        <w:rPr>
          <w:rtl w:val="true"/>
        </w:rPr>
        <w:t xml:space="preserve">)). 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cs="FrankRuehl" w:ascii="FrankRuehl" w:hAnsi="FrankRuehl"/>
          <w:color w:val="000000"/>
          <w:sz w:val="28"/>
          <w:rtl w:val="true"/>
        </w:rPr>
        <w:tab/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ברם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עקרון זה אינו עומד לבדו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ומלאכת קציבת העונש אינה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תוצר של נוסחה מתמטית מדויקת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פעולת גזירת העונש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אינה מלאכת 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העתקה והדבקה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"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מעונשו של אחד לעונשו של האחר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על בית המשפט לבחון את נסיבותיה המיוחדות של העבירה בה הורשע ואת נסיבותיו המיוחדות של כל נאשם בבואו לגזור את עונשו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כאשר נסיבותיו של שותף אחד שונות לקולא או לחומרה בהשוואה לשותפו</w:t>
      </w:r>
      <w:r>
        <w:rPr>
          <w:rtl w:val="true"/>
        </w:rPr>
        <w:t xml:space="preserve">, </w:t>
      </w:r>
      <w:r>
        <w:rPr>
          <w:rtl w:val="true"/>
        </w:rPr>
        <w:t xml:space="preserve">הדבר עשוי להשפיע על העונש שיושת עליו ולאבחנו משותפו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tl w:val="true"/>
        </w:rPr>
        <w:t xml:space="preserve">: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6958/18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מצלאח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22.1.2020</w:t>
      </w:r>
      <w:r>
        <w:rPr>
          <w:rtl w:val="true"/>
        </w:rPr>
        <w:t xml:space="preserve">);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9937/01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חורב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נח</w:t>
      </w:r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 </w:t>
      </w:r>
      <w:r>
        <w:rPr/>
        <w:t>738</w:t>
      </w:r>
      <w:r>
        <w:rPr>
          <w:rtl w:val="true"/>
        </w:rPr>
        <w:t xml:space="preserve">, </w:t>
      </w:r>
      <w:r>
        <w:rPr/>
        <w:t>752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חורב</w:t>
      </w:r>
      <w:r>
        <w:rPr>
          <w:rtl w:val="true"/>
        </w:rPr>
        <w:t xml:space="preserve">)).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 xml:space="preserve">לא מצאתי בסיס לטענת משיב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עקרון אחידות הענישה לא נעלם מעיניו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והובא בחשבון בגזירת עונשו</w:t>
      </w:r>
      <w:r>
        <w:rPr>
          <w:rtl w:val="true"/>
        </w:rPr>
        <w:t xml:space="preserve">. </w:t>
      </w:r>
      <w:r>
        <w:rPr>
          <w:rtl w:val="true"/>
        </w:rPr>
        <w:t xml:space="preserve">בהינתן שמשיב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הגה ויזם את אירוע השוד על רקע היכרותו המוקדמת עם המתלונן</w:t>
      </w:r>
      <w:r>
        <w:rPr>
          <w:rtl w:val="true"/>
        </w:rPr>
        <w:t xml:space="preserve">, </w:t>
      </w:r>
      <w:r>
        <w:rPr>
          <w:rtl w:val="true"/>
        </w:rPr>
        <w:t xml:space="preserve">והוא זה שפנה למשיב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לצורך ביצועו</w:t>
      </w:r>
      <w:r>
        <w:rPr>
          <w:rtl w:val="true"/>
        </w:rPr>
        <w:t xml:space="preserve">; </w:t>
      </w:r>
      <w:r>
        <w:rPr>
          <w:rtl w:val="true"/>
        </w:rPr>
        <w:t xml:space="preserve">ולכך שמשיב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הודה במעשיו בטרם שמיעת הוכחות</w:t>
      </w:r>
      <w:r>
        <w:rPr>
          <w:rtl w:val="true"/>
        </w:rPr>
        <w:t xml:space="preserve">, </w:t>
      </w:r>
      <w:r>
        <w:rPr>
          <w:rtl w:val="true"/>
        </w:rPr>
        <w:t xml:space="preserve">ובכך חסך זמן שיפוטי לעומת משיב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 xml:space="preserve">איני סבור כי שגה בית המשפט המחוזי משמצא להחמיר עם עונשו של 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ביחס לעונשו של משיב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עוגן נוסף להבחנה בין השניים</w:t>
      </w:r>
      <w:r>
        <w:rPr>
          <w:rtl w:val="true"/>
        </w:rPr>
        <w:t xml:space="preserve">, </w:t>
      </w:r>
      <w:r>
        <w:rPr>
          <w:rtl w:val="true"/>
        </w:rPr>
        <w:t xml:space="preserve">נעוץ במצבו הקוגניטיבי והנפשי של 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אשר נלקח גם כן בחשבון </w:t>
      </w:r>
      <w:r>
        <w:rPr>
          <w:rtl w:val="true"/>
        </w:rPr>
        <w:t>(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6876/17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אזולאי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20.4.2020</w:t>
      </w:r>
      <w:r>
        <w:rPr>
          <w:rtl w:val="true"/>
        </w:rPr>
        <w:t xml:space="preserve">);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4536/21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4.11.2021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אוסיף בהקשר זה כי לא מצאתי לקבל את טענת 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לפיה מיוחסת לו מידה פחותה של אלימות מזו המיוחסת למשיב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מדובר במעשה שוד אלים ואכזרי</w:t>
      </w:r>
      <w:r>
        <w:rPr>
          <w:rtl w:val="true"/>
        </w:rPr>
        <w:t xml:space="preserve">. </w:t>
      </w:r>
      <w:r>
        <w:rPr>
          <w:rtl w:val="true"/>
        </w:rPr>
        <w:t xml:space="preserve">המשיבים קשרו ביניהם קשר על מנת להיכנס בתואנת שווא לביתו של קשיש כבן </w:t>
      </w:r>
      <w:r>
        <w:rPr/>
        <w:t>73</w:t>
      </w:r>
      <w:r>
        <w:rPr>
          <w:rtl w:val="true"/>
        </w:rPr>
        <w:t xml:space="preserve"> </w:t>
      </w:r>
      <w:r>
        <w:rPr>
          <w:rtl w:val="true"/>
        </w:rPr>
        <w:t>להכותו וליטול את רכושו</w:t>
      </w:r>
      <w:r>
        <w:rPr>
          <w:rtl w:val="true"/>
        </w:rPr>
        <w:t xml:space="preserve">. </w:t>
      </w:r>
      <w:r>
        <w:rPr>
          <w:rtl w:val="true"/>
        </w:rPr>
        <w:t>המשיבים בחרו בקורבנם בשל חולשתו ופגיעתו</w:t>
      </w:r>
      <w:r>
        <w:rPr>
          <w:rtl w:val="true"/>
        </w:rPr>
        <w:t xml:space="preserve">, </w:t>
      </w:r>
      <w:r>
        <w:rPr>
          <w:rtl w:val="true"/>
        </w:rPr>
        <w:t>כך שהמעשה לא היה בגדר הזדמנות שנקלעה לדרכם</w:t>
      </w:r>
      <w:r>
        <w:rPr>
          <w:rtl w:val="true"/>
        </w:rPr>
        <w:t xml:space="preserve">, </w:t>
      </w:r>
      <w:r>
        <w:rPr>
          <w:rtl w:val="true"/>
        </w:rPr>
        <w:t>אלא פרי תכנון מוקדם תוך הולכתו שולל כי הם מעוניינים להגיע לצימר שבבעלותו</w:t>
      </w:r>
      <w:r>
        <w:rPr>
          <w:rtl w:val="true"/>
        </w:rPr>
        <w:t xml:space="preserve">. </w:t>
      </w:r>
      <w:r>
        <w:rPr>
          <w:rtl w:val="true"/>
        </w:rPr>
        <w:t>השניים נקטו כלפי המתלונן באלימות קשה</w:t>
      </w:r>
      <w:r>
        <w:rPr>
          <w:rtl w:val="true"/>
        </w:rPr>
        <w:t xml:space="preserve">, </w:t>
      </w:r>
      <w:r>
        <w:rPr>
          <w:rtl w:val="true"/>
        </w:rPr>
        <w:t>כפתו את ידיו וגופו</w:t>
      </w:r>
      <w:r>
        <w:rPr>
          <w:rtl w:val="true"/>
        </w:rPr>
        <w:t xml:space="preserve">, </w:t>
      </w:r>
      <w:r>
        <w:rPr>
          <w:rtl w:val="true"/>
        </w:rPr>
        <w:t>כיסו את פניו במגבת על מנת למנוע ממנו לזעוק לעזרה וגרמו לו לחבלות שונות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בין אם רק 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התנפל על המתלונן בפתחו את דלת ביתו </w:t>
      </w:r>
      <w:r>
        <w:rPr>
          <w:rtl w:val="true"/>
        </w:rPr>
        <w:t>(</w:t>
      </w:r>
      <w:r>
        <w:rPr>
          <w:rtl w:val="true"/>
        </w:rPr>
        <w:t xml:space="preserve">כפי שפורט בכתב האישום בעניינו של משיב 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 xml:space="preserve">ובין אם שניהם </w:t>
      </w:r>
      <w:r>
        <w:rPr>
          <w:rtl w:val="true"/>
        </w:rPr>
        <w:t>(</w:t>
      </w:r>
      <w:r>
        <w:rPr>
          <w:rtl w:val="true"/>
        </w:rPr>
        <w:t xml:space="preserve">כפי שפורט בכתב האישום בעניינו של משיב 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לשניהם מיוחסים מעשי אלימות קשים כלפי המתלונן</w:t>
      </w:r>
      <w:r>
        <w:rPr>
          <w:rtl w:val="true"/>
        </w:rPr>
        <w:t xml:space="preserve">. </w:t>
      </w:r>
      <w:r>
        <w:rPr>
          <w:rtl w:val="true"/>
        </w:rPr>
        <w:t>שניהם נטלו חלק פעיל בשוד ו</w:t>
      </w:r>
      <w:r>
        <w:rPr>
          <w:rFonts w:ascii="Century" w:hAnsi="Century" w:cs="Century"/>
          <w:b/>
          <w:b/>
          <w:spacing w:val="0"/>
          <w:sz w:val="22"/>
          <w:sz w:val="22"/>
          <w:rtl w:val="true"/>
        </w:rPr>
        <w:t>שניהם</w:t>
      </w:r>
      <w:r>
        <w:rPr>
          <w:rtl w:val="true"/>
        </w:rPr>
        <w:t xml:space="preserve"> ביצעו פעולות חמורות המצויות בליבת מעשה השוד</w:t>
      </w:r>
      <w:r>
        <w:rPr>
          <w:rtl w:val="true"/>
        </w:rPr>
        <w:t xml:space="preserve">. </w:t>
      </w:r>
      <w:r>
        <w:rPr>
          <w:rtl w:val="true"/>
        </w:rPr>
        <w:t xml:space="preserve">לא מצאתי אפוא לקבל את טענת 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כי בית המשפט החמיר עמו שלא כהוגן ביחס לעונש שהושת על משיב </w:t>
      </w:r>
      <w:r>
        <w:rPr/>
        <w:t>1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מצאתי כי יש ממש בטענות המדינה בערעוריה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 xml:space="preserve">ככלל ערכאת הערעור לא תתערב בעונש שהטילה הערכאה הדיונית אלא במקרים חריגים בהם נפלה טעות מהותית או כאשר ניכרת סטייה ברורה ממדיניות הענישה הנוהגת </w:t>
      </w:r>
      <w:r>
        <w:rPr>
          <w:rtl w:val="true"/>
        </w:rPr>
        <w:t>(</w:t>
      </w:r>
      <w:r>
        <w:rPr>
          <w:rtl w:val="true"/>
        </w:rPr>
        <w:t>ראו לאחרונה</w:t>
      </w:r>
      <w:r>
        <w:rPr>
          <w:rtl w:val="true"/>
        </w:rPr>
        <w:t xml:space="preserve">: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4707/20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7.2.2022</w:t>
      </w:r>
      <w:r>
        <w:rPr>
          <w:rtl w:val="true"/>
        </w:rPr>
        <w:t xml:space="preserve">);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8320/21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בסילה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28.12.2021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בסילה</w:t>
      </w:r>
      <w:r>
        <w:rPr>
          <w:rtl w:val="true"/>
        </w:rPr>
        <w:t xml:space="preserve">)). </w:t>
      </w:r>
      <w:r>
        <w:rPr>
          <w:rtl w:val="true"/>
        </w:rPr>
        <w:t>אולם סבורני כי במקרה זה הקל בית המשפט המחוזי עם המשיבים יתר על המידה באופן המצדיק את התערבותנו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בית משפט זה עמד לא אחת על חומרתן של עבירות שוד שקורבנותיהן קשישים ועל הצורך בענישה ממשית ומרתיעה</w:t>
      </w:r>
      <w:r>
        <w:rPr>
          <w:rtl w:val="true"/>
        </w:rPr>
        <w:t xml:space="preserve">. </w:t>
      </w:r>
      <w:r>
        <w:rPr>
          <w:rtl w:val="true"/>
        </w:rPr>
        <w:t>יפים לעניין זה דברי בית המשפט ב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3307/08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טועמי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4.3.2009</w:t>
      </w:r>
      <w:r>
        <w:rPr>
          <w:rtl w:val="true"/>
        </w:rPr>
        <w:t xml:space="preserve">): 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קשישים</w:t>
      </w:r>
      <w:r>
        <w:rPr>
          <w:rtl w:val="true"/>
        </w:rPr>
        <w:t xml:space="preserve">, </w:t>
      </w:r>
      <w:r>
        <w:rPr>
          <w:rtl w:val="true"/>
        </w:rPr>
        <w:t>הינן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משורש</w:t>
      </w:r>
      <w:r>
        <w:rPr>
          <w:rtl w:val="true"/>
        </w:rPr>
        <w:t xml:space="preserve">. </w:t>
      </w:r>
      <w:r>
        <w:rPr>
          <w:rtl w:val="true"/>
        </w:rPr>
        <w:t>הפניה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לאוכלוסייה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חלשה</w:t>
      </w:r>
      <w:r>
        <w:rPr>
          <w:rtl w:val="true"/>
        </w:rPr>
        <w:t xml:space="preserve">, </w:t>
      </w:r>
      <w:r>
        <w:rPr>
          <w:rtl w:val="true"/>
        </w:rPr>
        <w:t>אוכלוסיית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הקשישים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אוכלוסייה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משקפת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ומגלמת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אכזריות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".</w:t>
      </w:r>
      <w:r>
        <w:rPr>
          <w:rFonts w:cs="Garamond" w:ascii="Garamond" w:hAnsi="Garamond"/>
          <w:sz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1041/14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5.10.2014</w:t>
      </w:r>
      <w:r>
        <w:rPr>
          <w:rtl w:val="true"/>
        </w:rPr>
        <w:t>):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גניבה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המכוונות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נבזות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, </w:t>
      </w:r>
      <w:r>
        <w:rPr>
          <w:rtl w:val="true"/>
        </w:rPr>
        <w:t>המצדיקה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>" 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16</w:t>
      </w:r>
      <w:r>
        <w:rPr>
          <w:rtl w:val="true"/>
        </w:rPr>
        <w:t>).</w:t>
      </w:r>
    </w:p>
    <w:p>
      <w:pPr>
        <w:pStyle w:val="Ruller5"/>
        <w:spacing w:lineRule="auto" w:line="360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לעקרונות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וההרתעה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8788/08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זיאד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7.4.2011</w:t>
      </w:r>
      <w:r>
        <w:rPr>
          <w:rtl w:val="true"/>
        </w:rPr>
        <w:t xml:space="preserve">);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2471/21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ערישה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16.1.2022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 xml:space="preserve">ניכר כי העונש שהוטל על כל אחד מהמשיבים סוטה באופן משמעותי ממדיניות הענישה הנוהגת במקרים דומים </w:t>
      </w:r>
      <w:r>
        <w:rPr>
          <w:rtl w:val="true"/>
        </w:rPr>
        <w:t>(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1985/20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קוגן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22.4.2021</w:t>
      </w:r>
      <w:r>
        <w:rPr>
          <w:rtl w:val="true"/>
        </w:rPr>
        <w:t xml:space="preserve">);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5642/20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סובח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6.1.2021</w:t>
      </w:r>
      <w:r>
        <w:rPr>
          <w:rtl w:val="true"/>
        </w:rPr>
        <w:t xml:space="preserve">);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8614/17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3.3.2019</w:t>
      </w:r>
      <w:r>
        <w:rPr>
          <w:rtl w:val="true"/>
        </w:rPr>
        <w:t xml:space="preserve">);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8515/17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24.10.2018</w:t>
      </w:r>
      <w:r>
        <w:rPr>
          <w:rtl w:val="true"/>
        </w:rPr>
        <w:t xml:space="preserve">);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5611/14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עוואד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8.5.2016</w:t>
      </w:r>
      <w:r>
        <w:rPr>
          <w:rtl w:val="true"/>
        </w:rPr>
        <w:t xml:space="preserve">);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5974/15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אבקסיס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10.8.2016</w:t>
      </w:r>
      <w:r>
        <w:rPr>
          <w:rtl w:val="true"/>
        </w:rPr>
        <w:t xml:space="preserve">);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4921/11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דלאשה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9.7.2012</w:t>
      </w:r>
      <w:r>
        <w:rPr>
          <w:rtl w:val="true"/>
        </w:rPr>
        <w:t xml:space="preserve">);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1354/14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טממיאן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22.12.2014</w:t>
      </w:r>
      <w:r>
        <w:rPr>
          <w:rtl w:val="true"/>
        </w:rPr>
        <w:t xml:space="preserve">);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2163/05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12.12.2005</w:t>
      </w:r>
      <w:r>
        <w:rPr>
          <w:rtl w:val="true"/>
        </w:rPr>
        <w:t>))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ענייננו במעשים הנמצאים ברף הגבוה של עבירת השוד</w:t>
      </w:r>
      <w:r>
        <w:rPr>
          <w:rtl w:val="true"/>
        </w:rPr>
        <w:t xml:space="preserve">. </w:t>
      </w:r>
      <w:r>
        <w:rPr>
          <w:rtl w:val="true"/>
        </w:rPr>
        <w:t>הענישה במקרים כאלו צריכה לשקף את ההגנה המתבקשת על כבודם</w:t>
      </w:r>
      <w:r>
        <w:rPr>
          <w:rtl w:val="true"/>
        </w:rPr>
        <w:t xml:space="preserve">, </w:t>
      </w:r>
      <w:r>
        <w:rPr>
          <w:rtl w:val="true"/>
        </w:rPr>
        <w:t xml:space="preserve">גופם וקניינם של קשישים אשר מהווים </w:t>
      </w:r>
      <w:r>
        <w:rPr>
          <w:rtl w:val="true"/>
        </w:rPr>
        <w:t>"</w:t>
      </w:r>
      <w:r>
        <w:rPr>
          <w:rtl w:val="true"/>
        </w:rPr>
        <w:t>טרף קל</w:t>
      </w:r>
      <w:r>
        <w:rPr>
          <w:rtl w:val="true"/>
        </w:rPr>
        <w:t xml:space="preserve">" </w:t>
      </w:r>
      <w:r>
        <w:rPr>
          <w:rtl w:val="true"/>
        </w:rPr>
        <w:t>למעשי בריונות</w:t>
      </w:r>
      <w:r>
        <w:rPr>
          <w:rtl w:val="true"/>
        </w:rPr>
        <w:t xml:space="preserve">. </w:t>
      </w:r>
      <w:r>
        <w:rPr>
          <w:rtl w:val="true"/>
        </w:rPr>
        <w:t>אין בנסיבותיהם המקלות של מי מהמשיבים</w:t>
      </w:r>
      <w:r>
        <w:rPr>
          <w:rtl w:val="true"/>
        </w:rPr>
        <w:t xml:space="preserve">, </w:t>
      </w:r>
      <w:r>
        <w:rPr>
          <w:rtl w:val="true"/>
        </w:rPr>
        <w:t>כל משיב ונסיבותיו</w:t>
      </w:r>
      <w:r>
        <w:rPr>
          <w:rtl w:val="true"/>
        </w:rPr>
        <w:t xml:space="preserve">, </w:t>
      </w:r>
      <w:r>
        <w:rPr>
          <w:rtl w:val="true"/>
        </w:rPr>
        <w:t>כדי לבכר את אלו על פני חומרת המעשים והנזקים שגרמו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לא למותר לציין כי גם תסקירי שירות המבחן שהוגשו לבית המשפט המחוזי בעניינם של המשיבים אינם מבשרים טובות</w:t>
      </w:r>
      <w:r>
        <w:rPr>
          <w:rtl w:val="true"/>
        </w:rPr>
        <w:t xml:space="preserve">, </w:t>
      </w:r>
      <w:r>
        <w:rPr>
          <w:rtl w:val="true"/>
        </w:rPr>
        <w:t>ויש בהם כדי ללמד על הצורך בהרתעת המשיבים מפני הישנות ביצוע עבירות</w:t>
      </w:r>
      <w:r>
        <w:rPr>
          <w:rtl w:val="true"/>
        </w:rPr>
        <w:t xml:space="preserve">. </w:t>
      </w:r>
      <w:r>
        <w:rPr>
          <w:rtl w:val="true"/>
        </w:rPr>
        <w:t xml:space="preserve">באשר למשיב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צוין כי הוא בעל נטייה לאימפולסיביות וסף תסכול נמוך אשר עשויים להתבטא באלימות</w:t>
      </w:r>
      <w:r>
        <w:rPr>
          <w:rtl w:val="true"/>
        </w:rPr>
        <w:t xml:space="preserve">; </w:t>
      </w:r>
      <w:r>
        <w:rPr>
          <w:rtl w:val="true"/>
        </w:rPr>
        <w:t>כי הוא מטשטש מחלקו בעבירות המיוחסות לו וכי הוא מסרב להליך טיפולי</w:t>
      </w:r>
      <w:r>
        <w:rPr>
          <w:rtl w:val="true"/>
        </w:rPr>
        <w:t xml:space="preserve">. </w:t>
      </w:r>
      <w:r>
        <w:rPr>
          <w:rtl w:val="true"/>
        </w:rPr>
        <w:t xml:space="preserve">מהתסקיר בעניינו של 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עולה כי הוא מתקשה לקחת אחריות על מעשיו ויוחסה לו לקיחת אחריות </w:t>
      </w:r>
      <w:r>
        <w:rPr>
          <w:rtl w:val="true"/>
        </w:rPr>
        <w:t>"</w:t>
      </w:r>
      <w:r>
        <w:rPr>
          <w:rtl w:val="true"/>
        </w:rPr>
        <w:t>פורמאלית</w:t>
      </w:r>
      <w:r>
        <w:rPr>
          <w:rtl w:val="true"/>
        </w:rPr>
        <w:t xml:space="preserve">" </w:t>
      </w:r>
      <w:r>
        <w:rPr>
          <w:rtl w:val="true"/>
        </w:rPr>
        <w:t>בלבד</w:t>
      </w:r>
      <w:r>
        <w:rPr>
          <w:rtl w:val="true"/>
        </w:rPr>
        <w:t xml:space="preserve">; </w:t>
      </w:r>
      <w:r>
        <w:rPr>
          <w:rtl w:val="true"/>
        </w:rPr>
        <w:t>כי הוא ממזער את חלקו בביצוע העבירות</w:t>
      </w:r>
      <w:r>
        <w:rPr>
          <w:rtl w:val="true"/>
        </w:rPr>
        <w:t xml:space="preserve">; </w:t>
      </w:r>
      <w:r>
        <w:rPr>
          <w:rtl w:val="true"/>
        </w:rPr>
        <w:t xml:space="preserve">וכי הוא מנסה להציג </w:t>
      </w:r>
      <w:r>
        <w:rPr>
          <w:rtl w:val="true"/>
        </w:rPr>
        <w:t>"</w:t>
      </w:r>
      <w:r>
        <w:rPr>
          <w:rtl w:val="true"/>
        </w:rPr>
        <w:t>פסאדה</w:t>
      </w:r>
      <w:r>
        <w:rPr>
          <w:rtl w:val="true"/>
        </w:rPr>
        <w:t xml:space="preserve">" </w:t>
      </w:r>
      <w:r>
        <w:rPr>
          <w:rtl w:val="true"/>
        </w:rPr>
        <w:t>חיובית אודות עצמו</w:t>
      </w:r>
      <w:r>
        <w:rPr>
          <w:rtl w:val="true"/>
        </w:rPr>
        <w:t xml:space="preserve">. </w:t>
      </w:r>
      <w:r>
        <w:rPr>
          <w:rtl w:val="true"/>
        </w:rPr>
        <w:t>כן נקבע כי קיים סיכון גבוה להישנות מעשה עבירה מצדו</w:t>
      </w:r>
      <w:r>
        <w:rPr>
          <w:rtl w:val="true"/>
        </w:rPr>
        <w:t xml:space="preserve">. </w:t>
      </w:r>
      <w:r>
        <w:rPr>
          <w:rtl w:val="true"/>
        </w:rPr>
        <w:t>גם בתסקירים המשלימים שהוגשו לבית משפט זה אין כדי לשנות באופן משמעותי מהאמור</w:t>
      </w:r>
      <w:r>
        <w:rPr>
          <w:rtl w:val="true"/>
        </w:rPr>
        <w:t xml:space="preserve">. </w:t>
      </w:r>
      <w:r>
        <w:rPr>
          <w:rtl w:val="true"/>
        </w:rPr>
        <w:t xml:space="preserve">בהקשר זה אציין כי לא מצאתי להידרש לטענת 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באשר לייחוס </w:t>
      </w:r>
      <w:r>
        <w:rPr>
          <w:rtl w:val="true"/>
        </w:rPr>
        <w:t>"</w:t>
      </w:r>
      <w:r>
        <w:rPr>
          <w:rtl w:val="true"/>
        </w:rPr>
        <w:t>אחריות פורמאלית</w:t>
      </w:r>
      <w:r>
        <w:rPr>
          <w:rtl w:val="true"/>
        </w:rPr>
        <w:t xml:space="preserve">" </w:t>
      </w:r>
      <w:r>
        <w:rPr>
          <w:rtl w:val="true"/>
        </w:rPr>
        <w:t>למעשיו מטעם גורמי שירות המבחן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על כן יש להחמיר בעונשם של שני המשיבים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לא מצאתי לקבל את ערעור המדינה באשר לרכיב הפיצוי</w:t>
      </w:r>
      <w:r>
        <w:rPr>
          <w:rtl w:val="true"/>
        </w:rPr>
        <w:t xml:space="preserve">, </w:t>
      </w:r>
      <w:r>
        <w:rPr>
          <w:rtl w:val="true"/>
        </w:rPr>
        <w:t>הגם כי מדובר בפיצוי בשיעור נמוך יחסית</w:t>
      </w:r>
      <w:r>
        <w:rPr>
          <w:rtl w:val="true"/>
        </w:rPr>
        <w:t xml:space="preserve">, </w:t>
      </w:r>
      <w:r>
        <w:rPr>
          <w:rtl w:val="true"/>
        </w:rPr>
        <w:t xml:space="preserve">משאין מדובר בסטייה קיצונית משיעור הפיצוי הראוי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3116/13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קבלאן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15.102013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נוכח האמור</w:t>
      </w:r>
      <w:r>
        <w:rPr>
          <w:rtl w:val="true"/>
        </w:rPr>
        <w:t xml:space="preserve">, </w:t>
      </w:r>
      <w:r>
        <w:rPr>
          <w:rtl w:val="true"/>
        </w:rPr>
        <w:t>ובהתחשב בעקרון שלפיו ערכאת הערעור אינה ממצה את מלוא חומרת הדין</w:t>
      </w:r>
      <w:r>
        <w:rPr>
          <w:rtl w:val="true"/>
        </w:rPr>
        <w:t xml:space="preserve">, </w:t>
      </w:r>
      <w:r>
        <w:rPr>
          <w:rtl w:val="true"/>
        </w:rPr>
        <w:t>אמליץ לחבריי לקבל את ערעורי המדינה ולהחמיר בעונשיהם של שני המשיבים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תוך אימוץ מדרג הענישה ביניהם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 xml:space="preserve">יש להעמיד את עונש המאסר בפועל של 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על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ואת עונש המאסר בפועל של 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על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יתר רכיבי גזר הדין יעמדו בעינם</w:t>
      </w:r>
      <w:r>
        <w:rPr>
          <w:rtl w:val="true"/>
        </w:rPr>
        <w:t xml:space="preserve">, </w:t>
      </w:r>
      <w:r>
        <w:rPr>
          <w:rtl w:val="true"/>
        </w:rPr>
        <w:t>ובכללם כאמור שיעור הפיצוי לטובת המתלונן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סולברג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וילנר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מינץ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bookmarkStart w:id="19" w:name="Nitan"/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ו</w:t>
      </w:r>
      <w:r>
        <w:rPr>
          <w:rtl w:val="true"/>
        </w:rPr>
        <w:t xml:space="preserve">' </w:t>
      </w:r>
      <w:r>
        <w:rPr>
          <w:rtl w:val="true"/>
        </w:rPr>
        <w:t>בניסן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7.4.2022</w:t>
      </w:r>
      <w:r>
        <w:rPr>
          <w:rtl w:val="true"/>
        </w:rPr>
        <w:t xml:space="preserve">). </w:t>
      </w:r>
      <w:bookmarkEnd w:id="1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21072690</w:t>
      </w:r>
      <w:r>
        <w:rPr>
          <w:sz w:val="16"/>
          <w:rtl w:val="true"/>
        </w:rPr>
        <w:t>_</w:t>
      </w:r>
      <w:r>
        <w:rPr>
          <w:sz w:val="16"/>
        </w:rPr>
        <w:t>N11.docx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רח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7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54678313-7269/21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9"/>
      <w:footerReference w:type="default" r:id="rId4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7269/21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מאהר גבריל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verflowPunct w:val="true"/>
      <w:spacing w:before="240" w:after="60"/>
      <w:textAlignment w:val="auto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3">
    <w:name w:val=" Char Char3"/>
    <w:qFormat/>
    <w:rPr>
      <w:rFonts w:ascii="Arial" w:hAnsi="Arial" w:cs="Arial"/>
      <w:b/>
      <w:bCs/>
      <w:kern w:val="2"/>
      <w:sz w:val="32"/>
      <w:szCs w:val="32"/>
    </w:rPr>
  </w:style>
  <w:style w:type="character" w:styleId="Ruller4">
    <w:name w:val="Ruller 4 ממוספר תו"/>
    <w:qFormat/>
    <w:rPr>
      <w:rFonts w:ascii="Garamond" w:hAnsi="Garamond" w:cs="FrankRuehl"/>
      <w:spacing w:val="10"/>
      <w:sz w:val="24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311">
    <w:name w:val="ruller 31"/>
    <w:basedOn w:val="Normal"/>
    <w:qFormat/>
    <w:pPr>
      <w:overflowPunct w:val="true"/>
      <w:textAlignment w:val="auto"/>
    </w:pPr>
    <w:rPr>
      <w:sz w:val="22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2"/>
      </w:numPr>
    </w:pPr>
    <w:rPr>
      <w:rFonts w:ascii="Garamond" w:hAnsi="Garamond" w:cs="Garamond"/>
      <w:sz w:val="24"/>
    </w:rPr>
  </w:style>
  <w:style w:type="paragraph" w:styleId="Style13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8507961" TargetMode="External"/><Relationship Id="rId3" Type="http://schemas.openxmlformats.org/officeDocument/2006/relationships/hyperlink" Target="http://www.nevo.co.il/case/27195604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402.b" TargetMode="External"/><Relationship Id="rId6" Type="http://schemas.openxmlformats.org/officeDocument/2006/relationships/hyperlink" Target="http://www.nevo.co.il/law/70301/499.a.1" TargetMode="External"/><Relationship Id="rId7" Type="http://schemas.openxmlformats.org/officeDocument/2006/relationships/hyperlink" Target="http://www.nevo.co.il/law/90721" TargetMode="External"/><Relationship Id="rId8" Type="http://schemas.openxmlformats.org/officeDocument/2006/relationships/hyperlink" Target="http://www.nevo.co.il/law/90721/12.1" TargetMode="External"/><Relationship Id="rId9" Type="http://schemas.openxmlformats.org/officeDocument/2006/relationships/hyperlink" Target="http://www.nevo.co.il/case/28507961" TargetMode="External"/><Relationship Id="rId10" Type="http://schemas.openxmlformats.org/officeDocument/2006/relationships/hyperlink" Target="http://www.nevo.co.il/case/27195604" TargetMode="External"/><Relationship Id="rId11" Type="http://schemas.openxmlformats.org/officeDocument/2006/relationships/hyperlink" Target="http://www.nevo.co.il/law/70301/402.b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499.a.1" TargetMode="External"/><Relationship Id="rId14" Type="http://schemas.openxmlformats.org/officeDocument/2006/relationships/hyperlink" Target="http://www.nevo.co.il/law/90721/12.1" TargetMode="External"/><Relationship Id="rId15" Type="http://schemas.openxmlformats.org/officeDocument/2006/relationships/hyperlink" Target="http://www.nevo.co.il/law/90721" TargetMode="External"/><Relationship Id="rId16" Type="http://schemas.openxmlformats.org/officeDocument/2006/relationships/hyperlink" Target="http://www.nevo.co.il/case/7697315" TargetMode="External"/><Relationship Id="rId17" Type="http://schemas.openxmlformats.org/officeDocument/2006/relationships/hyperlink" Target="http://www.nevo.co.il/case/25029385" TargetMode="External"/><Relationship Id="rId18" Type="http://schemas.openxmlformats.org/officeDocument/2006/relationships/hyperlink" Target="http://www.nevo.co.il/case/5701742" TargetMode="External"/><Relationship Id="rId19" Type="http://schemas.openxmlformats.org/officeDocument/2006/relationships/hyperlink" Target="http://www.nevo.co.il/case/22961879" TargetMode="External"/><Relationship Id="rId20" Type="http://schemas.openxmlformats.org/officeDocument/2006/relationships/hyperlink" Target="http://www.nevo.co.il/case/27742715" TargetMode="External"/><Relationship Id="rId21" Type="http://schemas.openxmlformats.org/officeDocument/2006/relationships/hyperlink" Target="http://www.nevo.co.il/case/26830322" TargetMode="External"/><Relationship Id="rId22" Type="http://schemas.openxmlformats.org/officeDocument/2006/relationships/hyperlink" Target="http://www.nevo.co.il/case/28152132" TargetMode="External"/><Relationship Id="rId23" Type="http://schemas.openxmlformats.org/officeDocument/2006/relationships/hyperlink" Target="http://www.nevo.co.il/case/5887913" TargetMode="External"/><Relationship Id="rId24" Type="http://schemas.openxmlformats.org/officeDocument/2006/relationships/hyperlink" Target="http://www.nevo.co.il/case/13083699" TargetMode="External"/><Relationship Id="rId25" Type="http://schemas.openxmlformats.org/officeDocument/2006/relationships/hyperlink" Target="http://www.nevo.co.il/case/5765615" TargetMode="External"/><Relationship Id="rId26" Type="http://schemas.openxmlformats.org/officeDocument/2006/relationships/hyperlink" Target="http://www.nevo.co.il/case/27535102" TargetMode="External"/><Relationship Id="rId27" Type="http://schemas.openxmlformats.org/officeDocument/2006/relationships/hyperlink" Target="http://www.nevo.co.il/case/26541521" TargetMode="External"/><Relationship Id="rId28" Type="http://schemas.openxmlformats.org/officeDocument/2006/relationships/hyperlink" Target="http://www.nevo.co.il/case/26916461" TargetMode="External"/><Relationship Id="rId29" Type="http://schemas.openxmlformats.org/officeDocument/2006/relationships/hyperlink" Target="http://www.nevo.co.il/case/25421861" TargetMode="External"/><Relationship Id="rId30" Type="http://schemas.openxmlformats.org/officeDocument/2006/relationships/hyperlink" Target="http://www.nevo.co.il/case/23354506" TargetMode="External"/><Relationship Id="rId31" Type="http://schemas.openxmlformats.org/officeDocument/2006/relationships/hyperlink" Target="http://www.nevo.co.il/case/17954283" TargetMode="External"/><Relationship Id="rId32" Type="http://schemas.openxmlformats.org/officeDocument/2006/relationships/hyperlink" Target="http://www.nevo.co.il/case/21472952" TargetMode="External"/><Relationship Id="rId33" Type="http://schemas.openxmlformats.org/officeDocument/2006/relationships/hyperlink" Target="http://www.nevo.co.il/case/5593885" TargetMode="External"/><Relationship Id="rId34" Type="http://schemas.openxmlformats.org/officeDocument/2006/relationships/hyperlink" Target="http://www.nevo.co.il/case/12353996" TargetMode="External"/><Relationship Id="rId35" Type="http://schemas.openxmlformats.org/officeDocument/2006/relationships/hyperlink" Target="http://www.nevo.co.il/case/5815848" TargetMode="External"/><Relationship Id="rId36" Type="http://schemas.openxmlformats.org/officeDocument/2006/relationships/hyperlink" Target="http://www.nevo.co.il/case/6959068" TargetMode="External"/><Relationship Id="rId37" Type="http://schemas.openxmlformats.org/officeDocument/2006/relationships/hyperlink" Target="https://supreme.court.gov.il/" TargetMode="External"/><Relationship Id="rId38" Type="http://schemas.openxmlformats.org/officeDocument/2006/relationships/hyperlink" Target="http://www.nevo.co.il/advertisements/nevo-100.doc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2022-04-10T06:24:00Z</dcterms:created>
  <dc:creator>h4</dc:creator>
  <dc:description/>
  <cp:keywords/>
  <dc:language>en-IL</dc:language>
  <cp:lastModifiedBy>orly</cp:lastModifiedBy>
  <cp:lastPrinted>2022-04-07T11:17:00Z</cp:lastPrinted>
  <dcterms:modified xsi:type="dcterms:W3CDTF">2022-04-10T06:24:00Z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מאהר גבריל;נאדר טרוה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28507961:2;27195604:2;7697315;25029385;5701742;22961879;27742715;26830322;28152132;5887913;13083699;5765615;27535102;26541521;26916461;25421861;23354506;17954283;21472952;5593885;12353996;5815848;6959068</vt:lpwstr>
  </property>
  <property fmtid="{D5CDD505-2E9C-101B-9397-08002B2CF9AE}" pid="9" name="CITY">
    <vt:lpwstr/>
  </property>
  <property fmtid="{D5CDD505-2E9C-101B-9397-08002B2CF9AE}" pid="10" name="DATE">
    <vt:lpwstr>20220407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סולברג;ד' מינץ;י' וילנר</vt:lpwstr>
  </property>
  <property fmtid="{D5CDD505-2E9C-101B-9397-08002B2CF9AE}" pid="14" name="LAWLISTTMP1">
    <vt:lpwstr>70301/402.b;499.a.1</vt:lpwstr>
  </property>
  <property fmtid="{D5CDD505-2E9C-101B-9397-08002B2CF9AE}" pid="15" name="LAWLISTTMP2">
    <vt:lpwstr>90721/012.1</vt:lpwstr>
  </property>
  <property fmtid="{D5CDD505-2E9C-101B-9397-08002B2CF9AE}" pid="16" name="LAWYER">
    <vt:lpwstr>פאריס בריק;ספדי סעאדה;זיאד אבו סאלח;אופיר טישלר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נעה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>עונשין</vt:lpwstr>
  </property>
  <property fmtid="{D5CDD505-2E9C-101B-9397-08002B2CF9AE}" pid="33" name="NOSE16">
    <vt:lpwstr>עונשין</vt:lpwstr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77;77;77;77;77;77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ערעור</vt:lpwstr>
  </property>
  <property fmtid="{D5CDD505-2E9C-101B-9397-08002B2CF9AE}" pid="43" name="NOSE25">
    <vt:lpwstr>ענישה</vt:lpwstr>
  </property>
  <property fmtid="{D5CDD505-2E9C-101B-9397-08002B2CF9AE}" pid="44" name="NOSE26">
    <vt:lpwstr>ענישה</vt:lpwstr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1446;1446;1446;15235;1446;1446</vt:lpwstr>
  </property>
  <property fmtid="{D5CDD505-2E9C-101B-9397-08002B2CF9AE}" pid="49" name="NOSE31">
    <vt:lpwstr>מדיניות ענישה: עבירות נגד קשישים</vt:lpwstr>
  </property>
  <property fmtid="{D5CDD505-2E9C-101B-9397-08002B2CF9AE}" pid="50" name="NOSE310">
    <vt:lpwstr/>
  </property>
  <property fmtid="{D5CDD505-2E9C-101B-9397-08002B2CF9AE}" pid="51" name="NOSE32">
    <vt:lpwstr>אחדות הענישה</vt:lpwstr>
  </property>
  <property fmtid="{D5CDD505-2E9C-101B-9397-08002B2CF9AE}" pid="52" name="NOSE33">
    <vt:lpwstr>מדיניות ענישה: שוד</vt:lpwstr>
  </property>
  <property fmtid="{D5CDD505-2E9C-101B-9397-08002B2CF9AE}" pid="53" name="NOSE34">
    <vt:lpwstr>התערבות במידת העונש</vt:lpwstr>
  </property>
  <property fmtid="{D5CDD505-2E9C-101B-9397-08002B2CF9AE}" pid="54" name="NOSE35">
    <vt:lpwstr>מדיניות ענישה: התערבות ערכאת ערעור</vt:lpwstr>
  </property>
  <property fmtid="{D5CDD505-2E9C-101B-9397-08002B2CF9AE}" pid="55" name="NOSE36">
    <vt:lpwstr>מדיניות ענישה: שיקולים לחומרה</vt:lpwstr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14903;12547;15019;15236;8982;8995</vt:lpwstr>
  </property>
  <property fmtid="{D5CDD505-2E9C-101B-9397-08002B2CF9AE}" pid="60" name="PADIDATE">
    <vt:lpwstr>20220410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עפ;עפ;עפ</vt:lpwstr>
  </property>
  <property fmtid="{D5CDD505-2E9C-101B-9397-08002B2CF9AE}" pid="65" name="PROCNUM">
    <vt:lpwstr>7269;164;1162</vt:lpwstr>
  </property>
  <property fmtid="{D5CDD505-2E9C-101B-9397-08002B2CF9AE}" pid="66" name="PROCYEAR">
    <vt:lpwstr>21;22;22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410120220407</vt:lpwstr>
  </property>
  <property fmtid="{D5CDD505-2E9C-101B-9397-08002B2CF9AE}" pid="70" name="TYPE_N_DATE">
    <vt:lpwstr>41020220407</vt:lpwstr>
  </property>
  <property fmtid="{D5CDD505-2E9C-101B-9397-08002B2CF9AE}" pid="71" name="VOLUME">
    <vt:lpwstr/>
  </property>
  <property fmtid="{D5CDD505-2E9C-101B-9397-08002B2CF9AE}" pid="72" name="WORDNUMPAGES">
    <vt:lpwstr>12</vt:lpwstr>
  </property>
</Properties>
</file>