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7307/18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8178/18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7307/18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8178/18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01"/>
      </w:tblGrid>
      <w:tr>
        <w:trPr/>
        <w:tc>
          <w:tcPr>
            <w:tcW w:w="3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המשיב</w:t>
            </w:r>
            <w:r>
              <w:rPr>
                <w:sz w:val="22"/>
                <w:sz w:val="22"/>
                <w:szCs w:val="28"/>
                <w:rtl w:val="true"/>
              </w:rPr>
              <w:t>ה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Cs w:val="28"/>
              </w:rPr>
              <w:t>1</w:t>
            </w:r>
            <w:r>
              <w:rPr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ב</w:t>
            </w:r>
            <w:r>
              <w:rPr>
                <w:sz w:val="22"/>
                <w:sz w:val="22"/>
                <w:szCs w:val="28"/>
                <w:rtl w:val="true"/>
              </w:rPr>
              <w:t>ע</w:t>
            </w:r>
            <w:r>
              <w:rPr>
                <w:sz w:val="22"/>
                <w:szCs w:val="28"/>
                <w:rtl w:val="true"/>
              </w:rPr>
              <w:t>"</w:t>
            </w:r>
            <w:r>
              <w:rPr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Cs w:val="28"/>
              </w:rPr>
              <w:t>7307/18</w:t>
            </w:r>
            <w:r>
              <w:rPr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והמערערת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ב</w:t>
            </w:r>
            <w:r>
              <w:rPr>
                <w:sz w:val="22"/>
                <w:sz w:val="22"/>
                <w:szCs w:val="28"/>
                <w:rtl w:val="true"/>
              </w:rPr>
              <w:t>ע</w:t>
            </w:r>
            <w:r>
              <w:rPr>
                <w:sz w:val="22"/>
                <w:szCs w:val="28"/>
                <w:rtl w:val="true"/>
              </w:rPr>
              <w:t>"</w:t>
            </w:r>
            <w:r>
              <w:rPr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Cs w:val="28"/>
              </w:rPr>
              <w:t>8178/18</w:t>
            </w:r>
            <w:r>
              <w:rPr>
                <w:sz w:val="22"/>
                <w:szCs w:val="28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המשיב</w:t>
            </w:r>
            <w:r>
              <w:rPr>
                <w:sz w:val="22"/>
                <w:sz w:val="22"/>
                <w:szCs w:val="28"/>
                <w:rtl w:val="true"/>
              </w:rPr>
              <w:t>ה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Cs w:val="28"/>
              </w:rPr>
              <w:t>2</w:t>
            </w:r>
            <w:r>
              <w:rPr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ב</w:t>
            </w:r>
            <w:r>
              <w:rPr>
                <w:sz w:val="22"/>
                <w:sz w:val="22"/>
                <w:szCs w:val="28"/>
                <w:rtl w:val="true"/>
              </w:rPr>
              <w:t>ע</w:t>
            </w:r>
            <w:r>
              <w:rPr>
                <w:sz w:val="22"/>
                <w:szCs w:val="28"/>
                <w:rtl w:val="true"/>
              </w:rPr>
              <w:t>"</w:t>
            </w:r>
            <w:r>
              <w:rPr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Cs w:val="28"/>
              </w:rPr>
              <w:t>7307/18</w:t>
            </w:r>
            <w:r>
              <w:rPr>
                <w:sz w:val="22"/>
                <w:szCs w:val="28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9004-11-16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</w:t>
            </w:r>
            <w:r>
              <w:rPr>
                <w:sz w:val="24"/>
                <w:sz w:val="24"/>
                <w:szCs w:val="24"/>
                <w:rtl w:val="true"/>
              </w:rPr>
              <w:t>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Normal"/>
              <w:overflowPunct w:val="true"/>
              <w:ind w:end="0"/>
              <w:jc w:val="start"/>
              <w:textAlignment w:val="auto"/>
              <w:rPr>
                <w:sz w:val="22"/>
                <w:szCs w:val="28"/>
              </w:rPr>
            </w:pPr>
            <w:bookmarkStart w:id="4" w:name="lawyers_a_title"/>
            <w:bookmarkEnd w:id="4"/>
            <w:r>
              <w:rPr>
                <w:sz w:val="22"/>
                <w:sz w:val="22"/>
                <w:szCs w:val="28"/>
                <w:rtl w:val="true"/>
              </w:rPr>
              <w:t>ב</w:t>
            </w:r>
            <w:r>
              <w:rPr>
                <w:sz w:val="22"/>
                <w:sz w:val="22"/>
                <w:szCs w:val="28"/>
                <w:rtl w:val="true"/>
              </w:rPr>
              <w:t>שם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sz w:val="22"/>
                <w:szCs w:val="28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עו</w:t>
            </w:r>
            <w:r>
              <w:rPr>
                <w:sz w:val="22"/>
                <w:szCs w:val="28"/>
                <w:rtl w:val="true"/>
              </w:rPr>
              <w:t>"</w:t>
            </w:r>
            <w:r>
              <w:rPr>
                <w:sz w:val="22"/>
                <w:sz w:val="22"/>
                <w:szCs w:val="28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יחיאל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לאמש</w:t>
            </w:r>
            <w:r>
              <w:rPr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overflowPunct w:val="true"/>
        <w:ind w:end="0"/>
        <w:jc w:val="start"/>
        <w:textAlignment w:val="auto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overflowPunct w:val="true"/>
        <w:ind w:end="0"/>
        <w:jc w:val="start"/>
        <w:textAlignment w:val="auto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>
          <w:trHeight w:val="144" w:hRule="atLeast"/>
        </w:trPr>
        <w:tc>
          <w:tcPr>
            <w:tcW w:w="3186" w:type="dxa"/>
            <w:tcBorders/>
          </w:tcPr>
          <w:p>
            <w:pPr>
              <w:pStyle w:val="Normal"/>
              <w:overflowPunct w:val="true"/>
              <w:ind w:end="0"/>
              <w:jc w:val="start"/>
              <w:textAlignment w:val="auto"/>
              <w:rPr>
                <w:sz w:val="22"/>
                <w:szCs w:val="28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sz w:val="22"/>
                <w:sz w:val="22"/>
                <w:szCs w:val="28"/>
                <w:rtl w:val="true"/>
              </w:rPr>
              <w:t>בשם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המשיב</w:t>
            </w:r>
            <w:r>
              <w:rPr>
                <w:sz w:val="22"/>
                <w:sz w:val="22"/>
                <w:szCs w:val="28"/>
                <w:rtl w:val="true"/>
              </w:rPr>
              <w:t>ות</w:t>
            </w:r>
            <w:r>
              <w:rPr>
                <w:sz w:val="22"/>
                <w:szCs w:val="28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עו</w:t>
            </w:r>
            <w:r>
              <w:rPr>
                <w:sz w:val="22"/>
                <w:szCs w:val="28"/>
                <w:rtl w:val="true"/>
              </w:rPr>
              <w:t>"</w:t>
            </w:r>
            <w:r>
              <w:rPr>
                <w:sz w:val="22"/>
                <w:sz w:val="22"/>
                <w:szCs w:val="28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אפרת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גולדשטיין</w:t>
            </w:r>
            <w:r>
              <w:rPr>
                <w:rFonts w:cs="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351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351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bookmarkStart w:id="9" w:name="ABSTRACT_START"/>
      <w:bookmarkStart w:id="10" w:name="LawTable_End"/>
      <w:bookmarkEnd w:id="9"/>
      <w:bookmarkEnd w:id="10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ומהימנות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לאשמתו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8.5</w:t>
      </w:r>
      <w:r>
        <w:rPr>
          <w:rFonts w:cs="FrankRuehl;Times New Roman"/>
          <w:sz w:val="24"/>
          <w:szCs w:val="26"/>
          <w:rtl w:val="true"/>
        </w:rPr>
        <w:t xml:space="preserve">),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מהימנות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7307/18</w:t>
      </w:r>
      <w:r>
        <w:rPr>
          <w:rFonts w:cs="FrankRuehl;Times New Roman"/>
          <w:sz w:val="24"/>
          <w:szCs w:val="26"/>
          <w:rtl w:val="true"/>
        </w:rPr>
        <w:t xml:space="preserve"> (</w:t>
      </w:r>
      <w:r>
        <w:rPr>
          <w:rFonts w:cs="FrankRuehl;Times New Roman"/>
          <w:sz w:val="24"/>
          <w:sz w:val="24"/>
          <w:szCs w:val="26"/>
          <w:rtl w:val="true"/>
        </w:rPr>
        <w:t>להלן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18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7307/18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100,000</w:t>
      </w:r>
      <w:r>
        <w:rPr>
          <w:rFonts w:cs="FrankRuehl;Times New Roman"/>
          <w:sz w:val="24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וקרא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7307/18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8178/18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ומהימנות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מצומצמת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משכנעות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ומבוססות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כדבעי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הגבוהה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התווספו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לגרסתה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הפנימיים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והחיצוניים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לאשמתו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המשפחה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ילדה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ונערה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שראתה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אהבה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אמון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והכחשתו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הגורפת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למשבר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הותירהּ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בודדה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ארוכה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והעצים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והתאכזרות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בנוסף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עמידתו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לפיצויה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בגינם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למעצרו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במשפחתו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הנקי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נקי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מעצרו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כאמור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בעינם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  <w:u w:val="single"/>
        </w:rPr>
      </w:pPr>
      <w:r>
        <w:rPr>
          <w:rFonts w:cs="FrankRuehl;Times New Roman" w:ascii="Arial TUR;Arial" w:hAnsi="Arial TUR;Arial"/>
          <w:spacing w:val="10"/>
          <w:sz w:val="22"/>
          <w:szCs w:val="28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Arial TUR;Arial" w:hAnsi="Arial TUR;Arial"/>
          <w:spacing w:val="10"/>
          <w:sz w:val="22"/>
          <w:szCs w:val="28"/>
        </w:rPr>
        <w:t>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1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9004-11-16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22.4.2018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7307/18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4.10.2018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8.5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7307/18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100,000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3.11.2016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25.9.2017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2014-2009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2001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באיבריה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המוצנעים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לבגדיה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שפתיה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אוראלי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גירוי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ביזוי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1977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351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החופשית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hyperlink r:id="rId17"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הרשיע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התאפיינה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בכנות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וריסון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אהבתה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שהתביישה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והתקשתה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בתיאורם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נשמרה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ומהיקפם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חפצה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בהפללת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הסוציאלית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והטכניקות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לביצועם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שהטראומה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מערכתית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מחברותיה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לאמינותה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לערב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סיפורה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הסוציאלית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שהשמיעה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המצטרפים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הגבוהה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הביולוגי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בכפה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תהייה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משותפת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ספציפית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לסיור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לימודי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עבודתה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ספציפית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יחידה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מרשיעים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נבחנו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מיעוט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ואותנטי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והתאפיינה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משמעית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לאשמתו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כפליים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ארבעתיים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ומסתברת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שבעתיים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יתדותיו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המהווה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האותנטית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התחמק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וקצרות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יזום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מלהטיח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תלונתה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יזעק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צודקת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בעימות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אוטונומיית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וכבודו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ביטחונם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בתוככי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הגרעיני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המתבטא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ובאינטימיות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פקפקה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חפצה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מערכתית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מסוימת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כפויה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ידיעתו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ועניין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נלוו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רכישה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שתיקת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ואבהי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המתגוררת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בקנדה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ולמגבלות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כשנתיים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לעבוד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לאמצע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ולהעמידו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8.5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100,000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7307/18</w:t>
      </w:r>
      <w:r>
        <w:rPr>
          <w:rFonts w:cs="Miriam" w:ascii="Century" w:hAnsi="Century"/>
          <w:b/>
          <w:sz w:val="22"/>
          <w:rtl w:val="true"/>
        </w:rPr>
        <w:t xml:space="preserve">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 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המכחישה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ומפורטת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במהלכם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בחפותו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בקנדה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שהניעה</w:t>
      </w:r>
      <w:r>
        <w:rPr>
          <w:rFonts w:ascii="FrankRuehl;Times New Roman" w:hAnsi="FrankRuehl;Times New Roman" w:cs="FrankRuehl;Times New Roman"/>
          <w:spacing w:val="10"/>
          <w:sz w:val="22"/>
          <w:sz w:val="22"/>
          <w:szCs w:val="28"/>
          <w:rtl w:val="true"/>
        </w:rPr>
        <w:t>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היעדרה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לשגגות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מאמינותה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שהציגה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באשמתו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לזיכוי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למעצרו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וטוענת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ומהימנות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ממעטת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לזיכויו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8178/18</w:t>
      </w:r>
      <w:r>
        <w:rPr>
          <w:rFonts w:cs="Miriam" w:ascii="Century" w:hAnsi="Century"/>
          <w:b/>
          <w:sz w:val="22"/>
          <w:rtl w:val="true"/>
        </w:rPr>
        <w:t xml:space="preserve">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המשתווה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הפחות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קצהו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תדירותם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שהסבו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בהיעדרם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והתאכזרות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ותמימותה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המצדיקות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להגדיל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שהוגשו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ובמוצגים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הרלוונטיים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כאחד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13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ומושרשת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תימנע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והבלתי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1275/09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30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1.9.2009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2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9728/16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27.2.2019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6950/17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24.9.2019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בגדרם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מצומצמת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העדרן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ככלל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אובייקטיביות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הנלווים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רהוטה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וקוהרנטית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הגורסים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3250/10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סה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</w:rPr>
        <w:t>482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496-495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2012</w:t>
      </w:r>
      <w:r>
        <w:rPr>
          <w:rFonts w:cs="FrankRuehl;Times New Roman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3250/10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5633/12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ניימן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10.7.2013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מוצאים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המצביעים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בהרחבתו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ראייתית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אדרבה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הגורסים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ערעורית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קפדנית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3250/10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540-539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hyperlink r:id="rId2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7653/11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ידען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הנדל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26.7.2012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משכנעות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ומבוססות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כדבעי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;Times New Roman" w:ascii="Arial TUR;Arial" w:hAnsi="Arial TUR;Arial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ניסיונותיה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בתיאורי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השונות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מהגזמה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האהבה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שהפגינה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הטכניקות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המיניים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המקובץ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סבורה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הגבוהה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התווספו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הנושא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בהתרשמותה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וסובלת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מפוסט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הניצבת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ונתמכת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החדרים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17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הריענון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בפרקליטות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חשיפות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שתהתה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מיאנה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היטב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לדידי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רחוקים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למושכלות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פוגמת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בעקביות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ובשלמותה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מהימנותם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הייחודיות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עובדתיים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דיוקים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רציונליות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6643/05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14-12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3.7.2007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הלבטים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נקלעה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אמיתות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זיכרונותיה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שאפיינה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בלבטים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נקלעה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המיעוט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34-33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המובהקים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העימות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ניכרת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שחוותה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מתחמקות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ועקיפות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ההכחשות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הגורפות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והאמוציונליות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ממש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ופוגענית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20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והמשכנעת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המיעוט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הפנימיים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התומכים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בגרסתו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לאשמתו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המאסר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21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להפריז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בביטחונם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ובכבודם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הקרבנות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מכול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כוחות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מחייבות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150/09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6.5.2010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2336/15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10.1.2017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9652/17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23.7.2019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22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אהבה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העצום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ניצולה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מאווייו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הנלוזים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הגורפת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הותירה</w:t>
      </w:r>
      <w:r>
        <w:rPr>
          <w:rFonts w:ascii="FrankRuehl;Times New Roman" w:hAnsi="FrankRuehl;Times New Roman" w:cs="FrankRuehl;Times New Roman"/>
          <w:spacing w:val="10"/>
          <w:sz w:val="22"/>
          <w:sz w:val="22"/>
          <w:szCs w:val="28"/>
          <w:rtl w:val="true"/>
        </w:rPr>
        <w:t>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בודדה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והעצים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הנפשיים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בהיעדרם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והתאכזרות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עמידתו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בגינם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למעצרו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במשפחתו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לדידי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ככלות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הכול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שהעבירה</w:t>
      </w:r>
      <w:r>
        <w:rPr>
          <w:rFonts w:ascii="FrankRuehl;Times New Roman" w:hAnsi="FrankRuehl;Times New Roman" w:cs="FrankRuehl;Times New Roman"/>
          <w:spacing w:val="10"/>
          <w:sz w:val="22"/>
          <w:sz w:val="22"/>
          <w:szCs w:val="28"/>
          <w:rtl w:val="true"/>
        </w:rPr>
        <w:t>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המכתימים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והכתים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להחמיר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לריצוי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8.5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32">
        <w:bookmarkStart w:id="19" w:name="Text1"/>
        <w:r>
          <w:rPr>
            <w:rStyle w:val="Hyperlink"/>
            <w:rFonts w:ascii="FrankRuehl;Times New Roman" w:hAnsi="FrankRuehl;Times New Roman" w:cs="FrankRuehl;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10"/>
            <w:sz w:val="28"/>
            <w:szCs w:val="28"/>
            <w:u w:val="single"/>
          </w:rPr>
          <w:t>3998/13</w:t>
        </w:r>
      </w:hyperlink>
      <w:r>
        <w:rPr>
          <w:rFonts w:cs="FrankRuehl;Times New Roman" w:ascii="FrankRuehl;Times New Roman" w:hAnsi="FrankRuehl;Times New Roman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אביקזר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bookmarkEnd w:id="19"/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4.2.2015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2816/15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13.3.2016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489/18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9.12.2018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);</w:t>
      </w:r>
      <w:r>
        <w:rPr>
          <w:rFonts w:cs="Times New Roman"/>
          <w:sz w:val="22"/>
          <w:szCs w:val="20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pacing w:val="10"/>
          <w:sz w:val="28"/>
          <w:sz w:val="28"/>
          <w:szCs w:val="28"/>
          <w:rtl w:val="true"/>
        </w:rPr>
        <w:t>והשוו</w:t>
      </w:r>
      <w:r>
        <w:rPr>
          <w:rFonts w:cs="FrankRuehl;Times New Roman" w:ascii="FrankRuehl;Times New Roman" w:hAnsi="FrankRuehl;Times New Roman"/>
          <w:color w:val="000000"/>
          <w:spacing w:val="10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ascii="FrankRuehl;Times New Roman" w:hAnsi="FrankRuehl;Times New Roman" w:cs="FrankRuehl;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10"/>
            <w:sz w:val="28"/>
            <w:szCs w:val="28"/>
            <w:u w:val="single"/>
          </w:rPr>
          <w:t>4466/12</w:t>
        </w:r>
      </w:hyperlink>
      <w:r>
        <w:rPr>
          <w:rFonts w:cs="FrankRuehl;Times New Roman" w:ascii="FrankRuehl;Times New Roman" w:hAnsi="FrankRuehl;Times New Roman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8.1.2014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4466/12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מתייתר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26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קיצוניים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חריגות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4641/12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20.11.2013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4466/12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הנדירים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</w:rPr>
        <w:t>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בעינם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נ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הנדל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  <w:u w:val="single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;Times New Roman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קרא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  <w:u w:val="single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;Times New Roman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2.12.2019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10:00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בימ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דקל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ועותק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בטלפונים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08-9787377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08-9787336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8"/>
          <w:szCs w:val="34"/>
        </w:rPr>
      </w:pPr>
      <w:r>
        <w:rPr>
          <w:rFonts w:cs="FrankRuehl;Times New Roman" w:ascii="Arial TUR;Arial" w:hAnsi="Arial TUR;Arial"/>
          <w:spacing w:val="10"/>
          <w:sz w:val="28"/>
          <w:szCs w:val="34"/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11.11.2019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18073070</w:t>
      </w:r>
      <w:r>
        <w:rPr>
          <w:sz w:val="16"/>
          <w:rtl w:val="true"/>
        </w:rPr>
        <w:t>_</w:t>
      </w:r>
      <w:r>
        <w:rPr>
          <w:sz w:val="16"/>
        </w:rPr>
        <w:t>R10.docx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54678313-7307/18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7307/18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530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b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51" TargetMode="External"/><Relationship Id="rId10" Type="http://schemas.openxmlformats.org/officeDocument/2006/relationships/hyperlink" Target="http://www.nevo.co.il/law/70301/351.d" TargetMode="External"/><Relationship Id="rId11" Type="http://schemas.openxmlformats.org/officeDocument/2006/relationships/hyperlink" Target="http://www.nevo.co.il/case/21553072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51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51.d" TargetMode="External"/><Relationship Id="rId19" Type="http://schemas.openxmlformats.org/officeDocument/2006/relationships/hyperlink" Target="http://www.nevo.co.il/case/5896936" TargetMode="External"/><Relationship Id="rId20" Type="http://schemas.openxmlformats.org/officeDocument/2006/relationships/hyperlink" Target="http://www.nevo.co.il/case/22303308" TargetMode="External"/><Relationship Id="rId21" Type="http://schemas.openxmlformats.org/officeDocument/2006/relationships/hyperlink" Target="http://www.nevo.co.il/case/23129180" TargetMode="External"/><Relationship Id="rId22" Type="http://schemas.openxmlformats.org/officeDocument/2006/relationships/hyperlink" Target="http://www.nevo.co.il/case/5951406" TargetMode="External"/><Relationship Id="rId23" Type="http://schemas.openxmlformats.org/officeDocument/2006/relationships/hyperlink" Target="http://www.nevo.co.il/case/6246489" TargetMode="External"/><Relationship Id="rId24" Type="http://schemas.openxmlformats.org/officeDocument/2006/relationships/hyperlink" Target="http://www.nevo.co.il/case/5951406" TargetMode="External"/><Relationship Id="rId25" Type="http://schemas.openxmlformats.org/officeDocument/2006/relationships/hyperlink" Target="http://www.nevo.co.il/case/5603199" TargetMode="External"/><Relationship Id="rId26" Type="http://schemas.openxmlformats.org/officeDocument/2006/relationships/hyperlink" Target="http://www.nevo.co.il/case/6129410" TargetMode="External"/><Relationship Id="rId27" Type="http://schemas.openxmlformats.org/officeDocument/2006/relationships/hyperlink" Target="http://www.nevo.co.il/case/6243611" TargetMode="External"/><Relationship Id="rId28" Type="http://schemas.openxmlformats.org/officeDocument/2006/relationships/hyperlink" Target="http://www.nevo.co.il/case/20156812" TargetMode="External"/><Relationship Id="rId29" Type="http://schemas.openxmlformats.org/officeDocument/2006/relationships/hyperlink" Target="http://www.nevo.co.il/case/23751264" TargetMode="External"/><Relationship Id="rId30" Type="http://schemas.openxmlformats.org/officeDocument/2006/relationships/hyperlink" Target="http://www.nevo.co.il/law/70301/40i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1316515" TargetMode="External"/><Relationship Id="rId33" Type="http://schemas.openxmlformats.org/officeDocument/2006/relationships/hyperlink" Target="http://www.nevo.co.il/case/20244334" TargetMode="External"/><Relationship Id="rId34" Type="http://schemas.openxmlformats.org/officeDocument/2006/relationships/hyperlink" Target="http://www.nevo.co.il/case/23568373" TargetMode="External"/><Relationship Id="rId35" Type="http://schemas.openxmlformats.org/officeDocument/2006/relationships/hyperlink" Target="http://www.nevo.co.il/case/6245656" TargetMode="External"/><Relationship Id="rId36" Type="http://schemas.openxmlformats.org/officeDocument/2006/relationships/hyperlink" Target="http://www.nevo.co.il/case/6245656" TargetMode="External"/><Relationship Id="rId37" Type="http://schemas.openxmlformats.org/officeDocument/2006/relationships/hyperlink" Target="http://www.nevo.co.il/case/6245782" TargetMode="External"/><Relationship Id="rId38" Type="http://schemas.openxmlformats.org/officeDocument/2006/relationships/hyperlink" Target="http://www.nevo.co.il/case/6245656" TargetMode="External"/><Relationship Id="rId39" Type="http://schemas.openxmlformats.org/officeDocument/2006/relationships/hyperlink" Target="http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2019-11-12T09:32:00Z</dcterms:created>
  <dc:creator>h4</dc:creator>
  <dc:description/>
  <cp:keywords/>
  <dc:language>en-IL</dc:language>
  <cp:lastModifiedBy>orly</cp:lastModifiedBy>
  <cp:lastPrinted>2019-11-11T10:06:00Z</cp:lastPrinted>
  <dcterms:modified xsi:type="dcterms:W3CDTF">2019-11-12T09:32:00Z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21553072:2;5896936;22303308;23129180;5951406:2;6246489;5603199;6129410;6243611;20156812;23751264;11316515;20244334;23568373;6245656:3;6245782</vt:lpwstr>
  </property>
  <property fmtid="{D5CDD505-2E9C-101B-9397-08002B2CF9AE}" pid="9" name="CITY">
    <vt:lpwstr/>
  </property>
  <property fmtid="{D5CDD505-2E9C-101B-9397-08002B2CF9AE}" pid="10" name="DATE">
    <vt:lpwstr>20191111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קרא;י' וילנר</vt:lpwstr>
  </property>
  <property fmtid="{D5CDD505-2E9C-101B-9397-08002B2CF9AE}" pid="14" name="LAWLISTTMP1">
    <vt:lpwstr>70301/347.b;351;348.b;345.b.1;345.a.1;351.d;040i.b</vt:lpwstr>
  </property>
  <property fmtid="{D5CDD505-2E9C-101B-9397-08002B2CF9AE}" pid="15" name="LAWYER">
    <vt:lpwstr>אפרת גולדשטיין;יחיאל לאמש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ראיות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>דיון פלילי</vt:lpwstr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89;14;77;77;77;77;18</vt:lpwstr>
  </property>
  <property fmtid="{D5CDD505-2E9C-101B-9397-08002B2CF9AE}" pid="37" name="NOSE21">
    <vt:lpwstr>מהימנות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ערעור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>הרשעה</vt:lpwstr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1635;333;15235;1446;1446;1446;465</vt:lpwstr>
  </property>
  <property fmtid="{D5CDD505-2E9C-101B-9397-08002B2CF9AE}" pid="48" name="NOSE31">
    <vt:lpwstr>התערבות ערכאת ערעור</vt:lpwstr>
  </property>
  <property fmtid="{D5CDD505-2E9C-101B-9397-08002B2CF9AE}" pid="49" name="NOSE310">
    <vt:lpwstr/>
  </property>
  <property fmtid="{D5CDD505-2E9C-101B-9397-08002B2CF9AE}" pid="50" name="NOSE32">
    <vt:lpwstr>התערבות בממצאי מהימנות</vt:lpwstr>
  </property>
  <property fmtid="{D5CDD505-2E9C-101B-9397-08002B2CF9AE}" pid="51" name="NOSE33">
    <vt:lpwstr>התערבות במידת העונש</vt:lpwstr>
  </property>
  <property fmtid="{D5CDD505-2E9C-101B-9397-08002B2CF9AE}" pid="52" name="NOSE34">
    <vt:lpwstr>מדיניות ענישה: עבירות מין במשפחה</vt:lpwstr>
  </property>
  <property fmtid="{D5CDD505-2E9C-101B-9397-08002B2CF9AE}" pid="53" name="NOSE35">
    <vt:lpwstr>מדיניות ענישה: התערבות ערכאת ערעור</vt:lpwstr>
  </property>
  <property fmtid="{D5CDD505-2E9C-101B-9397-08002B2CF9AE}" pid="54" name="NOSE36">
    <vt:lpwstr>מדיניות ענישה: שיקולים לחומרה</vt:lpwstr>
  </property>
  <property fmtid="{D5CDD505-2E9C-101B-9397-08002B2CF9AE}" pid="55" name="NOSE37">
    <vt:lpwstr>ספק סביר</vt:lpwstr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10199;15229;15236;16241;8982;8995;3635</vt:lpwstr>
  </property>
  <property fmtid="{D5CDD505-2E9C-101B-9397-08002B2CF9AE}" pid="59" name="PADIDATE">
    <vt:lpwstr>20191112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7307;8178</vt:lpwstr>
  </property>
  <property fmtid="{D5CDD505-2E9C-101B-9397-08002B2CF9AE}" pid="65" name="PROCYEAR">
    <vt:lpwstr>18;18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410120191111</vt:lpwstr>
  </property>
  <property fmtid="{D5CDD505-2E9C-101B-9397-08002B2CF9AE}" pid="69" name="TYPE_N_DATE">
    <vt:lpwstr>41020191111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