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7323/19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שריפה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006275-09-09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22.10.2019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אליקים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10.02.2020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ראפת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נוורס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בטאט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אבגז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awTable"/>
      <w:bookmarkStart w:id="6" w:name="LawTable"/>
      <w:bookmarkEnd w:id="6"/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  <w:u w:val="single"/>
        </w:rPr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1973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  <w:u w:val="single"/>
        </w:rPr>
      </w:pPr>
      <w:hyperlink r:id="rId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1961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 -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לא מרובדות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556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חוק בתי משפט לענינים מינהליים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2000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  <w:u w:val="single"/>
        </w:rPr>
      </w:pPr>
      <w:hyperlink r:id="rId8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]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42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</w:r>
      <w:bookmarkStart w:id="7" w:name="LawTable_End"/>
      <w:bookmarkStart w:id="8" w:name="LawTable_End"/>
      <w:bookmarkEnd w:id="8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 לפסיקת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ב</w:t>
      </w:r>
      <w:hyperlink r:id="rId10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בש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9075/12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בעניין 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הכתובת בכל מקרה של בקשה הנוגעת לפסילת רישיון נהיגה היא רשות הרישוי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החלטתה ניתן להשיג באמצעות הגשת עתירה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לעניינים מינהליים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תעבורה – פסילת רישיון – סמכות בית המשפט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מינהלי – רשות מוסמכת – רשות הרישוי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תעבורה – ענישה – פסילת רישיון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תעבורה – ענישה – חישוב פסילה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תעבורה – פסילת רישיון – הפקדת רישיון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במספר 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ביניהן עבירות לפי </w:t>
      </w:r>
      <w:hyperlink r:id="rId1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פקודת הסמים המסוכנים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ונדון לעונש מאסר בן </w:t>
      </w:r>
      <w:r>
        <w:rPr>
          <w:rFonts w:cs="Times New Roman" w:ascii="Times New Roman" w:hAnsi="Times New Roman"/>
          <w:spacing w:val="0"/>
          <w:sz w:val="24"/>
          <w:szCs w:val="26"/>
        </w:rPr>
        <w:t>64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ולעונשים נלווים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נפסל המערער מלקבל או מלהחזיק רישיון נהיגה לתקופה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מיום גמר ריצוי עונש המאסר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ביום </w:t>
      </w:r>
      <w:r>
        <w:rPr>
          <w:rFonts w:cs="Times New Roman" w:ascii="Times New Roman" w:hAnsi="Times New Roman"/>
          <w:spacing w:val="0"/>
          <w:sz w:val="24"/>
          <w:szCs w:val="26"/>
        </w:rPr>
        <w:t>18.12.2014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סיים המערער לרצות את עונש המאסר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שחרורו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הפקיד את רישיון הנהיגה שלו במזכירות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בהתאם להוראות </w:t>
      </w:r>
      <w:hyperlink r:id="rId1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תקנה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556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1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תקנות התעבורה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הפקיד תצהיר תחת הרישיון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החלה להימנות תקופת הפסילה שהוטלה על המערער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ביום </w:t>
      </w:r>
      <w:r>
        <w:rPr>
          <w:rFonts w:cs="Times New Roman" w:ascii="Times New Roman" w:hAnsi="Times New Roman"/>
          <w:spacing w:val="0"/>
          <w:sz w:val="24"/>
          <w:szCs w:val="26"/>
        </w:rPr>
        <w:t>15.8.2019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פנה המערער לרשות הרישוי בבקשה לחדש את רישיון הנהיגה שלו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בקשתו 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והמערער פנה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בבקשה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להנפקת אישור הפקדה מיום תום תקופת המאסר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טען כי מאז שחרורו לא החזיק ברישיון נהיגה וכי לא ידע כי היה עליו להפקידו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דחה את הבקשה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וקבע כי על פי פסיקתו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הסמכות לדון בבקשה מסורה לרשות הרישוי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שאת החלטתה ניתן לתקוף בדרך של הגשת עתירה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לעניינים מינהליים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הוסיף וקבע כי יש לדחות את הבקשה גם לגופה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משום שעל מנת שתקופת הפסילה תימנה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על המערער להפקיד רישיון או תצהיר כנדרש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וחוסר הידיעה על הצורך בהפקדה אינו מעלה או מוריד למניין תקופת הפסילה בתיק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בקשות נוספות שהוגשו לאחר שניתנה החלטתו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נדחו אף 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כך ערעור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hyperlink r:id="rId1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בש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9075/12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בעניין 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התקבלה עמדת המדינה ולפיה בקשה לחישוב מניין ימי פסילת רישיון נהיגה תהא בסמכותה של רשות הרישוי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בתוך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נדחו מסלולים אחרים להגשת בקשות כגון דא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הגשת בקשה למותב אשר גזר את הדין והטיל על המבקש את עונש הפסילה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פתיחת הליך חדש המנותק מן ההליך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אם בדרך של בקשה למתן סעד הצהרתי בהליך אזרחי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אם בדרך של בקשה שתידון בפני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לתעבורה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כפועל יוצא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כי הדרך להשיג על החלטה בעניין בקשה לחישוב מניין ימי פסילה תהא בהגשת עתירה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לעניינים מינהליים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</w:t>
      </w:r>
      <w:hyperlink r:id="rId1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14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לתוספת הראשונה ל</w:t>
      </w:r>
      <w:hyperlink r:id="rId1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בתי משפט לענ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י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ינים מינהליים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המסמיך את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לדון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החלטה של רשות לפי </w:t>
      </w:r>
      <w:hyperlink r:id="rId1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פקודת התעבורה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...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החלטה בענ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יני רישוי ובטיחות של נהגים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בהליך דנא ביקש המערער להבחין בין בקשה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חישוב פסילה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שלטענתו עניינה בחישוב מתמטי וטכני של ימי הפסילה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 בקשה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הכרה בפסילה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שעניינה בהכרה בפסילה מבחינה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שהתבקש בעניינו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לשיטתו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לקבוע כי בקשה מהסוג 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הדורשת בירור עובדתי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מסורה לסמכותו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ולא לרשות הרישוי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קובע כי אין יסוד להבחנה שכזו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שגם בעניין 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אבר דובר על הכרה בפסילה מבחינה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שלא הופקד רישיון נהיגה או תצהיר תחתיו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 לפסיקת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בעניין 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הכתובת בכל מקרה של בקשה הנוגעת לפסילה היא רשות הרישוי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החלטתה ניתן להשיג באמצעות הגשת עתירה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לעניינים מינהליים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 כי המשיבה תחדד את נהליה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הטענה שהעלה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 המערער ולפיה המשיבה עצמה מבחינה בין סוגים שונים של פסילות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מורה על ביטול חלקו של פסק הדין המתייחס לבקשת המערער לגופה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9.2.2010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נפסל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18.12.2014</w:t>
      </w:r>
      <w:r>
        <w:rPr>
          <w:rtl w:val="true"/>
        </w:rPr>
        <w:t xml:space="preserve"> </w:t>
      </w:r>
      <w:r>
        <w:rPr>
          <w:rtl w:val="true"/>
        </w:rPr>
        <w:t>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556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הרישיון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15.8.2019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להנפקת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להפקידו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הרישוי</w:t>
      </w:r>
      <w:r>
        <w:rPr>
          <w:rtl w:val="true"/>
        </w:rPr>
        <w:t xml:space="preserve">,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מינהליים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תימנה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כנדרש</w:t>
      </w:r>
      <w:r>
        <w:rPr>
          <w:rtl w:val="true"/>
        </w:rPr>
        <w:t xml:space="preserve">, </w:t>
      </w:r>
      <w:r>
        <w:rPr>
          <w:rtl w:val="true"/>
        </w:rPr>
        <w:t>וחוסר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בהפקדה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בקשות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שסווג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tl w:val="true"/>
        </w:rPr>
        <w:t xml:space="preserve">, </w:t>
      </w:r>
      <w:r>
        <w:rPr>
          <w:rtl w:val="true"/>
        </w:rPr>
        <w:t>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9075/12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14.4.2014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tl w:val="true"/>
        </w:rPr>
        <w:t xml:space="preserve">), </w:t>
      </w:r>
      <w:r>
        <w:rPr>
          <w:rtl w:val="true"/>
        </w:rPr>
        <w:t>ולפיה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הרישוי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מהפסיקה</w:t>
      </w:r>
      <w:r>
        <w:rPr>
          <w:rtl w:val="true"/>
        </w:rPr>
        <w:t xml:space="preserve">, </w:t>
      </w:r>
      <w:r>
        <w:rPr>
          <w:rtl w:val="true"/>
        </w:rPr>
        <w:t>ומפנה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הרישיון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וכשניתן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להפקיד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רטרואקטיבי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tl w:val="true"/>
        </w:rPr>
        <w:t xml:space="preserve">, </w:t>
      </w:r>
      <w:r>
        <w:rPr>
          <w:rtl w:val="true"/>
        </w:rPr>
        <w:t>התקבלה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הרישוי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מסלולים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: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הפסילה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כפועל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מינהליים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משפט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לענינים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מינהליים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המסמיך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ובטיחות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נהגים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</w:t>
      </w:r>
      <w:r>
        <w:rPr>
          <w:rtl w:val="true"/>
        </w:rPr>
        <w:t xml:space="preserve">;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החישוב</w:t>
      </w:r>
      <w:r>
        <w:rPr>
          <w:rtl w:val="true"/>
        </w:rPr>
        <w:t xml:space="preserve">, </w:t>
      </w:r>
      <w:r>
        <w:rPr>
          <w:rtl w:val="true"/>
        </w:rPr>
        <w:t>והמותב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להשתנות</w:t>
      </w:r>
      <w:r>
        <w:rPr>
          <w:rtl w:val="true"/>
        </w:rPr>
        <w:t xml:space="preserve">;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תלתא</w:t>
      </w:r>
      <w:r>
        <w:rPr>
          <w:rtl w:val="true"/>
        </w:rPr>
        <w:t xml:space="preserve">, </w:t>
      </w:r>
      <w:r>
        <w:rPr>
          <w:rtl w:val="true"/>
        </w:rPr>
        <w:t>כמתחייב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במהותו</w:t>
      </w:r>
      <w:r>
        <w:rPr>
          <w:rtl w:val="true"/>
        </w:rPr>
        <w:t xml:space="preserve">, </w:t>
      </w:r>
      <w:r>
        <w:rPr>
          <w:rtl w:val="true"/>
        </w:rPr>
        <w:t>ופרשנות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ואיני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Fonts w:ascii="FrankRuehl" w:hAnsi="FrankRuehl"/>
          <w:color w:val="000000"/>
          <w:sz w:val="28"/>
          <w:sz w:val="28"/>
          <w:rtl w:val="true"/>
        </w:rPr>
        <w:t>סמכות לחישוב מניין ימי הפסילה נתונה לרשות הרישוי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>החלטתי ב</w:t>
      </w:r>
      <w:hyperlink r:id="rId25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בש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4840/14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נברו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30.7.2014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hyperlink r:id="rId26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בש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1991/18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rtl w:val="true"/>
        </w:rPr>
        <w:t>‏</w:t>
      </w:r>
      <w:r>
        <w:rPr>
          <w:rFonts w:cs="FrankRuehl" w:ascii="FrankRuehl" w:hAnsi="FrankRuehl"/>
          <w:color w:val="000000"/>
          <w:sz w:val="28"/>
        </w:rPr>
        <w:t>14.3.2018</w:t>
      </w:r>
      <w:r>
        <w:rPr>
          <w:rFonts w:cs="FrankRuehl" w:ascii="FrankRuehl" w:hAnsi="FrankRuehl"/>
          <w:color w:val="000000"/>
          <w:sz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חישוב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", </w:t>
      </w:r>
      <w:r>
        <w:rPr>
          <w:rtl w:val="true"/>
        </w:rPr>
        <w:t>שלטענתו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הפסילה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בפסילה</w:t>
      </w:r>
      <w:r>
        <w:rPr>
          <w:rtl w:val="true"/>
        </w:rPr>
        <w:t xml:space="preserve">", </w:t>
      </w:r>
      <w:r>
        <w:rPr>
          <w:rtl w:val="true"/>
        </w:rPr>
        <w:t>שעניינה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מהותית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הדורשת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</w:t>
      </w:r>
      <w:r>
        <w:rPr>
          <w:rtl w:val="true"/>
        </w:rPr>
        <w:t xml:space="preserve">, </w:t>
      </w:r>
      <w:r>
        <w:rPr>
          <w:rtl w:val="true"/>
        </w:rPr>
        <w:t>מסורה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הרישוי</w:t>
      </w:r>
      <w:r>
        <w:rPr>
          <w:rtl w:val="true"/>
        </w:rPr>
        <w:t xml:space="preserve">. </w:t>
      </w:r>
      <w:r>
        <w:rPr>
          <w:rtl w:val="true"/>
        </w:rPr>
        <w:t>אבהיר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מהותית</w:t>
      </w:r>
      <w:r>
        <w:rPr>
          <w:rtl w:val="true"/>
        </w:rPr>
        <w:t xml:space="preserve">",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>: "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5.11.2012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, </w:t>
      </w:r>
      <w:r>
        <w:rPr>
          <w:rtl w:val="true"/>
        </w:rPr>
        <w:t>ובגדרה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רוצתה</w:t>
      </w:r>
      <w:r>
        <w:rPr>
          <w:rFonts w:cs="Miriam" w:ascii="Century" w:hAnsi="Century"/>
          <w:b/>
          <w:spacing w:val="0"/>
          <w:szCs w:val="24"/>
          <w:rtl w:val="true"/>
        </w:rPr>
        <w:t>...</w:t>
      </w:r>
      <w:r>
        <w:rPr>
          <w:rtl w:val="true"/>
        </w:rPr>
        <w:t xml:space="preserve">'",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מענייננו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הופקד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ישימה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שפקידי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מצהירים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תצהיריהם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בדיעבד</w:t>
      </w:r>
      <w:r>
        <w:rPr>
          <w:rtl w:val="true"/>
        </w:rPr>
        <w:t xml:space="preserve">),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ההפקדה</w:t>
      </w:r>
      <w:r>
        <w:rPr>
          <w:rtl w:val="true"/>
        </w:rPr>
        <w:t xml:space="preserve">, </w:t>
      </w:r>
      <w:r>
        <w:rPr>
          <w:rtl w:val="true"/>
        </w:rPr>
        <w:t>תיתן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רטרואקטיבי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הרישוי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מינהליים</w:t>
      </w:r>
      <w:r>
        <w:rPr>
          <w:rtl w:val="true"/>
        </w:rPr>
        <w:t xml:space="preserve">, </w:t>
      </w:r>
      <w:r>
        <w:rPr>
          <w:rtl w:val="true"/>
        </w:rPr>
        <w:t>שיבחן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עת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מינהליים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30820-03-16</w:t>
        </w:r>
      </w:hyperlink>
      <w:r>
        <w:rPr>
          <w:rFonts w:cs="FrankRuehl" w:ascii="FrankRuehl" w:hAnsi="FrankRuehl"/>
          <w:b/>
          <w:bCs/>
          <w:color w:val="000000"/>
          <w:spacing w:val="0"/>
          <w:sz w:val="28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מינזל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משרד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התחבורה</w:t>
      </w:r>
      <w:r>
        <w:rPr>
          <w:rFonts w:ascii="FrankRuehl" w:hAnsi="FrankRuehl"/>
          <w:b/>
          <w:b/>
          <w:bCs/>
          <w:color w:val="000000"/>
          <w:spacing w:val="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19.6.2016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מינהליים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28769-10-18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אלקאדר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משרד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התחבורה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והבטיחות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10.1.2019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מינהליים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55853-07-18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משרד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הרישוי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חולון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17.3.2019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מינהליים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42820-03-19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מזאריב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משרד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29.5.2019</w:t>
      </w:r>
      <w:r>
        <w:rPr>
          <w:rtl w:val="true"/>
        </w:rPr>
        <w:t>)).</w:t>
      </w:r>
    </w:p>
    <w:p>
      <w:pPr>
        <w:pStyle w:val="Ruller4"/>
        <w:ind w:end="0"/>
        <w:jc w:val="both"/>
        <w:rPr>
          <w:rFonts w:ascii="Times New Roman" w:hAnsi="Times New Roman" w:cs="Times New Roman"/>
          <w:color w:val="000000"/>
          <w:spacing w:val="0"/>
          <w:sz w:val="27"/>
          <w:szCs w:val="27"/>
        </w:rPr>
      </w:pPr>
      <w:r>
        <w:rPr>
          <w:rFonts w:cs="Times New Roman" w:ascii="Times New Roman" w:hAnsi="Times New Roman"/>
          <w:color w:val="000000"/>
          <w:spacing w:val="0"/>
          <w:sz w:val="27"/>
          <w:szCs w:val="27"/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בהגינותו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tl w:val="true"/>
        </w:rPr>
        <w:t xml:space="preserve">, </w:t>
      </w:r>
      <w:r>
        <w:rPr>
          <w:rtl w:val="true"/>
        </w:rPr>
        <w:t>הכתובת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הרישוי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מינהליים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נהליה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פסילות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Century"/>
          <w:rtl w:val="true"/>
        </w:rPr>
        <w:t xml:space="preserve">החלטת בית המשפט המחוזי בתל אביב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40060-08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14.5.2015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נדונה בקשה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חישוב פסילה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ובמסגרתה צויין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המבקש ער להוראות הדין והפסיקה אך טוען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שהוא מציג בפניי מסמכים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שרשות הרישוי נוהגת על פי פסק דינו של בית המשפט העליון בפרשת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Fonts w:ascii="Century" w:hAnsi="Century" w:cs="Century"/>
          <w:rtl w:val="true"/>
        </w:rPr>
        <w:t xml:space="preserve"> רק כאשר עסקינן בחישוב מתמטי וטכני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חישובי פסילה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כאשר עסקינן בשאלה עניינית או מהותית 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זו הפעם ראשונה שהנני שומע טענה מעין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 כך המצב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אדם מסוגו של המבקש ונסיבותיו נופל בין הכיסאות בין המערכת המנהלית למערכת המשפטית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דבר שאיננו רצוי</w:t>
      </w:r>
      <w:r>
        <w:rPr>
          <w:rFonts w:cs="Century" w:ascii="Century" w:hAnsi="Century"/>
          <w:rtl w:val="true"/>
        </w:rPr>
        <w:t>... (</w:t>
      </w:r>
      <w:r>
        <w:rPr>
          <w:rFonts w:ascii="Century" w:hAnsi="Century" w:cs="Century"/>
          <w:rtl w:val="true"/>
        </w:rPr>
        <w:t xml:space="preserve">ההדגשה במקור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)".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הציג המערער מכתב עליו חתומה מתמחה מלשכת היועצת המשפטית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ככל הנראה של משרד התחבורה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מדצמבר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במכתב נעשית הבחנה בין בקשה לחישוב פסילה לבין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בקשה להפעלת שיקול דעת לפי </w:t>
      </w:r>
      <w:hyperlink r:id="rId3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התעבורה</w:t>
        </w:r>
      </w:hyperlink>
      <w:r>
        <w:rPr>
          <w:rFonts w:ascii="Century" w:hAnsi="Century" w:cs="Century"/>
          <w:rtl w:val="true"/>
        </w:rPr>
        <w:t xml:space="preserve"> לקביעת מועד אחר לתחילת הפסילה נשוא בקשתך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שיקול דעת מאין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עניין המסור לבית המשפט שדן בתיק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ככל שהדברים משקפים פרקטיקה המנוגדת להלכת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Fonts w:ascii="Century" w:hAnsi="Century" w:cs="Century"/>
          <w:rtl w:val="true"/>
        </w:rPr>
        <w:t xml:space="preserve"> וגורמת לכך שמקרים מסוגו של המערער נופלים בין הכיסאות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טוב תעשה המשיבה אם תבחן את התנהלותה בנושא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הרישוי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פתוחה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לגופה</w:t>
      </w:r>
      <w:r>
        <w:rPr>
          <w:rtl w:val="true"/>
        </w:rPr>
        <w:t xml:space="preserve">.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נדחות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ולהעלותן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המוסמך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26.2.2020</w:t>
      </w:r>
      <w:r>
        <w:rPr>
          <w:rtl w:val="true"/>
        </w:rPr>
        <w:t xml:space="preserve">). </w:t>
      </w:r>
      <w:bookmarkEnd w:id="18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</w:t>
      </w:r>
      <w:r>
        <w:rPr>
          <w:sz w:val="16"/>
        </w:rPr>
        <w:t>19073230</w:t>
      </w:r>
      <w:r>
        <w:rPr>
          <w:sz w:val="16"/>
          <w:rtl w:val="true"/>
        </w:rPr>
        <w:t>_</w:t>
      </w:r>
      <w:r>
        <w:rPr>
          <w:sz w:val="16"/>
        </w:rPr>
        <w:t>E05.docx</w:t>
      </w:r>
      <w:r>
        <w:rPr>
          <w:sz w:val="16"/>
          <w:rtl w:val="true"/>
        </w:rPr>
        <w:t xml:space="preserve">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</w:t>
      </w:r>
      <w:hyperlink r:id="rId3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54678313-7323/19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7323/19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אחמד אבו שריפה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115783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74274" TargetMode="External"/><Relationship Id="rId5" Type="http://schemas.openxmlformats.org/officeDocument/2006/relationships/hyperlink" Target="http://www.nevo.co.il/law/74274/556" TargetMode="External"/><Relationship Id="rId6" Type="http://schemas.openxmlformats.org/officeDocument/2006/relationships/hyperlink" Target="http://www.nevo.co.il/law/74845" TargetMode="External"/><Relationship Id="rId7" Type="http://schemas.openxmlformats.org/officeDocument/2006/relationships/hyperlink" Target="http://www.nevo.co.il/law/74845/1T14.a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42" TargetMode="External"/><Relationship Id="rId10" Type="http://schemas.openxmlformats.org/officeDocument/2006/relationships/hyperlink" Target="http://www.nevo.co.il/case/5610746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4274/556" TargetMode="External"/><Relationship Id="rId13" Type="http://schemas.openxmlformats.org/officeDocument/2006/relationships/hyperlink" Target="http://www.nevo.co.il/law/74274" TargetMode="External"/><Relationship Id="rId14" Type="http://schemas.openxmlformats.org/officeDocument/2006/relationships/hyperlink" Target="http://www.nevo.co.il/case/5610746" TargetMode="External"/><Relationship Id="rId15" Type="http://schemas.openxmlformats.org/officeDocument/2006/relationships/hyperlink" Target="http://www.nevo.co.il/law/74845/1T14.a" TargetMode="External"/><Relationship Id="rId16" Type="http://schemas.openxmlformats.org/officeDocument/2006/relationships/hyperlink" Target="http://www.nevo.co.il/law/74845" TargetMode="External"/><Relationship Id="rId17" Type="http://schemas.openxmlformats.org/officeDocument/2006/relationships/hyperlink" Target="http://www.nevo.co.il/law/5227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74274/556" TargetMode="External"/><Relationship Id="rId20" Type="http://schemas.openxmlformats.org/officeDocument/2006/relationships/hyperlink" Target="http://www.nevo.co.il/law/74274" TargetMode="External"/><Relationship Id="rId21" Type="http://schemas.openxmlformats.org/officeDocument/2006/relationships/hyperlink" Target="http://www.nevo.co.il/case/5610746" TargetMode="External"/><Relationship Id="rId22" Type="http://schemas.openxmlformats.org/officeDocument/2006/relationships/hyperlink" Target="http://www.nevo.co.il/law/74845/1T14.a" TargetMode="External"/><Relationship Id="rId23" Type="http://schemas.openxmlformats.org/officeDocument/2006/relationships/hyperlink" Target="http://www.nevo.co.il/law/74845" TargetMode="External"/><Relationship Id="rId24" Type="http://schemas.openxmlformats.org/officeDocument/2006/relationships/hyperlink" Target="http://www.nevo.co.il/law/5227" TargetMode="External"/><Relationship Id="rId25" Type="http://schemas.openxmlformats.org/officeDocument/2006/relationships/hyperlink" Target="http://www.nevo.co.il/case/17042916" TargetMode="External"/><Relationship Id="rId26" Type="http://schemas.openxmlformats.org/officeDocument/2006/relationships/hyperlink" Target="http://www.nevo.co.il/case/23769720" TargetMode="External"/><Relationship Id="rId27" Type="http://schemas.openxmlformats.org/officeDocument/2006/relationships/hyperlink" Target="http://www.nevo.co.il/case/21029610" TargetMode="External"/><Relationship Id="rId28" Type="http://schemas.openxmlformats.org/officeDocument/2006/relationships/hyperlink" Target="http://www.nevo.co.il/case/25047237" TargetMode="External"/><Relationship Id="rId29" Type="http://schemas.openxmlformats.org/officeDocument/2006/relationships/hyperlink" Target="http://www.nevo.co.il/case/24408128" TargetMode="External"/><Relationship Id="rId30" Type="http://schemas.openxmlformats.org/officeDocument/2006/relationships/hyperlink" Target="http://www.nevo.co.il/case/25549811" TargetMode="External"/><Relationship Id="rId31" Type="http://schemas.openxmlformats.org/officeDocument/2006/relationships/hyperlink" Target="http://www.nevo.co.il/case/2540866" TargetMode="External"/><Relationship Id="rId32" Type="http://schemas.openxmlformats.org/officeDocument/2006/relationships/hyperlink" Target="http://www.nevo.co.il/law/5227/42" TargetMode="External"/><Relationship Id="rId33" Type="http://schemas.openxmlformats.org/officeDocument/2006/relationships/hyperlink" Target="http://www.nevo.co.il/law/5227" TargetMode="External"/><Relationship Id="rId34" Type="http://schemas.openxmlformats.org/officeDocument/2006/relationships/hyperlink" Target="http://supreme.court.gov.il/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2020-02-27T08:15:00Z</dcterms:created>
  <dc:creator>h4</dc:creator>
  <dc:description/>
  <cp:keywords/>
  <dc:language>en-IL</dc:language>
  <cp:lastModifiedBy>orly</cp:lastModifiedBy>
  <cp:lastPrinted>2020-02-26T09:38:00Z</cp:lastPrinted>
  <dcterms:modified xsi:type="dcterms:W3CDTF">2020-02-27T08:15:00Z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אחמד אבו שריפה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5115783;5610746;17042916;23769720;21029610;25047237;24408128;25549811;2540866</vt:lpwstr>
  </property>
  <property fmtid="{D5CDD505-2E9C-101B-9397-08002B2CF9AE}" pid="9" name="CITY">
    <vt:lpwstr/>
  </property>
  <property fmtid="{D5CDD505-2E9C-101B-9397-08002B2CF9AE}" pid="10" name="DATE">
    <vt:lpwstr>20200226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עמית;י' וילנר;ע' גרוסקופף</vt:lpwstr>
  </property>
  <property fmtid="{D5CDD505-2E9C-101B-9397-08002B2CF9AE}" pid="14" name="LAWLISTTMP1">
    <vt:lpwstr>4216</vt:lpwstr>
  </property>
  <property fmtid="{D5CDD505-2E9C-101B-9397-08002B2CF9AE}" pid="15" name="LAWLISTTMP2">
    <vt:lpwstr>74274/556</vt:lpwstr>
  </property>
  <property fmtid="{D5CDD505-2E9C-101B-9397-08002B2CF9AE}" pid="16" name="LAWLISTTMP3">
    <vt:lpwstr>74845/1T14.a</vt:lpwstr>
  </property>
  <property fmtid="{D5CDD505-2E9C-101B-9397-08002B2CF9AE}" pid="17" name="LAWLISTTMP4">
    <vt:lpwstr>5227/042</vt:lpwstr>
  </property>
  <property fmtid="{D5CDD505-2E9C-101B-9397-08002B2CF9AE}" pid="18" name="LAWYER">
    <vt:lpwstr>בת שבע אבגז;ראפת אסדי;נוורס בטאט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נעה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תעבורה</vt:lpwstr>
  </property>
  <property fmtid="{D5CDD505-2E9C-101B-9397-08002B2CF9AE}" pid="30" name="NOSE110">
    <vt:lpwstr/>
  </property>
  <property fmtid="{D5CDD505-2E9C-101B-9397-08002B2CF9AE}" pid="31" name="NOSE12">
    <vt:lpwstr>משפט מינהלי</vt:lpwstr>
  </property>
  <property fmtid="{D5CDD505-2E9C-101B-9397-08002B2CF9AE}" pid="32" name="NOSE13">
    <vt:lpwstr>תעבורה</vt:lpwstr>
  </property>
  <property fmtid="{D5CDD505-2E9C-101B-9397-08002B2CF9AE}" pid="33" name="NOSE14">
    <vt:lpwstr>תעבורה</vt:lpwstr>
  </property>
  <property fmtid="{D5CDD505-2E9C-101B-9397-08002B2CF9AE}" pid="34" name="NOSE15">
    <vt:lpwstr>תעבורה</vt:lpwstr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104;60;104;104;104</vt:lpwstr>
  </property>
  <property fmtid="{D5CDD505-2E9C-101B-9397-08002B2CF9AE}" pid="40" name="NOSE21">
    <vt:lpwstr>פסילת רישיון</vt:lpwstr>
  </property>
  <property fmtid="{D5CDD505-2E9C-101B-9397-08002B2CF9AE}" pid="41" name="NOSE210">
    <vt:lpwstr/>
  </property>
  <property fmtid="{D5CDD505-2E9C-101B-9397-08002B2CF9AE}" pid="42" name="NOSE22">
    <vt:lpwstr>רשות מוסמכת</vt:lpwstr>
  </property>
  <property fmtid="{D5CDD505-2E9C-101B-9397-08002B2CF9AE}" pid="43" name="NOSE23">
    <vt:lpwstr>ענישה</vt:lpwstr>
  </property>
  <property fmtid="{D5CDD505-2E9C-101B-9397-08002B2CF9AE}" pid="44" name="NOSE24">
    <vt:lpwstr>ענישה</vt:lpwstr>
  </property>
  <property fmtid="{D5CDD505-2E9C-101B-9397-08002B2CF9AE}" pid="45" name="NOSE25">
    <vt:lpwstr>פסילת רישיון</vt:lpwstr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13679;1200;1831;1831;13679</vt:lpwstr>
  </property>
  <property fmtid="{D5CDD505-2E9C-101B-9397-08002B2CF9AE}" pid="51" name="NOSE31">
    <vt:lpwstr>סמכות בית המשפט</vt:lpwstr>
  </property>
  <property fmtid="{D5CDD505-2E9C-101B-9397-08002B2CF9AE}" pid="52" name="NOSE310">
    <vt:lpwstr/>
  </property>
  <property fmtid="{D5CDD505-2E9C-101B-9397-08002B2CF9AE}" pid="53" name="NOSE32">
    <vt:lpwstr>רשות הרישוי</vt:lpwstr>
  </property>
  <property fmtid="{D5CDD505-2E9C-101B-9397-08002B2CF9AE}" pid="54" name="NOSE33">
    <vt:lpwstr>פסילת רישיון</vt:lpwstr>
  </property>
  <property fmtid="{D5CDD505-2E9C-101B-9397-08002B2CF9AE}" pid="55" name="NOSE34">
    <vt:lpwstr>חישוב פסילה</vt:lpwstr>
  </property>
  <property fmtid="{D5CDD505-2E9C-101B-9397-08002B2CF9AE}" pid="56" name="NOSE35">
    <vt:lpwstr>הפקדת רישיון</vt:lpwstr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14965;7509;11265;13386;13971</vt:lpwstr>
  </property>
  <property fmtid="{D5CDD505-2E9C-101B-9397-08002B2CF9AE}" pid="62" name="PADIDATE">
    <vt:lpwstr>20200227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7323</vt:lpwstr>
  </property>
  <property fmtid="{D5CDD505-2E9C-101B-9397-08002B2CF9AE}" pid="68" name="PROCYEAR">
    <vt:lpwstr>19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410120200226</vt:lpwstr>
  </property>
  <property fmtid="{D5CDD505-2E9C-101B-9397-08002B2CF9AE}" pid="72" name="TYPE_N_DATE">
    <vt:lpwstr>41020200226</vt:lpwstr>
  </property>
  <property fmtid="{D5CDD505-2E9C-101B-9397-08002B2CF9AE}" pid="73" name="VOLUME">
    <vt:lpwstr/>
  </property>
  <property fmtid="{D5CDD505-2E9C-101B-9397-08002B2CF9AE}" pid="74" name="WORDNUMPAGES">
    <vt:lpwstr>7</vt:lpwstr>
  </property>
</Properties>
</file>