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7367/18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איימן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כורד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23026-10-16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נעם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sz w:val="24"/>
                <w:szCs w:val="24"/>
                <w:rtl w:val="true"/>
              </w:rPr>
              <w:t>;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אברבנ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10.4.2019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מחמד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וסטרמן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186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305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bookmarkStart w:id="7" w:name="ABSTRACT_START"/>
      <w:bookmarkEnd w:id="7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לרצח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גמול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והרתעה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והתוצאות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יוטלו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במצטבר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בסופו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לרצח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לאומני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ביטחוניות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המבוצעות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אידיאולוגי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היעדר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וגיל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צעיר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נסוגים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הרתעה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וגמול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דרכי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מצטברים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לאומני‏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אידיאולוגי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ותשלום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לנפגעי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328,000</w:t>
      </w:r>
      <w:r>
        <w:rPr>
          <w:rFonts w:cs="FrankRuehl;Times New Roman"/>
          <w:sz w:val="24"/>
          <w:szCs w:val="26"/>
          <w:rtl w:val="true"/>
        </w:rPr>
        <w:t xml:space="preserve"> ₪,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לרצח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ובהחזקת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סכין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תיעשה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בלבד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קיצוני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הראויה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האמורים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טוען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בערעורו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ואולם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לציין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לרצח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להטיל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מצטברים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גמול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והרתעה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יוטלו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במצטבר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האמור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מצטברים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הנדון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בסופו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הולמים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דומים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מסקנה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מתבקשת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בראש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ובראשונה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לנפגעי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לרצח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לאומני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במטרה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לפגוע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בביטחון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המדינה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לגביהן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ופוטנציאל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ולציבור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לנקוט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ולהטיל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משמעותיים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יעבירו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ונוקב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יצוין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ביטחוניות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בעיצומו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טרור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כבענייננו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בענישה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האמור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לרצח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לאומני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היעדר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וגילו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הצעיר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ביטחוניות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המבוצעות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אידיאולוגי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נסוגים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הרתעה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וגמול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למצבו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הרפואי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והיותו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השוטר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לעברו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בחשבון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הראויה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מנגד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לשוטרת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  <w:u w:val="single"/>
        </w:rPr>
      </w:pPr>
      <w:r>
        <w:rPr>
          <w:rFonts w:cs="FrankRuehl;Times New Roman" w:ascii="Arial TUR;Arial" w:hAnsi="Arial TUR;Arial"/>
          <w:spacing w:val="10"/>
          <w:sz w:val="22"/>
          <w:szCs w:val="28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הנשיא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והשופטים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פרידמן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פלדמן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אברבנאל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hyperlink r:id="rId6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23026-10-16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6.9.2018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328,000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20.10.2016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שפקד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ירושלים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19.6.2016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המוקדמות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מביתו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7:30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לערך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בשוטרת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לעקוב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להוציא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תוכניתו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הרצחנית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ובצווארו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להורגו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השוטרת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ודקרהּ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שנשברה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לנטרלו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השוטרת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הובהלה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אנוש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מורדמת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ומונשמת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ולהב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נעוץ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השדרה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השוטרת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שיתוק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הצוואר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ומטה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ובצווארו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נזקק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רפואי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בדקירת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השוטרים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7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305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hyperlink r:id="rId8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1977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9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186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חברתיים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הדמוקרטיה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ריבונות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וקדושת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אכיפת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אידיאולוגי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לשוטרים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וארוכי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טווח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השוטרת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משותקת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ומצויה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סיעודי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מלא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משפיע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משפחתה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מתמודד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כרוניים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וסימפטומים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פוסט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טראומטיים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משמעותיים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המבוצעות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אידיאולוגי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כמשמעו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113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hyperlink r:id="rId10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בריבוי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פיגועי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המרביים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והמצטברים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גמול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קדושת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ושלמות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הגוף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לשוטרים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השיקולים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בבואו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לחומרה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התכנון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שקדם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לשוטרת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והרתעה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צוינו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והנכות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השוטר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יינתן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שתגרום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לשוטרת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258,000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70,000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התסקיר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להשלמת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10.4.2019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התעוררו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חריגות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בתפקודו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נמסר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וחינוך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בעיקרו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וחרג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מספקת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הנקי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ומרותק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לכיסא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גלגלים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ובראשן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לשוטרת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הרתעה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תיעשה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קיצוני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המקובלת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1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8479/16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30.5.2018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2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9147/17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20.9.2018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3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4678/18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אנופרייב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23.1.2019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בגדרם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8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הרשיע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לרצח</w:t>
      </w: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וקבע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עונשים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מצטברים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לשתי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שיקולי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גמול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והרתעה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והשוו</w:t>
      </w: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 xml:space="preserve">: </w:t>
      </w:r>
      <w:hyperlink r:id="rId14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1119/11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סרחאן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76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5.5.2015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 xml:space="preserve">),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ובשים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לתוצאות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עליהן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אעמוד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העונשים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יוטלו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8"/>
          <w:sz w:val="28"/>
          <w:szCs w:val="28"/>
          <w:rtl w:val="true"/>
        </w:rPr>
        <w:t>במצטבר</w:t>
      </w:r>
      <w:r>
        <w:rPr>
          <w:rFonts w:cs="FrankRuehl;Times New Roman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שכן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מצטברים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הולמים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5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10111/16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15.2.2018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6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9821/16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30.11.2017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7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9816/16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21.12.2017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לעיוננו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לשוטרים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וארוכי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טווח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השוטרת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מאושפזת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פציעתה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ונותרה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משותקת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מהצוואר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ומטה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סיעודי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מלא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השוטרת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מתפקד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ועצמאי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לתלויה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בעזרים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רפואיים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ובזולתה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פציעתה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משפחתה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ונזקקו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נפשי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מתמודד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כרוניים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וסובל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מתסמינים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פוסט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טראומתיים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לאומני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בביטחון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שלגביהן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לנקוט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משמעותיים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יעבירו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משמעי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ונוקב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8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3577/12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23.7.2014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9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2937/13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טארק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27.7.2014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0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733/17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7.6.2017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ביטחוניות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בעיצומו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טרור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כבענייננו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1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4742/16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28.2.2018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2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1299/17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דווידאת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13.1.2019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אידיאולוגי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בקורבן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הדמוקרטיה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מהמסד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הטפחות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מתפשטת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והופכת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למגוונת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העבריין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האידיאולוגי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ששואף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קטלנית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מכוונת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היחיד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קבוצה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ומחמיר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לרצח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לאומני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לדוגמא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3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9552/16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קומבוז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22.1.2018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יחיא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דווידאת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ונימוקיו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מקובלים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ביטחוניות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המבוצעות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אידיאולוגי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נסוגים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הרתעה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וגמול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4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1787/14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קוידר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19.10.2014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25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6838/17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25.6.2018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הראויה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לשוטרת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6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9964/16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אסראא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22.1.2018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ולהותיר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sz w:val="28"/>
          <w:szCs w:val="36"/>
        </w:rPr>
      </w:pPr>
      <w:r>
        <w:rPr>
          <w:sz w:val="28"/>
          <w:szCs w:val="36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2.5.2019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18073670</w:t>
      </w:r>
      <w:r>
        <w:rPr>
          <w:sz w:val="16"/>
          <w:rtl w:val="true"/>
        </w:rPr>
        <w:t>_</w:t>
      </w:r>
      <w:r>
        <w:rPr>
          <w:sz w:val="16"/>
        </w:rPr>
        <w:t>R02.docx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יכ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  <w:szCs w:val="22"/>
        </w:rPr>
        <w:t>54678313-7367/18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9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7367/18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איימן כורד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8852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case/21688524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86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4263465" TargetMode="External"/><Relationship Id="rId12" Type="http://schemas.openxmlformats.org/officeDocument/2006/relationships/hyperlink" Target="http://www.nevo.co.il/case/23506543" TargetMode="External"/><Relationship Id="rId13" Type="http://schemas.openxmlformats.org/officeDocument/2006/relationships/hyperlink" Target="http://www.nevo.co.il/case/24307831" TargetMode="External"/><Relationship Id="rId14" Type="http://schemas.openxmlformats.org/officeDocument/2006/relationships/hyperlink" Target="http://www.nevo.co.il/case/5748040" TargetMode="External"/><Relationship Id="rId15" Type="http://schemas.openxmlformats.org/officeDocument/2006/relationships/hyperlink" Target="http://www.nevo.co.il/case/21901034" TargetMode="External"/><Relationship Id="rId16" Type="http://schemas.openxmlformats.org/officeDocument/2006/relationships/hyperlink" Target="http://www.nevo.co.il/case/23506710" TargetMode="External"/><Relationship Id="rId17" Type="http://schemas.openxmlformats.org/officeDocument/2006/relationships/hyperlink" Target="http://www.nevo.co.il/case/23507133" TargetMode="External"/><Relationship Id="rId18" Type="http://schemas.openxmlformats.org/officeDocument/2006/relationships/hyperlink" Target="http://www.nevo.co.il/case/5583777" TargetMode="External"/><Relationship Id="rId19" Type="http://schemas.openxmlformats.org/officeDocument/2006/relationships/hyperlink" Target="http://www.nevo.co.il/case/6950426" TargetMode="External"/><Relationship Id="rId20" Type="http://schemas.openxmlformats.org/officeDocument/2006/relationships/hyperlink" Target="http://www.nevo.co.il/case/22189170" TargetMode="External"/><Relationship Id="rId21" Type="http://schemas.openxmlformats.org/officeDocument/2006/relationships/hyperlink" Target="http://www.nevo.co.il/case/21477317" TargetMode="External"/><Relationship Id="rId22" Type="http://schemas.openxmlformats.org/officeDocument/2006/relationships/hyperlink" Target="http://www.nevo.co.il/case/22232071" TargetMode="External"/><Relationship Id="rId23" Type="http://schemas.openxmlformats.org/officeDocument/2006/relationships/hyperlink" Target="http://www.nevo.co.il/case/21740522" TargetMode="External"/><Relationship Id="rId24" Type="http://schemas.openxmlformats.org/officeDocument/2006/relationships/hyperlink" Target="http://www.nevo.co.il/case/13038787" TargetMode="External"/><Relationship Id="rId25" Type="http://schemas.openxmlformats.org/officeDocument/2006/relationships/hyperlink" Target="http://www.nevo.co.il/case/24344698" TargetMode="External"/><Relationship Id="rId26" Type="http://schemas.openxmlformats.org/officeDocument/2006/relationships/hyperlink" Target="http://www.nevo.co.il/case/21860534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2019-05-05T15:38:00Z</dcterms:created>
  <dc:creator>h4</dc:creator>
  <dc:description/>
  <cp:keywords/>
  <dc:language>en-IL</dc:language>
  <cp:lastModifiedBy>orly</cp:lastModifiedBy>
  <cp:lastPrinted>2019-05-02T10:19:00Z</cp:lastPrinted>
  <dcterms:modified xsi:type="dcterms:W3CDTF">2019-05-05T15:38:00Z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איימן כורד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21688524:2;24263465;23506543;24307831;5748040;21901034;23506710;23507133;5583777;6950426;22189170;21477317;22232071;21740522;13038787;24344698;21860534</vt:lpwstr>
  </property>
  <property fmtid="{D5CDD505-2E9C-101B-9397-08002B2CF9AE}" pid="9" name="CITY">
    <vt:lpwstr/>
  </property>
  <property fmtid="{D5CDD505-2E9C-101B-9397-08002B2CF9AE}" pid="10" name="DATE">
    <vt:lpwstr>20190502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מינץ;י' וילנר</vt:lpwstr>
  </property>
  <property fmtid="{D5CDD505-2E9C-101B-9397-08002B2CF9AE}" pid="14" name="LAWLISTTMP1">
    <vt:lpwstr>70301/305.1;186.a</vt:lpwstr>
  </property>
  <property fmtid="{D5CDD505-2E9C-101B-9397-08002B2CF9AE}" pid="15" name="LAWYER">
    <vt:lpwstr>אבי וסטרמן;מחמד מחמוד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דרכי ענישה: עונשים מצטברים</vt:lpwstr>
  </property>
  <property fmtid="{D5CDD505-2E9C-101B-9397-08002B2CF9AE}" pid="51" name="NOSE33">
    <vt:lpwstr>מדיניות ענישה: עבירות אלימות על רקע לאומני‏</vt:lpwstr>
  </property>
  <property fmtid="{D5CDD505-2E9C-101B-9397-08002B2CF9AE}" pid="52" name="NOSE34">
    <vt:lpwstr>מדיניות ענישה: עבירות אלימות על רקע אידיאולוגי</vt:lpwstr>
  </property>
  <property fmtid="{D5CDD505-2E9C-101B-9397-08002B2CF9AE}" pid="53" name="NOSE35">
    <vt:lpwstr>מדיניות ענישה: עבירות ביטחון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17039;8966;16899;17645;8985</vt:lpwstr>
  </property>
  <property fmtid="{D5CDD505-2E9C-101B-9397-08002B2CF9AE}" pid="59" name="PADIDATE">
    <vt:lpwstr>20190506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7367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410120190502</vt:lpwstr>
  </property>
  <property fmtid="{D5CDD505-2E9C-101B-9397-08002B2CF9AE}" pid="69" name="TYPE_N_DATE">
    <vt:lpwstr>41020190502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