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star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end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4"/>
                <w:szCs w:val="24"/>
              </w:rPr>
              <w:t>7396/15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גדליה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pacing w:val="0"/>
          <w:sz w:val="28"/>
          <w:szCs w:val="28"/>
          <w:rtl w:val="true"/>
        </w:rPr>
        <w:t xml:space="preserve">                                          </w:t>
      </w:r>
      <w:r>
        <w:rPr>
          <w:spacing w:val="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pacing w:val="0"/>
          <w:sz w:val="28"/>
          <w:szCs w:val="28"/>
          <w:rtl w:val="true"/>
        </w:rPr>
        <w:t xml:space="preserve">                                                                                               </w:t>
      </w:r>
      <w:r>
        <w:rPr>
          <w:spacing w:val="0"/>
          <w:rtl w:val="true"/>
        </w:rPr>
        <w:t xml:space="preserve">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pacing w:val="0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1.5.2014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11.10.2015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color w:val="000000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11477-10-12</w:t>
              </w:r>
            </w:hyperlink>
            <w:r>
              <w:rPr>
                <w:rFonts w:cs="David"/>
                <w:color w:val="000000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-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צרפתי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pacing w:val="0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151"/>
        <w:gridCol w:w="212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3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9.2.2017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212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pacing w:val="0"/>
          <w:sz w:val="28"/>
          <w:szCs w:val="28"/>
        </w:rPr>
      </w:pPr>
      <w:r>
        <w:rPr>
          <w:rFonts w:cs="Times New Roman"/>
          <w:spacing w:val="0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אולמן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שחף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אולמן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שלומוביץ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pacing w:val="0"/>
          <w:sz w:val="28"/>
          <w:szCs w:val="28"/>
        </w:rPr>
      </w:pPr>
      <w:r>
        <w:rPr>
          <w:rFonts w:cs="Times New Roman"/>
          <w:spacing w:val="0"/>
          <w:sz w:val="28"/>
          <w:szCs w:val="28"/>
          <w:rtl w:val="true"/>
        </w:rPr>
        <w:t xml:space="preserve"> </w:t>
      </w:r>
    </w:p>
    <w:tbl>
      <w:tblPr>
        <w:bidiVisual w:val="true"/>
        <w:tblW w:w="831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6"/>
        <w:gridCol w:w="3120"/>
        <w:gridCol w:w="4921"/>
        <w:gridCol w:w="135"/>
      </w:tblGrid>
      <w:tr>
        <w:trPr/>
        <w:tc>
          <w:tcPr>
            <w:tcW w:w="136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bookmarkStart w:id="2" w:name="FirstLawyer"/>
            <w:bookmarkEnd w:id="2"/>
            <w:r>
              <w:rPr>
                <w:rtl w:val="true"/>
              </w:rPr>
              <w:t xml:space="preserve"> </w:t>
            </w:r>
          </w:p>
        </w:tc>
        <w:tc>
          <w:tcPr>
            <w:tcW w:w="312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492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48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רוסו</w:t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831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DocumentHead"/>
              <w:snapToGrid w:val="false"/>
              <w:ind w:end="0"/>
              <w:jc w:val="center"/>
              <w:rPr>
                <w:rFonts w:cs="David"/>
                <w:sz w:val="28"/>
                <w:szCs w:val="28"/>
                <w:u w:val="none"/>
              </w:rPr>
            </w:pPr>
            <w:r>
              <w:rPr>
                <w:rFonts w:cs="David"/>
                <w:sz w:val="28"/>
                <w:szCs w:val="28"/>
                <w:u w:val="none"/>
                <w:rtl w:val="true"/>
              </w:rPr>
            </w:r>
            <w:bookmarkStart w:id="3" w:name="LawTable"/>
            <w:bookmarkStart w:id="4" w:name="secretary"/>
            <w:bookmarkStart w:id="5" w:name="BeginProtocol"/>
            <w:bookmarkStart w:id="6" w:name="LawTable"/>
            <w:bookmarkStart w:id="7" w:name="secretary"/>
            <w:bookmarkStart w:id="8" w:name="BeginProtocol"/>
            <w:bookmarkEnd w:id="6"/>
            <w:bookmarkEnd w:id="7"/>
            <w:bookmarkEnd w:id="8"/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</w:r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pacing w:val="0"/>
                <w:sz w:val="24"/>
                <w:szCs w:val="24"/>
                <w:u w:val="none"/>
              </w:rPr>
            </w:pPr>
            <w:r>
              <w:rPr>
                <w:rFonts w:ascii="FrankRuehl" w:hAnsi="FrankRuehl" w:cs="FrankRuehl"/>
                <w:spacing w:val="0"/>
                <w:sz w:val="24"/>
                <w:sz w:val="24"/>
                <w:szCs w:val="24"/>
                <w:u w:val="none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  <w:t xml:space="preserve">: </w:t>
            </w:r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pacing w:val="0"/>
                <w:sz w:val="24"/>
                <w:szCs w:val="24"/>
                <w:u w:val="none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</w:rPr>
                <w:t>1977</w:t>
              </w:r>
            </w:hyperlink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spacing w:val="0"/>
                <w:sz w:val="24"/>
                <w:sz w:val="24"/>
                <w:szCs w:val="24"/>
                <w:u w:val="none"/>
                <w:rtl w:val="true"/>
              </w:rPr>
              <w:t>סע</w:t>
            </w:r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  <w:t xml:space="preserve">' 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</w:rPr>
                <w:t>77</w:t>
              </w:r>
            </w:hyperlink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</w:rPr>
                <w:t>192</w:t>
              </w:r>
            </w:hyperlink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</w:rPr>
                <w:t>300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</w:rPr>
                <w:t>300</w:t>
              </w:r>
              <w:r>
                <w:rPr>
                  <w:rStyle w:val="Hyperlink"/>
                  <w:rFonts w:ascii="FrankRuehl" w:hAnsi="FrankRuehl" w:cs="FrankRuehl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spacing w:val="0"/>
                  <w:sz w:val="24"/>
                  <w:szCs w:val="24"/>
                  <w:rtl w:val="true"/>
                </w:rPr>
                <w:t>)</w:t>
              </w:r>
            </w:hyperlink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spacing w:val="0"/>
                <w:sz w:val="24"/>
                <w:szCs w:val="24"/>
                <w:u w:val="none"/>
                <w:rtl w:val="true"/>
              </w:rPr>
            </w:r>
          </w:p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LawTable_End"/>
            <w:bookmarkEnd w:id="1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u w:val="non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דין</w:t>
            </w:r>
            <w:r>
              <w:rPr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 xml:space="preserve"> </w:t>
            </w:r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משלים</w:t>
            </w:r>
          </w:p>
        </w:tc>
      </w:tr>
      <w:tr>
        <w:trPr/>
        <w:tc>
          <w:tcPr>
            <w:tcW w:w="136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4921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2" w:name="Start_Write"/>
      <w:bookmarkEnd w:id="12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bookmarkStart w:id="13" w:name="ABSTRACT_START"/>
      <w:bookmarkEnd w:id="13"/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11477-10-12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bookmarkStart w:id="14" w:name="ABSTRACT_END"/>
      <w:bookmarkEnd w:id="14"/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פסק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החלקי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טווק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7.6.2016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טווק</w:t>
      </w:r>
      <w:r>
        <w:rPr>
          <w:rFonts w:cs="FrankRuehl"/>
          <w:sz w:val="28"/>
          <w:szCs w:val="28"/>
          <w:rtl w:val="true"/>
        </w:rPr>
        <w:t xml:space="preserve">), 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לקרוביו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מהקרובים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13.9.2017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קארין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טווק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13.9.2017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6"/>
          <w:sz w:val="28"/>
          <w:sz w:val="28"/>
          <w:szCs w:val="28"/>
          <w:rtl w:val="true"/>
        </w:rPr>
        <w:t>יש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להרחיב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את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מעגל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הזכאים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לפיצוי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בהליך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הפלילי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מכוח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6"/>
            <w:sz w:val="28"/>
            <w:szCs w:val="28"/>
            <w:u w:val="single"/>
          </w:rPr>
          <w:t>77</w:t>
        </w:r>
      </w:hyperlink>
      <w:r>
        <w:rPr>
          <w:rFonts w:cs="FrankRuehl"/>
          <w:spacing w:val="6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כך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שיכלול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גם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ניזוקים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עקיפים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שהם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בני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משפחה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מדרגה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ראשונה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ובכל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סוגי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אך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מאידך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גיסא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יוגבל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סכום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הפיצוי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שניזוקים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אלה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זכאים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לקבל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כולם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יחד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לכדי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סכום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התקרה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הסטטוטורית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הקבועה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בסעיף</w:t>
      </w:r>
      <w:r>
        <w:rPr>
          <w:rFonts w:cs="FrankRuehl"/>
          <w:sz w:val="28"/>
          <w:szCs w:val="28"/>
          <w:rtl w:val="true"/>
        </w:rPr>
        <w:t xml:space="preserve">."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הכולל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משיבים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14.9.2017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15073960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B10.doc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54678313-7396/15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7396/15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</w:rPr>
      <w:t>11477-10-12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משה גדליה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" w:hAnsi="Arial TUR" w:cs="Arial TUR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9693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0a.a" TargetMode="External"/><Relationship Id="rId8" Type="http://schemas.openxmlformats.org/officeDocument/2006/relationships/hyperlink" Target="http://www.nevo.co.il/case/3969393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00a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0770422" TargetMode="External"/><Relationship Id="rId15" Type="http://schemas.openxmlformats.org/officeDocument/2006/relationships/hyperlink" Target="http://www.nevo.co.il/law/70301/77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1476413" TargetMode="External"/><Relationship Id="rId18" Type="http://schemas.openxmlformats.org/officeDocument/2006/relationships/hyperlink" Target="http://www.nevo.co.il/law/70301/77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2017-09-17T08:21:00Z</dcterms:created>
  <dc:creator> </dc:creator>
  <dc:description/>
  <cp:keywords/>
  <dc:language>en-IL</dc:language>
  <cp:lastModifiedBy>Hofit</cp:lastModifiedBy>
  <dcterms:modified xsi:type="dcterms:W3CDTF">2017-09-17T08:21:00Z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גדליה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3969393:2;20770422;21476413</vt:lpwstr>
  </property>
  <property fmtid="{D5CDD505-2E9C-101B-9397-08002B2CF9AE}" pid="9" name="CITY">
    <vt:lpwstr/>
  </property>
  <property fmtid="{D5CDD505-2E9C-101B-9397-08002B2CF9AE}" pid="10" name="DATE">
    <vt:lpwstr>20170914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חיות;י' עמית;מ' מזוז</vt:lpwstr>
  </property>
  <property fmtid="{D5CDD505-2E9C-101B-9397-08002B2CF9AE}" pid="14" name="LAWLISTTMP1">
    <vt:lpwstr>70301/300.a.2;192;300a.a;077:2</vt:lpwstr>
  </property>
  <property fmtid="{D5CDD505-2E9C-101B-9397-08002B2CF9AE}" pid="15" name="LAWYER">
    <vt:lpwstr>סיון רוסו;תמי אולמן;שחף אולמן;יעקב שלומוביץ'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עפ</vt:lpwstr>
  </property>
  <property fmtid="{D5CDD505-2E9C-101B-9397-08002B2CF9AE}" pid="29" name="PROCNUM">
    <vt:lpwstr>7396</vt:lpwstr>
  </property>
  <property fmtid="{D5CDD505-2E9C-101B-9397-08002B2CF9AE}" pid="30" name="PROCYEAR">
    <vt:lpwstr>15</vt:lpwstr>
  </property>
  <property fmtid="{D5CDD505-2E9C-101B-9397-08002B2CF9AE}" pid="31" name="PSAKDIN">
    <vt:lpwstr>פסק-דין</vt:lpwstr>
  </property>
  <property fmtid="{D5CDD505-2E9C-101B-9397-08002B2CF9AE}" pid="32" name="TYPE">
    <vt:lpwstr>1</vt:lpwstr>
  </property>
  <property fmtid="{D5CDD505-2E9C-101B-9397-08002B2CF9AE}" pid="33" name="TYPE_ABS_DATE">
    <vt:lpwstr>410020170914</vt:lpwstr>
  </property>
  <property fmtid="{D5CDD505-2E9C-101B-9397-08002B2CF9AE}" pid="34" name="TYPE_N_DATE">
    <vt:lpwstr>41020170914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