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/>
        <w:tc>
          <w:tcPr>
            <w:tcW w:w="8363" w:type="dxa"/>
            <w:tcBorders/>
          </w:tcPr>
          <w:p>
            <w:pPr>
              <w:pStyle w:val="FileNumber1"/>
              <w:snapToGrid w:val="false"/>
              <w:ind w:end="0"/>
              <w:jc w:val="start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7416/22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אפרם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דויט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6078-04-21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22.9.2022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[</w:t>
            </w:r>
            <w:r>
              <w:rPr>
                <w:sz w:val="24"/>
                <w:sz w:val="24"/>
                <w:szCs w:val="24"/>
                <w:rtl w:val="true"/>
              </w:rPr>
              <w:t>פורסם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בנבו</w:t>
            </w:r>
            <w:r>
              <w:rPr>
                <w:sz w:val="24"/>
                <w:szCs w:val="24"/>
                <w:rtl w:val="true"/>
              </w:rPr>
              <w:t>]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רביד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מאור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ארי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24.5.2023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פרייזלר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7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9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$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)),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)),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$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304$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דן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 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המתה בנסיבות של אחריות מופחתת בכלל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המתה במצב של שכרות בפרט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 כי 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אשר נגזר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שכלל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לצד ענישה נלווית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הרשעתו בעבירה הנדונה בהיותו במצב של שכרות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הולם את חומרת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מתחשב כדבעי במכלול נסיבות ביצוע העבירה ונסיבותיו האישיות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ועולה בקנה אחד עם מדיניות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שיקולים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עונשין – ענישה –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הגנות – שכרות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התערבות במידת העונש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מערער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פי הודאתו במסגרת 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בעבירת המתה בנסיבות של אחריות מופחתת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בנסיבות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ביחד עם סעיף </w:t>
      </w:r>
      <w:r>
        <w:rPr>
          <w:rFonts w:cs="Times New Roman" w:ascii="Times New Roman" w:hAnsi="Times New Roman"/>
          <w:spacing w:val="0"/>
          <w:sz w:val="24"/>
          <w:szCs w:val="26"/>
        </w:rPr>
        <w:t>34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 המתת הגיש מארט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 עלי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ענישה נלווית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נסוב על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שטיין ורונן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במוקד ענייננו ניצבת החלופה לעבירת ההמתה באחריות מופחתת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הסעיף עוסק בשלושה מצבים בהם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החוק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מייחס לנאשם מצב נפשי של אדישות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34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עניינו במבצע בצוותא לעבירה שונה או נוספת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 היה מודע לאפשרות עשייתה בידי שותפו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אדם מן היישוב היה יכול להיות מודע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34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עניינו בכניסה למצב בהתנהגות פסולה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34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עניינו ביצוע עבירה במצב של שכרות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בהעדר הסדר פרטני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נאשם עלול להיות מורשע בעבירת 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אף שבפועל מעשה ההמתה לא כלל יסוד נפשי של כוונה או אדישות כלפי התוצאה הקטלנית כך שמדובר במצבים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אינם מתאפיינים בזלזול המובהק בחיי אדם המגולם בעבירת הרצח לא ראוי לאפיינם בתיוג ובענישה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 ההמתה באחריות מופחתת מאפשרת להתאים את טיב אחריות ותיוג הנאשם ואת העונש ההולם את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נאשם בעבירת המתה עשוי להיות מורשע בהמתה בנסיבות של אחריות מופחתת כאשר מעשה ההמתה בוצע בהיותו נתון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מצב של שכרות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כדי לחסות תחת הגנת השכרות עבור מי שהיה במצב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שכרות מלאה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מורה סעיף </w:t>
      </w:r>
      <w:r>
        <w:rPr>
          <w:rFonts w:cs="Times New Roman" w:ascii="Times New Roman" w:hAnsi="Times New Roman"/>
          <w:spacing w:val="0"/>
          <w:sz w:val="24"/>
          <w:szCs w:val="26"/>
        </w:rPr>
        <w:t>34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כי לא די בכך שהיה תחת השפעת אלכוהול בשעת המעשה אלא נדרש קשר סיבתי בין השכרות לפגם משמעותי במודעותו למעשיו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 לשלוש החלופות המנויות בסעיף העוסקות בהבנתו את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הבנתו את הפסול בהם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ויכולת הרצייה שלו ביחס אליהם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ניתן לחסות תחת הגנת השכרות גם במסגרת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שכרות חלקית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הנאשם היה נתון תחת השפעת חומר משכר בעת 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חסר מודעות לפרט מפרטי העבירה בשעת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ומתקיים קשר סיבתי בין רכיבים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גם אם בדמו של הנאשם היה ריכוז גבוה של אלכוהול לא די בכך כדי להכניסו בשערי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הגנת השכרות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יש להוכיח את טיב השפעת האלכוהול על מעשיו ומודעותו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אילו ייקבע כי נאשם ביצע את מעשה ההמתה בהיותו נתון תחת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מצב של שכרות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אזי רואים אותו כמי שביצע את המעשה במצב נפשי של אדישות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והוא עלול להיות מורשע בעבירת המתה בנסיבות של אחריות מופחתת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שהעונש המרבי בצידה הוא עשרים 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301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301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>.</w:t>
      </w:r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הורשע על פי הודאתו בעבירת המתה בנסיבות של אחריות מופחתת בשל המתת הגיש מארט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 xml:space="preserve">). </w:t>
      </w:r>
      <w:r>
        <w:rPr>
          <w:rtl w:val="true"/>
        </w:rPr>
        <w:t>בגין כך</w:t>
      </w:r>
      <w:r>
        <w:rPr>
          <w:rtl w:val="true"/>
        </w:rPr>
        <w:t xml:space="preserve">, </w:t>
      </w:r>
      <w:r>
        <w:rPr>
          <w:rtl w:val="true"/>
        </w:rPr>
        <w:t xml:space="preserve">בגזר דין מיום </w:t>
      </w:r>
      <w:r>
        <w:rPr/>
        <w:t>22.9.2022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 xml:space="preserve">של בית המשפט המחוזי בתל אביב יפו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רביד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מאור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2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6078-04-21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נגזר עליו עונש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. </w:t>
      </w:r>
      <w:r>
        <w:rPr>
          <w:rtl w:val="true"/>
        </w:rPr>
        <w:t>הערעור שלפנינו נסוב על חומרת 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לפי כתב האישום המתוקן</w:t>
      </w:r>
      <w:r>
        <w:rPr>
          <w:rtl w:val="true"/>
        </w:rPr>
        <w:t xml:space="preserve">, </w:t>
      </w:r>
      <w:r>
        <w:rPr>
          <w:rtl w:val="true"/>
        </w:rPr>
        <w:t>המערער והמנוח היו שותפים לדירה ברחוב דרך ההגנה בתל אביב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9.3.2021</w:t>
      </w:r>
      <w:r>
        <w:rPr>
          <w:rtl w:val="true"/>
        </w:rPr>
        <w:t xml:space="preserve"> </w:t>
      </w:r>
      <w:r>
        <w:rPr>
          <w:rtl w:val="true"/>
        </w:rPr>
        <w:t>בשעות הבוקר</w:t>
      </w:r>
      <w:r>
        <w:rPr>
          <w:rtl w:val="true"/>
        </w:rPr>
        <w:t xml:space="preserve">, </w:t>
      </w:r>
      <w:r>
        <w:rPr>
          <w:rtl w:val="true"/>
        </w:rPr>
        <w:t>שניהם היו תחת השפעת אלכוהול והמערער היה במצב של שכרות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המערער הודיע למנוח כי בכוונתו לעזוב את הדירה לטובת מגורים בבאר</w:t>
      </w:r>
      <w:r>
        <w:rPr>
          <w:rtl w:val="true"/>
        </w:rPr>
        <w:t>-</w:t>
      </w:r>
      <w:r>
        <w:rPr>
          <w:rtl w:val="true"/>
        </w:rPr>
        <w:t>שבע ובין השניים התפתח ויכוח בעקבות כך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 הוויכוח</w:t>
      </w:r>
      <w:r>
        <w:rPr>
          <w:rtl w:val="true"/>
        </w:rPr>
        <w:t xml:space="preserve">, </w:t>
      </w:r>
      <w:r>
        <w:rPr>
          <w:rtl w:val="true"/>
        </w:rPr>
        <w:t>המנוח נטל סכין מטבח וניסה לדקור את המערער</w:t>
      </w:r>
      <w:r>
        <w:rPr>
          <w:rtl w:val="true"/>
        </w:rPr>
        <w:t xml:space="preserve">. </w:t>
      </w:r>
      <w:r>
        <w:rPr>
          <w:rtl w:val="true"/>
        </w:rPr>
        <w:t>בין השניים התפתח מאבק שבמהלכו המנוח חנק את המערער בצווארו וגרם לו ל</w:t>
      </w:r>
      <w:r>
        <w:rPr>
          <w:rtl w:val="true"/>
        </w:rPr>
        <w:t>צֶבֶר</w:t>
      </w:r>
      <w:r>
        <w:rPr>
          <w:rtl w:val="true"/>
        </w:rPr>
        <w:t xml:space="preserve"> שפכי דם וכן דקר אותו בכף ידו וגרם לו לחתכים</w:t>
      </w:r>
      <w:r>
        <w:rPr>
          <w:rtl w:val="true"/>
        </w:rPr>
        <w:t xml:space="preserve">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בעוד שהמערער מנסה להתגונן מפניו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בחזה</w:t>
      </w:r>
      <w:r>
        <w:rPr>
          <w:rtl w:val="true"/>
        </w:rPr>
        <w:t xml:space="preserve">, </w:t>
      </w:r>
      <w:r>
        <w:rPr>
          <w:rtl w:val="true"/>
        </w:rPr>
        <w:t>בבטן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מימין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 xml:space="preserve">. </w:t>
      </w:r>
      <w:r>
        <w:rPr>
          <w:rtl w:val="true"/>
        </w:rPr>
        <w:t>הדקירות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חדרו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לריאות</w:t>
      </w:r>
      <w:r>
        <w:rPr>
          <w:rtl w:val="true"/>
        </w:rPr>
        <w:t xml:space="preserve">, </w:t>
      </w:r>
      <w:r>
        <w:rPr>
          <w:rtl w:val="true"/>
        </w:rPr>
        <w:t>לכבד</w:t>
      </w:r>
      <w:r>
        <w:rPr>
          <w:rtl w:val="true"/>
        </w:rPr>
        <w:t xml:space="preserve">, </w:t>
      </w:r>
      <w:r>
        <w:rPr>
          <w:rtl w:val="true"/>
        </w:rPr>
        <w:t>לכליה</w:t>
      </w:r>
      <w:r>
        <w:rPr>
          <w:rtl w:val="true"/>
        </w:rPr>
        <w:t xml:space="preserve">, </w:t>
      </w:r>
      <w:r>
        <w:rPr>
          <w:rtl w:val="true"/>
        </w:rPr>
        <w:t>לעורק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השדרה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הורשע 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בעבירה שיוחסה לו בכתב האישום המתוקן</w:t>
      </w:r>
      <w:r>
        <w:rPr>
          <w:rtl w:val="true"/>
        </w:rPr>
        <w:t xml:space="preserve">, </w:t>
      </w:r>
      <w:r>
        <w:rPr>
          <w:rtl w:val="true"/>
        </w:rPr>
        <w:t>הסדר אשר לא כלל הסכמה לעניין העונש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בגזר דינו עמד על פגיעת המערער בזכות לחיים וקדושתם</w:t>
      </w:r>
      <w:r>
        <w:rPr>
          <w:rtl w:val="true"/>
        </w:rPr>
        <w:t xml:space="preserve">, </w:t>
      </w:r>
      <w:r>
        <w:rPr>
          <w:rtl w:val="true"/>
        </w:rPr>
        <w:t>לנוכח התוצאה הקשה של פגיעה בחיי אדם והמתת המנוח</w:t>
      </w:r>
      <w:r>
        <w:rPr>
          <w:rtl w:val="true"/>
        </w:rPr>
        <w:t xml:space="preserve">. </w:t>
      </w:r>
      <w:r>
        <w:rPr>
          <w:rtl w:val="true"/>
        </w:rPr>
        <w:t>בבחינת נסיבות ביצוע העבירה צוין כי המערער ביצע את מעשה העבירה בעודו נתון במצב של שכרות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הודגש כי לא תכנן את מעשה העבירה</w:t>
      </w:r>
      <w:r>
        <w:rPr>
          <w:rtl w:val="true"/>
        </w:rPr>
        <w:t xml:space="preserve">, </w:t>
      </w:r>
      <w:r>
        <w:rPr>
          <w:rtl w:val="true"/>
        </w:rPr>
        <w:t>אלא נקלע לאירוע אלים ביוזמת המנוח</w:t>
      </w:r>
      <w:r>
        <w:rPr>
          <w:rtl w:val="true"/>
        </w:rPr>
        <w:t xml:space="preserve">, </w:t>
      </w:r>
      <w:r>
        <w:rPr>
          <w:rtl w:val="true"/>
        </w:rPr>
        <w:t>אשר ניסה לחנוק אותו ואף תקף אותו בסכין</w:t>
      </w:r>
      <w:r>
        <w:rPr>
          <w:rtl w:val="true"/>
        </w:rPr>
        <w:t xml:space="preserve">, </w:t>
      </w:r>
      <w:r>
        <w:rPr>
          <w:rtl w:val="true"/>
        </w:rPr>
        <w:t>בעוד שהמערער ניסה להתגונן מפניו</w:t>
      </w:r>
      <w:r>
        <w:rPr>
          <w:rtl w:val="true"/>
        </w:rPr>
        <w:t xml:space="preserve">. </w:t>
      </w:r>
      <w:r>
        <w:rPr>
          <w:rtl w:val="true"/>
        </w:rPr>
        <w:t>בהינתן האמור</w:t>
      </w:r>
      <w:r>
        <w:rPr>
          <w:rtl w:val="true"/>
        </w:rPr>
        <w:t xml:space="preserve">, </w:t>
      </w:r>
      <w:r>
        <w:rPr>
          <w:rtl w:val="true"/>
        </w:rPr>
        <w:t>ובשים לב למדיניות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נקבע כי מתחם העונש ההולם בעניינו הוא 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בנטילת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ביצועם</w:t>
      </w:r>
      <w:r>
        <w:rPr>
          <w:rtl w:val="true"/>
        </w:rPr>
        <w:t xml:space="preserve">, </w:t>
      </w:r>
      <w:r>
        <w:rPr>
          <w:rtl w:val="true"/>
        </w:rPr>
        <w:t>ובהבעת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;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המורכב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",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עוון</w:t>
      </w:r>
      <w:r>
        <w:rPr>
          <w:rtl w:val="true"/>
        </w:rPr>
        <w:t xml:space="preserve">",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בית המשפט המחוזי החמיר בעונשו יתר על המידה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אמנם המערער הורשע בעבירת המתה בנסיבות של אחריות מופחתת בנסיבות של הגנת השכרות</w:t>
      </w:r>
      <w:r>
        <w:rPr>
          <w:rtl w:val="true"/>
        </w:rPr>
        <w:t xml:space="preserve">, </w:t>
      </w:r>
      <w:r>
        <w:rPr>
          <w:rtl w:val="true"/>
        </w:rPr>
        <w:t>אולם לעניין העונש ישנן גם נסיבות נוספות של אחריות מופחתת הנלמדות מעובדות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וכי מתקיימות גם נסיבה של התגרות 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ונסיבה של חריגה מועטה מסייג ההגנה העצמית לפי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בסכנה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ומיידית</w:t>
      </w:r>
      <w:r>
        <w:rPr>
          <w:rtl w:val="true"/>
        </w:rPr>
        <w:t xml:space="preserve">"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בשכרותו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בכללן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המורכב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לעמדת המשיבה</w:t>
      </w:r>
      <w:r>
        <w:rPr>
          <w:rtl w:val="true"/>
        </w:rPr>
        <w:t xml:space="preserve">, </w:t>
      </w:r>
      <w:r>
        <w:rPr>
          <w:rtl w:val="true"/>
        </w:rPr>
        <w:t>העונש שגזר בית המשפט המחוזי על המערער הולם את חומרת מעשיו ומתחשב כראוי במכלול נסיבות העבירה ונסיבותיו האישיות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אף בבחינת מדיניות הענישה ביחס לעבירת ההריגה עובר לרפורמה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העונש אשר נגזר על המערער אינו מחמיר עמו כלל ועיקר</w:t>
      </w:r>
      <w:r>
        <w:rPr>
          <w:rtl w:val="true"/>
        </w:rPr>
        <w:t xml:space="preserve">. </w:t>
      </w:r>
      <w:r>
        <w:rPr>
          <w:rtl w:val="true"/>
        </w:rPr>
        <w:t xml:space="preserve">עוד נטען כי אין לייחס למערער התקיימות נסיבות נוספות של עבירת המתה בנסיבות של אחריות מופחתת לפי </w:t>
      </w:r>
      <w:hyperlink r:id="rId3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3"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מאחר שלא ניתן להוסיף על שהוסכם בכתב האישום המתוקן ומאחר שנסיבות אלו אינן עולות מעובדות כתב האישום המתוקן בו המערער הודה ועל פיו הורשע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הודגש כי בית המשפט המחוזי ממילא נתן משקל מספק לעובדות המתוארות בכתב האישום המתוקן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tl w:val="true"/>
        </w:rPr>
        <w:t xml:space="preserve">, </w:t>
      </w:r>
      <w:r>
        <w:rPr>
          <w:rtl w:val="true"/>
        </w:rPr>
        <w:t>לאלימות המנוח כלפי המערער אשר קדמה למעשיו</w:t>
      </w:r>
      <w:r>
        <w:rPr>
          <w:rtl w:val="true"/>
        </w:rPr>
        <w:t xml:space="preserve">. </w:t>
      </w:r>
      <w:r>
        <w:rPr>
          <w:rtl w:val="true"/>
        </w:rPr>
        <w:t>כך גם נטען כי בית המשפט המחוזי התחשב כראוי בנסיבותיו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ועל כן קבע את עונשו בחלקו התחתון של מתחם העונש ההולם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hyperlink r:id="rId34"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pacing w:val="0"/>
            <w:szCs w:val="24"/>
          </w:rPr>
          <w:t>301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ב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מופחתת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בשנת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 xml:space="preserve">נכנסה לתוקף </w:t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tl w:val="true"/>
        </w:rPr>
        <w:t xml:space="preserve">אשר </w:t>
      </w:r>
      <w:r>
        <w:rPr>
          <w:rtl w:val="true"/>
        </w:rPr>
        <w:t>עוצבה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בסיס</w:t>
      </w:r>
      <w:r>
        <w:rPr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>
          <w:rtl w:val="true"/>
        </w:rPr>
        <w:t>הצוות</w:t>
      </w:r>
      <w:r>
        <w:rPr>
          <w:rtl w:val="true"/>
        </w:rPr>
        <w:t xml:space="preserve"> </w:t>
      </w:r>
      <w:r>
        <w:rPr>
          <w:rtl w:val="true"/>
        </w:rPr>
        <w:t>לבחינת</w:t>
      </w:r>
      <w:r>
        <w:rPr>
          <w:rtl w:val="true"/>
        </w:rPr>
        <w:t xml:space="preserve"> </w:t>
      </w:r>
      <w:r>
        <w:rPr>
          <w:rtl w:val="true"/>
        </w:rPr>
        <w:t>יסודות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וחשבון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2011</w:t>
      </w:r>
      <w:r>
        <w:rPr>
          <w:rtl w:val="true"/>
        </w:rPr>
        <w:t xml:space="preserve">). </w:t>
      </w:r>
      <w:r>
        <w:rPr>
          <w:rtl w:val="true"/>
        </w:rPr>
        <w:t>הרפורמה נועדה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ליצור מדרג נורמטיבי לעבירות ההמתה אשר ישקף הלימה בין חומרת המעשים לבין העבירות והעונשים בצידן </w:t>
      </w:r>
      <w:r>
        <w:rPr>
          <w:rtl w:val="true"/>
        </w:rPr>
        <w:t>(</w:t>
      </w:r>
      <w:r>
        <w:rPr>
          <w:rtl w:val="true"/>
        </w:rPr>
        <w:t>דברי</w:t>
      </w:r>
      <w:r>
        <w:rPr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 </w:t>
      </w:r>
      <w:r>
        <w:rPr>
          <w:rtl w:val="true"/>
        </w:rPr>
        <w:t>להצעת</w:t>
      </w:r>
      <w:r>
        <w:rPr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166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tl w:val="true"/>
        </w:rPr>
        <w:t xml:space="preserve">);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tl w:val="true"/>
        </w:rPr>
        <w:t xml:space="preserve"> </w:t>
      </w:r>
      <w:r>
        <w:rPr/>
        <w:t>9-8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1.6.2022</w:t>
      </w:r>
      <w:r>
        <w:rPr>
          <w:rtl w:val="true"/>
        </w:rPr>
        <w:t>)‏).</w:t>
      </w:r>
      <w:r>
        <w:rPr>
          <w:rtl w:val="true"/>
        </w:rPr>
        <w:t xml:space="preserve"> </w:t>
      </w:r>
      <w:r>
        <w:rPr>
          <w:rtl w:val="true"/>
        </w:rPr>
        <w:t>בעקבות כן</w:t>
      </w:r>
      <w:r>
        <w:rPr>
          <w:rtl w:val="true"/>
        </w:rPr>
        <w:t xml:space="preserve">, 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מכיל חמש עבירות המתה המשקפות דרגות שונות של חומרה ואשמה</w:t>
      </w:r>
      <w:r>
        <w:rPr>
          <w:rtl w:val="true"/>
        </w:rPr>
        <w:t xml:space="preserve">: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))</w:t>
        </w:r>
      </w:hyperlink>
      <w:r>
        <w:rPr>
          <w:rtl w:val="true"/>
        </w:rPr>
        <w:t xml:space="preserve">, </w:t>
      </w:r>
      <w:r>
        <w:rPr>
          <w:rtl w:val="true"/>
        </w:rPr>
        <w:t>המתה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המתה</w:t>
      </w:r>
      <w:r>
        <w:rPr>
          <w:rtl w:val="true"/>
        </w:rPr>
        <w:t xml:space="preserve"> </w:t>
      </w:r>
      <w:r>
        <w:rPr>
          <w:rtl w:val="true"/>
        </w:rPr>
        <w:t>בקלות</w:t>
      </w:r>
      <w:r>
        <w:rPr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וגרימת</w:t>
      </w:r>
      <w:r>
        <w:rPr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304</w:t>
        </w:r>
        <w:r>
          <w:rPr>
            <w:rStyle w:val="Hyperlink"/>
            <w:rtl w:val="true"/>
          </w:rPr>
          <w:t>).</w:t>
        </w:r>
      </w:hyperlink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עבירת המתה בנסיבות של אחריות מופחתת נועדה לתת מענה למקרים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שנכנסים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לגדרי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מגלמים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הנלווית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174</w:t>
      </w:r>
      <w:r>
        <w:rPr>
          <w:rtl w:val="true"/>
        </w:rPr>
        <w:t xml:space="preserve">). </w:t>
      </w:r>
      <w:r>
        <w:rPr>
          <w:rtl w:val="true"/>
        </w:rPr>
        <w:t xml:space="preserve">ייחודיות עבירה זו מתבטא בכך שלא מדובר בהסדר הקובע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tl w:val="true"/>
        </w:rPr>
        <w:t xml:space="preserve"> מופחתת כי אם בהסדר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אחריות</w:t>
      </w:r>
      <w:r>
        <w:rPr>
          <w:rtl w:val="true"/>
        </w:rPr>
        <w:t xml:space="preserve"> מופחתת</w:t>
      </w:r>
      <w:r>
        <w:rPr>
          <w:rtl w:val="true"/>
        </w:rPr>
        <w:t xml:space="preserve">, </w:t>
      </w:r>
      <w:r>
        <w:rPr>
          <w:rtl w:val="true"/>
        </w:rPr>
        <w:t>אשר אינו מתייג את הנאשם כ</w:t>
      </w:r>
      <w:r>
        <w:rPr>
          <w:rtl w:val="true"/>
        </w:rPr>
        <w:t>"</w:t>
      </w:r>
      <w:r>
        <w:rPr>
          <w:rtl w:val="true"/>
        </w:rPr>
        <w:t>רוצח</w:t>
      </w:r>
      <w:r>
        <w:rPr>
          <w:rtl w:val="true"/>
        </w:rPr>
        <w:t xml:space="preserve">", </w:t>
      </w:r>
      <w:r>
        <w:rPr>
          <w:rtl w:val="true"/>
        </w:rPr>
        <w:t xml:space="preserve">ובד בבד מאפשר ענישה הולמת למעשה העבירה בהתאם לעונש המרבי הקבוע בצדה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176</w:t>
      </w:r>
      <w:r>
        <w:rPr>
          <w:rtl w:val="true"/>
        </w:rPr>
        <w:t xml:space="preserve">; </w:t>
      </w:r>
      <w:r>
        <w:rPr>
          <w:rtl w:val="true"/>
        </w:rPr>
        <w:t>עוד ראו בהרחבה</w:t>
      </w:r>
      <w:r>
        <w:rPr>
          <w:rtl w:val="true"/>
        </w:rPr>
        <w:t xml:space="preserve">: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5374/20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10-7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12.</w:t>
      </w:r>
      <w:r>
        <w:rPr/>
        <w:t>4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בין המקרים הבאים בשערי עבירת ההמתה באחריות מופחתת נמנים בחוק מצבים שבהם מעשה ההמתה בוצע בעקבות מצב של מצוקה נפשית או התעללות חמורה </w:t>
      </w:r>
      <w:r>
        <w:rPr>
          <w:rtl w:val="true"/>
        </w:rPr>
        <w:t>(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))</w:t>
        </w:r>
      </w:hyperlink>
      <w:r>
        <w:rPr>
          <w:rtl w:val="true"/>
        </w:rPr>
        <w:t xml:space="preserve">; </w:t>
      </w:r>
      <w:r>
        <w:rPr>
          <w:rtl w:val="true"/>
        </w:rPr>
        <w:t xml:space="preserve">נוכח מצבו הנפשי או השכלי של הנאשם </w:t>
      </w:r>
      <w:r>
        <w:rPr>
          <w:rtl w:val="true"/>
        </w:rPr>
        <w:t>(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))</w:t>
        </w:r>
      </w:hyperlink>
      <w:r>
        <w:rPr>
          <w:rtl w:val="true"/>
        </w:rPr>
        <w:t xml:space="preserve">; </w:t>
      </w:r>
      <w:r>
        <w:rPr>
          <w:rtl w:val="true"/>
        </w:rPr>
        <w:t>וכן במקרה שעניינו קרבה לסייגים של הגנה עצמית</w:t>
      </w:r>
      <w:r>
        <w:rPr>
          <w:rtl w:val="true"/>
        </w:rPr>
        <w:t xml:space="preserve">, </w:t>
      </w:r>
      <w:r>
        <w:rPr>
          <w:rtl w:val="true"/>
        </w:rPr>
        <w:t xml:space="preserve">צורך או כורח </w:t>
      </w:r>
      <w:r>
        <w:rPr>
          <w:rtl w:val="true"/>
        </w:rPr>
        <w:t>(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)).</w:t>
        </w:r>
      </w:hyperlink>
      <w:r>
        <w:rPr>
          <w:rtl w:val="true"/>
        </w:rPr>
        <w:t xml:space="preserve"> </w:t>
      </w:r>
      <w:r>
        <w:rPr>
          <w:rtl w:val="true"/>
        </w:rPr>
        <w:t>מקרים אלו</w:t>
      </w:r>
      <w:r>
        <w:rPr>
          <w:rtl w:val="true"/>
        </w:rPr>
        <w:t xml:space="preserve">, </w:t>
      </w:r>
      <w:r>
        <w:rPr>
          <w:rtl w:val="true"/>
        </w:rPr>
        <w:t xml:space="preserve">אומצו כמעט באופן מלא </w:t>
      </w:r>
      <w:hyperlink r:id="rId47">
        <w:r>
          <w:rPr>
            <w:rStyle w:val="Hyperlink"/>
            <w:rtl w:val="true"/>
          </w:rPr>
          <w:t>מסעיף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עובר לרפורמה בעבירות ההמתה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הרפורמה שינתה שני היבטים מרכזיים </w:t>
      </w:r>
      <w:r>
        <w:rPr>
          <w:rtl w:val="true"/>
        </w:rPr>
        <w:t>–</w:t>
      </w:r>
      <w:r>
        <w:rPr>
          <w:rtl w:val="true"/>
        </w:rPr>
        <w:t xml:space="preserve"> האחד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עסקינן באחריות מופחתת של הנאשם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לעומת אחריות מלאה לצד ענישה מופחתת</w:t>
      </w:r>
      <w:r>
        <w:rPr>
          <w:rtl w:val="true"/>
        </w:rPr>
        <w:t xml:space="preserve"> קודם הרפורמה</w:t>
      </w:r>
      <w:r>
        <w:rPr>
          <w:rtl w:val="true"/>
        </w:rPr>
        <w:t xml:space="preserve">;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קביעת עונש מרבי של חמש</w:t>
      </w:r>
      <w:r>
        <w:rPr>
          <w:rtl w:val="true"/>
        </w:rPr>
        <w:t>-</w:t>
      </w:r>
      <w:r>
        <w:rPr>
          <w:rtl w:val="true"/>
        </w:rPr>
        <w:t>עשרה או עשרים שנה</w:t>
      </w:r>
      <w:r>
        <w:rPr>
          <w:rtl w:val="true"/>
        </w:rPr>
        <w:t xml:space="preserve">, </w:t>
      </w:r>
      <w:r>
        <w:rPr>
          <w:rtl w:val="true"/>
        </w:rPr>
        <w:t>כתלות בנסיבות הסעיף</w:t>
      </w:r>
      <w:r>
        <w:rPr>
          <w:rtl w:val="true"/>
        </w:rPr>
        <w:t xml:space="preserve">, </w:t>
      </w:r>
      <w:r>
        <w:rPr>
          <w:rtl w:val="true"/>
        </w:rPr>
        <w:t>לעומת עונש מרבי של מאסר עולם עובר לרפורמה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)).</w:t>
        </w:r>
      </w:hyperlink>
      <w:r>
        <w:rPr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קנטור</w:t>
      </w:r>
      <w:r>
        <w:rPr>
          <w:rtl w:val="true"/>
        </w:rPr>
        <w:t xml:space="preserve">' </w:t>
      </w:r>
      <w:r>
        <w:rPr>
          <w:rtl w:val="true"/>
        </w:rPr>
        <w:t>היווה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שלילי</w:t>
      </w:r>
      <w:r>
        <w:rPr>
          <w:rtl w:val="true"/>
        </w:rPr>
        <w:t xml:space="preserve">' </w:t>
      </w:r>
      <w:r>
        <w:rPr>
          <w:rtl w:val="true"/>
        </w:rPr>
        <w:t>להרשעה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וכעת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15.</w:t>
      </w:r>
      <w:r>
        <w:rPr/>
        <w:t>1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במוקד ענייננו</w:t>
      </w:r>
      <w:r>
        <w:rPr>
          <w:rtl w:val="true"/>
        </w:rPr>
        <w:t xml:space="preserve">, </w:t>
      </w:r>
      <w:r>
        <w:rPr>
          <w:rtl w:val="true"/>
        </w:rPr>
        <w:t xml:space="preserve">ניצבת החלופה לעבירת ההמתה באחריות מופחתת המנויה </w:t>
      </w:r>
      <w:hyperlink r:id="rId5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אשר זו לשונו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301</w:t>
      </w:r>
      <w:r>
        <w:rPr>
          <w:rtl w:val="true"/>
        </w:rPr>
        <w:t>ב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eastAsia="Arial TUR" w:cs="Arial TUR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301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ורואים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" w:cs="Arial TUR"/>
          <w:rtl w:val="true"/>
        </w:rPr>
        <w:t xml:space="preserve"> </w:t>
      </w:r>
      <w:r>
        <w:rPr/>
        <w:t>34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), </w:t>
      </w:r>
      <w:r>
        <w:rPr/>
        <w:t>34</w:t>
      </w:r>
      <w:r>
        <w:rPr>
          <w:rtl w:val="true"/>
        </w:rPr>
        <w:t>ט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/>
        <w:t>34</w:t>
      </w:r>
      <w:r>
        <w:rPr>
          <w:rtl w:val="true"/>
        </w:rPr>
        <w:t>יד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רישה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  <w:r>
        <w:rPr>
          <w:rtl w:val="true"/>
        </w:rPr>
        <w:t xml:space="preserve"> (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hyperlink r:id="rId5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;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יד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פסולה</w:t>
      </w:r>
      <w:r>
        <w:rPr>
          <w:rtl w:val="true"/>
        </w:rPr>
        <w:t xml:space="preserve">; </w:t>
      </w:r>
      <w:hyperlink r:id="rId55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מתאפיינים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בזלזול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המובהק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המגולם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לאפיינם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דומים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eastAsia="Arial TUR" w:cs="Arial TUR"/>
          <w:rtl w:val="true"/>
        </w:rPr>
        <w:t xml:space="preserve"> </w:t>
      </w:r>
      <w:r>
        <w:rPr/>
        <w:t>176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ותיוג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נאשם בעבירת המתה עשוי להיות מורשע בהמתה בנסיבות של אחריות מופחתת כאשר מעשה ההמתה בוצע בהיותו נתון ב</w:t>
      </w:r>
      <w:r>
        <w:rPr>
          <w:rtl w:val="true"/>
        </w:rPr>
        <w:t>"</w:t>
      </w:r>
      <w:r>
        <w:rPr>
          <w:rtl w:val="true"/>
        </w:rPr>
        <w:t>מצב של שכרות</w:t>
      </w:r>
      <w:r>
        <w:rPr>
          <w:rtl w:val="true"/>
        </w:rPr>
        <w:t xml:space="preserve">".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לחסות</w:t>
      </w:r>
      <w:r>
        <w:rPr>
          <w:rtl w:val="true"/>
        </w:rPr>
        <w:t xml:space="preserve"> </w:t>
      </w:r>
      <w:r>
        <w:rPr>
          <w:rtl w:val="true"/>
        </w:rPr>
        <w:t>תחת</w:t>
      </w:r>
      <w:r>
        <w:rPr>
          <w:rtl w:val="true"/>
        </w:rPr>
        <w:t xml:space="preserve"> </w:t>
      </w:r>
      <w:r>
        <w:rPr>
          <w:rtl w:val="true"/>
        </w:rPr>
        <w:t>הגנת</w:t>
      </w:r>
      <w:r>
        <w:rPr>
          <w:rtl w:val="true"/>
        </w:rPr>
        <w:t xml:space="preserve"> </w:t>
      </w:r>
      <w:r>
        <w:rPr>
          <w:rtl w:val="true"/>
        </w:rPr>
        <w:t>השכרות</w:t>
      </w:r>
      <w:r>
        <w:rPr>
          <w:rtl w:val="true"/>
        </w:rPr>
        <w:t xml:space="preserve"> </w:t>
      </w:r>
      <w:r>
        <w:rPr>
          <w:rtl w:val="true"/>
        </w:rPr>
        <w:t>עבור</w:t>
      </w:r>
      <w:r>
        <w:rPr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 </w:t>
      </w:r>
      <w:r>
        <w:rPr>
          <w:rtl w:val="true"/>
        </w:rPr>
        <w:t>במצב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שכרות</w:t>
      </w:r>
      <w:r>
        <w:rPr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מורה </w:t>
      </w:r>
      <w:hyperlink r:id="rId5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 </w:t>
      </w:r>
      <w:r>
        <w:rPr>
          <w:rtl w:val="true"/>
        </w:rPr>
        <w:t>תחת</w:t>
      </w:r>
      <w:r>
        <w:rPr>
          <w:rtl w:val="true"/>
        </w:rPr>
        <w:t xml:space="preserve"> </w:t>
      </w:r>
      <w:r>
        <w:rPr>
          <w:rtl w:val="true"/>
        </w:rPr>
        <w:t>השפעת</w:t>
      </w:r>
      <w:r>
        <w:rPr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סיבתי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השכרות</w:t>
      </w:r>
      <w:r>
        <w:rPr>
          <w:rtl w:val="true"/>
        </w:rPr>
        <w:t xml:space="preserve"> </w:t>
      </w:r>
      <w:r>
        <w:rPr>
          <w:rtl w:val="true"/>
        </w:rPr>
        <w:t>לפגם</w:t>
      </w:r>
      <w:r>
        <w:rPr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 </w:t>
      </w:r>
      <w:r>
        <w:rPr>
          <w:rtl w:val="true"/>
        </w:rPr>
        <w:t>במודעותו</w:t>
      </w:r>
      <w:r>
        <w:rPr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לשלוש</w:t>
      </w:r>
      <w:r>
        <w:rPr>
          <w:rtl w:val="true"/>
        </w:rPr>
        <w:t xml:space="preserve"> </w:t>
      </w:r>
      <w:r>
        <w:rPr>
          <w:rtl w:val="true"/>
        </w:rPr>
        <w:t>החלופות</w:t>
      </w:r>
      <w:r>
        <w:rPr>
          <w:rtl w:val="true"/>
        </w:rPr>
        <w:t xml:space="preserve"> </w:t>
      </w:r>
      <w:r>
        <w:rPr>
          <w:rtl w:val="true"/>
        </w:rPr>
        <w:t>המנויות</w:t>
      </w:r>
      <w:r>
        <w:rPr>
          <w:rtl w:val="true"/>
        </w:rPr>
        <w:t xml:space="preserve"> </w:t>
      </w:r>
      <w:r>
        <w:rPr>
          <w:rtl w:val="true"/>
        </w:rPr>
        <w:t>בסעיף</w:t>
      </w:r>
      <w:r>
        <w:rPr>
          <w:rtl w:val="true"/>
        </w:rPr>
        <w:t xml:space="preserve"> </w:t>
      </w:r>
      <w:r>
        <w:rPr>
          <w:rtl w:val="true"/>
        </w:rPr>
        <w:t>העוסקות</w:t>
      </w:r>
      <w:r>
        <w:rPr>
          <w:rtl w:val="true"/>
        </w:rPr>
        <w:t xml:space="preserve"> </w:t>
      </w:r>
      <w:r>
        <w:rPr>
          <w:rtl w:val="true"/>
        </w:rPr>
        <w:t>בהבנת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הבנתו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הפסול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; </w:t>
      </w:r>
      <w:r>
        <w:rPr>
          <w:rtl w:val="true"/>
        </w:rPr>
        <w:t>ויכולת</w:t>
      </w:r>
      <w:r>
        <w:rPr>
          <w:rtl w:val="true"/>
        </w:rPr>
        <w:t xml:space="preserve"> </w:t>
      </w:r>
      <w:r>
        <w:rPr>
          <w:rtl w:val="true"/>
        </w:rPr>
        <w:t>הרצייה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סלומון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10.</w:t>
      </w:r>
      <w:r>
        <w:rPr/>
        <w:t>8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ניתן לחסות תחת הגנת השכרות גם במסגרת </w:t>
      </w:r>
      <w:r>
        <w:rPr>
          <w:rtl w:val="true"/>
        </w:rPr>
        <w:t>"</w:t>
      </w:r>
      <w:r>
        <w:rPr>
          <w:rtl w:val="true"/>
        </w:rPr>
        <w:t>שכרות חלקית</w:t>
      </w:r>
      <w:r>
        <w:rPr>
          <w:rtl w:val="true"/>
        </w:rPr>
        <w:t xml:space="preserve">", </w:t>
      </w:r>
      <w:r>
        <w:rPr>
          <w:rtl w:val="true"/>
        </w:rPr>
        <w:t xml:space="preserve">כאשר הנאשם היה </w:t>
      </w:r>
      <w:r>
        <w:rPr>
          <w:rtl w:val="true"/>
        </w:rPr>
        <w:t>נתון</w:t>
      </w:r>
      <w:r>
        <w:rPr>
          <w:rtl w:val="true"/>
        </w:rPr>
        <w:t xml:space="preserve"> </w:t>
      </w:r>
      <w:r>
        <w:rPr>
          <w:rtl w:val="true"/>
        </w:rPr>
        <w:t>תחת</w:t>
      </w:r>
      <w:r>
        <w:rPr>
          <w:rtl w:val="true"/>
        </w:rPr>
        <w:t xml:space="preserve"> </w:t>
      </w:r>
      <w:r>
        <w:rPr>
          <w:rtl w:val="true"/>
        </w:rPr>
        <w:t>השפעת</w:t>
      </w:r>
      <w:r>
        <w:rPr>
          <w:rtl w:val="true"/>
        </w:rPr>
        <w:t xml:space="preserve"> </w:t>
      </w:r>
      <w:r>
        <w:rPr>
          <w:rtl w:val="true"/>
        </w:rPr>
        <w:t>חומר</w:t>
      </w:r>
      <w:r>
        <w:rPr>
          <w:rtl w:val="true"/>
        </w:rPr>
        <w:t xml:space="preserve"> </w:t>
      </w:r>
      <w:r>
        <w:rPr>
          <w:rtl w:val="true"/>
        </w:rPr>
        <w:t>משכר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 xml:space="preserve">היה חסר מודעות </w:t>
      </w:r>
      <w:r>
        <w:rPr>
          <w:rtl w:val="true"/>
        </w:rPr>
        <w:t>לפרט</w:t>
      </w:r>
      <w:r>
        <w:rPr>
          <w:rtl w:val="true"/>
        </w:rPr>
        <w:t xml:space="preserve"> </w:t>
      </w:r>
      <w:r>
        <w:rPr>
          <w:rtl w:val="true"/>
        </w:rPr>
        <w:t>מפרטי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ו</w:t>
      </w:r>
      <w:r>
        <w:rPr>
          <w:rtl w:val="true"/>
        </w:rPr>
        <w:t xml:space="preserve">מתקיים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סיבתי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 xml:space="preserve">שני רכיבים אלו </w:t>
      </w:r>
      <w:r>
        <w:rPr>
          <w:rtl w:val="true"/>
        </w:rPr>
        <w:t>(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8965/18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מחאג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3.11.2019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ריכוז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להכניסו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השכרות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ומודעותו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וינוקורסקי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29.10.2018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אילו ייקבע כי נאשם ביצע את מעשה ההמתה בהיותו נתון תחת </w:t>
      </w:r>
      <w:r>
        <w:rPr>
          <w:rtl w:val="true"/>
        </w:rPr>
        <w:t>"</w:t>
      </w:r>
      <w:r>
        <w:rPr>
          <w:rtl w:val="true"/>
        </w:rPr>
        <w:t>מצב של שכרות</w:t>
      </w:r>
      <w:r>
        <w:rPr>
          <w:rtl w:val="true"/>
        </w:rPr>
        <w:t xml:space="preserve">", </w:t>
      </w:r>
      <w:r>
        <w:rPr>
          <w:rtl w:val="true"/>
        </w:rPr>
        <w:t>אזי רואים אותו כמי שביצע את המעשה במצב נפשי של אדישות</w:t>
      </w:r>
      <w:r>
        <w:rPr>
          <w:rtl w:val="true"/>
        </w:rPr>
        <w:t xml:space="preserve">, </w:t>
      </w:r>
      <w:r>
        <w:rPr>
          <w:rtl w:val="true"/>
        </w:rPr>
        <w:t xml:space="preserve">והוא עלול להיות מורשע בעבירת המתה בנסיבות של אחריות מופחתת לפי 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אשר העונש המרבי בצידה הוא עשרים שנות מאסר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  <w:t xml:space="preserve"> 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נוהגת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שגזרה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חלה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166/23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18.</w:t>
      </w:r>
      <w:r>
        <w:rPr/>
        <w:t>5</w:t>
      </w:r>
      <w:r>
        <w:rPr/>
        <w:t>.2023</w:t>
      </w:r>
      <w:r>
        <w:rPr>
          <w:rtl w:val="true"/>
        </w:rPr>
        <w:t xml:space="preserve">)).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 </w:t>
      </w:r>
      <w:r>
        <w:rPr>
          <w:rtl w:val="true"/>
        </w:rPr>
        <w:t>נמנה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המערער הודה במסגרת הסדר טיעון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והורשע בהתאם בעבירת המתה בנסיבות של אחריות מופחתת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hyperlink r:id="rId6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hyperlink r:id="rId6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שעניינה כי מעשה ההמתה בוצע בהיותו במצב של שכרות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הסדר טיעון הוא פרקטיקה מוכרת ונפוצה</w:t>
      </w:r>
      <w:r>
        <w:rPr>
          <w:rtl w:val="true"/>
        </w:rPr>
        <w:t xml:space="preserve">. </w:t>
      </w:r>
      <w:r>
        <w:rPr>
          <w:rtl w:val="true"/>
        </w:rPr>
        <w:t>על אודות יסודות מוסד הסדרי הטיעון ישנן דעות שונות</w:t>
      </w:r>
      <w:r>
        <w:rPr>
          <w:rtl w:val="true"/>
        </w:rPr>
        <w:t xml:space="preserve">, </w:t>
      </w:r>
      <w:r>
        <w:rPr>
          <w:rtl w:val="true"/>
        </w:rPr>
        <w:t>יש הסוברים כי מדובר בחוזה בין המדינה לבין הנאשם</w:t>
      </w:r>
      <w:r>
        <w:rPr>
          <w:rtl w:val="true"/>
        </w:rPr>
        <w:t xml:space="preserve">, </w:t>
      </w:r>
      <w:r>
        <w:rPr>
          <w:rtl w:val="true"/>
        </w:rPr>
        <w:t xml:space="preserve">תוך שישנה </w:t>
      </w:r>
      <w:r>
        <w:rPr>
          <w:rtl w:val="true"/>
        </w:rPr>
        <w:t>"</w:t>
      </w:r>
      <w:r>
        <w:rPr>
          <w:rtl w:val="true"/>
        </w:rPr>
        <w:t>דואליות נורמטיבית</w:t>
      </w:r>
      <w:r>
        <w:rPr>
          <w:rtl w:val="true"/>
        </w:rPr>
        <w:t xml:space="preserve">" </w:t>
      </w:r>
      <w:r>
        <w:rPr>
          <w:rtl w:val="true"/>
        </w:rPr>
        <w:t>המאפיינת כל חוזה של המינהל</w:t>
      </w:r>
      <w:r>
        <w:rPr>
          <w:rtl w:val="true"/>
        </w:rPr>
        <w:t xml:space="preserve">; </w:t>
      </w:r>
      <w:r>
        <w:rPr>
          <w:rtl w:val="true"/>
        </w:rPr>
        <w:t>ויש הגורסים כי מדובר בפעולה שלטונית חד צדדית</w:t>
      </w:r>
      <w:r>
        <w:rPr>
          <w:rtl w:val="true"/>
        </w:rPr>
        <w:t xml:space="preserve">, </w:t>
      </w:r>
      <w:r>
        <w:rPr>
          <w:rtl w:val="true"/>
        </w:rPr>
        <w:t xml:space="preserve">המצריכה שיתוף פעולה מצד הנאשם </w:t>
      </w:r>
      <w:r>
        <w:rPr>
          <w:rtl w:val="true"/>
        </w:rPr>
        <w:t>(</w:t>
      </w:r>
      <w:hyperlink r:id="rId66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218/85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פרקליטות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393</w:t>
      </w:r>
      <w:r>
        <w:rPr>
          <w:rtl w:val="true"/>
        </w:rPr>
        <w:t xml:space="preserve">, </w:t>
      </w:r>
      <w:r>
        <w:rPr/>
        <w:t>403</w:t>
      </w:r>
      <w:r>
        <w:rPr>
          <w:rtl w:val="true"/>
        </w:rPr>
        <w:t xml:space="preserve"> (</w:t>
      </w:r>
      <w:r>
        <w:rPr/>
        <w:t>1986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יוסף אלרון </w:t>
      </w:r>
      <w:r>
        <w:rPr>
          <w:rtl w:val="true"/>
        </w:rPr>
        <w:t xml:space="preserve">״זכויות דיוניות במשפט הפלילי </w:t>
      </w:r>
      <w:r>
        <w:rPr>
          <w:rtl w:val="true"/>
        </w:rPr>
        <w:t xml:space="preserve">- </w:t>
      </w:r>
      <w:r>
        <w:rPr>
          <w:rtl w:val="true"/>
        </w:rPr>
        <w:t xml:space="preserve">בתווך </w:t>
      </w:r>
      <w:r>
        <w:rPr>
          <w:rtl w:val="true"/>
        </w:rPr>
        <w:t xml:space="preserve">- </w:t>
      </w:r>
      <w:r>
        <w:rPr>
          <w:rtl w:val="true"/>
        </w:rPr>
        <w:t>בין עקרונות המשפט הציבורי מזה</w:t>
      </w:r>
      <w:r>
        <w:rPr>
          <w:rtl w:val="true"/>
        </w:rPr>
        <w:t xml:space="preserve">, </w:t>
      </w:r>
      <w:r>
        <w:rPr>
          <w:rtl w:val="true"/>
        </w:rPr>
        <w:t xml:space="preserve">ושיקולי צדק מזה״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tl w:val="true"/>
        </w:rPr>
        <w:t xml:space="preserve"> </w:t>
      </w:r>
      <w:r>
        <w:rPr/>
        <w:t>49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 (</w:t>
      </w:r>
      <w:r>
        <w:rPr/>
        <w:t>2022</w:t>
      </w:r>
      <w:r>
        <w:rPr>
          <w:rtl w:val="true"/>
        </w:rPr>
        <w:t xml:space="preserve">)). </w:t>
      </w:r>
      <w:r>
        <w:rPr>
          <w:rtl w:val="true"/>
        </w:rPr>
        <w:t>בין כך ובין כך</w:t>
      </w:r>
      <w:r>
        <w:rPr>
          <w:rtl w:val="true"/>
        </w:rPr>
        <w:t xml:space="preserve">, </w:t>
      </w:r>
      <w:r>
        <w:rPr>
          <w:rtl w:val="true"/>
        </w:rPr>
        <w:t>הסדרי טיעון במהותם מהווים פשרה בין הצדדים להליך הפלילי</w:t>
      </w:r>
      <w:r>
        <w:rPr>
          <w:rtl w:val="true"/>
        </w:rPr>
        <w:t xml:space="preserve">. </w:t>
      </w:r>
      <w:r>
        <w:rPr>
          <w:rtl w:val="true"/>
        </w:rPr>
        <w:t>לרוב</w:t>
      </w:r>
      <w:r>
        <w:rPr>
          <w:rtl w:val="true"/>
        </w:rPr>
        <w:t xml:space="preserve">, </w:t>
      </w:r>
      <w:r>
        <w:rPr>
          <w:rtl w:val="true"/>
        </w:rPr>
        <w:t>כל צד מטעמיו הוא</w:t>
      </w:r>
      <w:r>
        <w:rPr>
          <w:rtl w:val="true"/>
        </w:rPr>
        <w:t xml:space="preserve">, </w:t>
      </w:r>
      <w:r>
        <w:rPr>
          <w:rtl w:val="true"/>
        </w:rPr>
        <w:t>מוותר על טענה אחת או יותר מבין הטענות אשר היו פתוחות לפניו לפני שנערך ההסדר</w:t>
      </w:r>
      <w:r>
        <w:rPr>
          <w:rtl w:val="true"/>
        </w:rPr>
        <w:t xml:space="preserve">. </w:t>
      </w:r>
      <w:r>
        <w:rPr>
          <w:rtl w:val="true"/>
        </w:rPr>
        <w:t>באופן זה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משתכללת ההסכמה שבין הצדדים כך שכל צד מתפשר או מוותר בדרך מסוימת על מנת להשיג את התוצאה החשובה בעיניו</w:t>
      </w:r>
      <w:r>
        <w:rPr>
          <w:rtl w:val="true"/>
        </w:rPr>
        <w:t xml:space="preserve">, </w:t>
      </w:r>
      <w:r>
        <w:rPr>
          <w:rtl w:val="true"/>
        </w:rPr>
        <w:t xml:space="preserve">בנסיבות האפשריות </w:t>
      </w:r>
      <w:r>
        <w:rPr>
          <w:rtl w:val="true"/>
        </w:rPr>
        <w:t>(</w:t>
      </w:r>
      <w:hyperlink r:id="rId6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1820/98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97</w:t>
      </w:r>
      <w:r>
        <w:rPr>
          <w:rtl w:val="true"/>
        </w:rPr>
        <w:t xml:space="preserve">, </w:t>
      </w:r>
      <w:r>
        <w:rPr/>
        <w:t>106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8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2925/19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פרקליטות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צפון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8-7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24.</w:t>
      </w:r>
      <w:r>
        <w:rPr/>
        <w:t>6</w:t>
      </w:r>
      <w:r>
        <w:rPr/>
        <w:t>.2019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הואשם תחילה בעבירת הרצח הבסיסית לפי 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לאחר שנשמעו מרבית עדי התביעה</w:t>
      </w:r>
      <w:r>
        <w:rPr>
          <w:rtl w:val="true"/>
        </w:rPr>
        <w:t xml:space="preserve">, </w:t>
      </w:r>
      <w:r>
        <w:rPr>
          <w:rtl w:val="true"/>
        </w:rPr>
        <w:t>הצדדים הגיעו להסדר טיעון במסגרתו תוקן כתב האישום והעובדות המנויות בו</w:t>
      </w:r>
      <w:r>
        <w:rPr>
          <w:rtl w:val="true"/>
        </w:rPr>
        <w:t xml:space="preserve">, </w:t>
      </w:r>
      <w:r>
        <w:rPr>
          <w:rtl w:val="true"/>
        </w:rPr>
        <w:t>וכך גם סעיף העבירה בה הואשם המערער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הודה בעובדות כתב האישום המתוקן והורשע בעבירת המתה בנסיבות של אחריות מופחתת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בהינתן האמור</w:t>
      </w:r>
      <w:r>
        <w:rPr>
          <w:rtl w:val="true"/>
        </w:rPr>
        <w:t xml:space="preserve">, </w:t>
      </w:r>
      <w:r>
        <w:rPr>
          <w:rtl w:val="true"/>
        </w:rPr>
        <w:t xml:space="preserve">טענת המערער כי יש להתחשב במסגרת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 xml:space="preserve">בנסיבות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נוספות</w:t>
      </w:r>
      <w:r>
        <w:rPr>
          <w:rtl w:val="true"/>
        </w:rPr>
        <w:t xml:space="preserve"> של המתה בנסיבות של אחריות מופחתת לפי </w:t>
      </w:r>
      <w:hyperlink r:id="rId70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1"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מינו</w:t>
      </w:r>
      <w:r>
        <w:rPr>
          <w:rtl w:val="true"/>
        </w:rPr>
        <w:t xml:space="preserve">. </w:t>
      </w:r>
      <w:r>
        <w:rPr>
          <w:rtl w:val="true"/>
        </w:rPr>
        <w:t>טענה זו אמנם נחזית כטענה עונשית</w:t>
      </w:r>
      <w:r>
        <w:rPr>
          <w:rtl w:val="true"/>
        </w:rPr>
        <w:t xml:space="preserve">, </w:t>
      </w:r>
      <w:r>
        <w:rPr>
          <w:rtl w:val="true"/>
        </w:rPr>
        <w:t>אולם בפועל היא טענה המתייחסת במהותה לסוגיית ההרשעה גופה</w:t>
      </w:r>
      <w:r>
        <w:rPr>
          <w:rtl w:val="true"/>
        </w:rPr>
        <w:t xml:space="preserve">, </w:t>
      </w:r>
      <w:r>
        <w:rPr>
          <w:rtl w:val="true"/>
        </w:rPr>
        <w:t>ומהווה ניסיון לשנות מהסדר הטיעון שהוסכם בין הצדדים</w:t>
      </w:r>
      <w:r>
        <w:rPr>
          <w:rtl w:val="true"/>
        </w:rPr>
        <w:t xml:space="preserve">. </w:t>
      </w:r>
      <w:r>
        <w:rPr>
          <w:rtl w:val="true"/>
        </w:rPr>
        <w:t>משעה שנחתם הסדר הטיעון על דעת שני הצדדים ואושר על</w:t>
      </w:r>
      <w:r>
        <w:rPr>
          <w:rtl w:val="true"/>
        </w:rPr>
        <w:t>-</w:t>
      </w:r>
      <w:r>
        <w:rPr>
          <w:rtl w:val="true"/>
        </w:rPr>
        <w:t>ידי בית משפט קמא</w:t>
      </w:r>
      <w:r>
        <w:rPr>
          <w:rtl w:val="true"/>
        </w:rPr>
        <w:t xml:space="preserve">, </w:t>
      </w:r>
      <w:r>
        <w:rPr>
          <w:rtl w:val="true"/>
        </w:rPr>
        <w:t>הרי שיש לגזור את עונשו של המערער בהתאם לעובדות בהן הודה ולעבירה בה הורשע</w:t>
      </w:r>
      <w:r>
        <w:rPr>
          <w:rtl w:val="true"/>
        </w:rPr>
        <w:t xml:space="preserve">, </w:t>
      </w:r>
      <w:r>
        <w:rPr>
          <w:rtl w:val="true"/>
        </w:rPr>
        <w:t xml:space="preserve">ואין להסתמך על סעיף עבירה אחר אשר לא נכלל בכתב האישום </w:t>
      </w:r>
      <w:r>
        <w:rPr>
          <w:rtl w:val="true"/>
        </w:rPr>
        <w:t>(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5734/10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קאשור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19-16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25.</w:t>
      </w:r>
      <w:r>
        <w:rPr/>
        <w:t>1</w:t>
      </w:r>
      <w:r>
        <w:rPr/>
        <w:t>.2012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מופחתת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ומגדירים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תוחמים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בעובדות כתב האישום המתוקן אין יסוד לתיאור המערער כי מדובר ב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סיטואציה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אצל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ותחושה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ומיידית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. </w:t>
      </w:r>
      <w:r>
        <w:rPr>
          <w:rtl w:val="true"/>
        </w:rPr>
        <w:t>תיאור זה נועד</w:t>
      </w:r>
      <w:r>
        <w:rPr>
          <w:rtl w:val="true"/>
        </w:rPr>
        <w:t xml:space="preserve">, </w:t>
      </w:r>
      <w:r>
        <w:rPr>
          <w:rtl w:val="true"/>
        </w:rPr>
        <w:t>על פני הדברים</w:t>
      </w:r>
      <w:r>
        <w:rPr>
          <w:rtl w:val="true"/>
        </w:rPr>
        <w:t xml:space="preserve">, </w:t>
      </w:r>
      <w:r>
        <w:rPr>
          <w:rtl w:val="true"/>
        </w:rPr>
        <w:t>לתמוך ולחזק את טענת המערער בדבר קרבה לסייג הגנה עצמית במעשיו לנוכח תקיפתו על</w:t>
      </w:r>
      <w:r>
        <w:rPr>
          <w:rtl w:val="true"/>
        </w:rPr>
        <w:t>-</w:t>
      </w:r>
      <w:r>
        <w:rPr>
          <w:rtl w:val="true"/>
        </w:rPr>
        <w:t>ידי המנוח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גם 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משעה שהצדדים הסכימו על העובדות המנויות בכתב האישום המתוקן </w:t>
      </w:r>
      <w:r>
        <w:rPr>
          <w:rtl w:val="true"/>
        </w:rPr>
        <w:t>–</w:t>
      </w:r>
      <w:r>
        <w:rPr>
          <w:rtl w:val="true"/>
        </w:rPr>
        <w:t xml:space="preserve"> והמערער אף הודה בהן</w:t>
      </w:r>
      <w:r>
        <w:rPr>
          <w:rtl w:val="true"/>
        </w:rPr>
        <w:t xml:space="preserve">, </w:t>
      </w:r>
      <w:r>
        <w:rPr>
          <w:rtl w:val="true"/>
        </w:rPr>
        <w:t xml:space="preserve">ככלל אין מקום להוסיף כהוא זה על לשונו ועובדותיו </w:t>
      </w:r>
      <w:r>
        <w:rPr>
          <w:rtl w:val="true"/>
        </w:rPr>
        <w:t>(</w:t>
      </w:r>
      <w:r>
        <w:rPr>
          <w:rtl w:val="true"/>
        </w:rPr>
        <w:t>לדיון בחריגים לכלל זה ראו פסק דיני מהעת האחרונה</w:t>
      </w:r>
      <w:r>
        <w:rPr>
          <w:rtl w:val="true"/>
        </w:rPr>
        <w:t xml:space="preserve">: 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ניקולקין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24-22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28.</w:t>
      </w:r>
      <w:r>
        <w:rPr/>
        <w:t>5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אי לכך</w:t>
      </w:r>
      <w:r>
        <w:rPr>
          <w:rtl w:val="true"/>
        </w:rPr>
        <w:t xml:space="preserve">, </w:t>
      </w:r>
      <w:r>
        <w:rPr>
          <w:rtl w:val="true"/>
        </w:rPr>
        <w:t>לא ניתן להציג את תיאור הסיטואציה כאמור כ</w:t>
      </w:r>
      <w:r>
        <w:rPr>
          <w:rtl w:val="true"/>
        </w:rPr>
        <w:t>"</w:t>
      </w:r>
      <w:r>
        <w:rPr>
          <w:rtl w:val="true"/>
        </w:rPr>
        <w:t>עובדה</w:t>
      </w:r>
      <w:r>
        <w:rPr>
          <w:rtl w:val="true"/>
        </w:rPr>
        <w:t xml:space="preserve">", </w:t>
      </w:r>
      <w:r>
        <w:rPr>
          <w:rtl w:val="true"/>
        </w:rPr>
        <w:t xml:space="preserve">לא כל שכן שאין להסתמך על תיאור זה לעניין גזירת עונשו של המערער </w:t>
      </w:r>
      <w:r>
        <w:rPr>
          <w:rtl w:val="true"/>
        </w:rPr>
        <w:t>(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2994/12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זגורי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23.12.2012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264/81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659</w:t>
      </w:r>
      <w:r>
        <w:rPr>
          <w:rtl w:val="true"/>
        </w:rPr>
        <w:t xml:space="preserve">, </w:t>
      </w:r>
      <w:r>
        <w:rPr/>
        <w:t>662-661</w:t>
      </w:r>
      <w:r>
        <w:rPr>
          <w:rtl w:val="true"/>
        </w:rPr>
        <w:t xml:space="preserve"> (</w:t>
      </w:r>
      <w:r>
        <w:rPr/>
        <w:t>1981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כך גם הבהרתי במקום אחר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>על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בית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המשפט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לנקוט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משנה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זהירות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בקביעת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הנסיבות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הרלוונטיות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למידת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העונש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לבל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יסטה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מהעובדות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המפורשות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בכתב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האישום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המתוקן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ולבל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יזקוף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לחובתו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או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לזכותו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נאשם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פרשנויות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שונות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למעשים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מבלי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שהובאו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ראיות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התומכות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בכך</w:t>
      </w:r>
      <w:r>
        <w:rPr>
          <w:shd w:fill="FFFFFF" w:val="clear"/>
          <w:rtl w:val="true"/>
        </w:rPr>
        <w:t>" (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5735/18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גודובסקי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9</w:t>
      </w:r>
      <w:r>
        <w:rPr/>
        <w:t>.12.2019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מלבד זאת</w:t>
      </w:r>
      <w:r>
        <w:rPr>
          <w:rtl w:val="true"/>
        </w:rPr>
        <w:t xml:space="preserve">, </w:t>
      </w:r>
      <w:r>
        <w:rPr>
          <w:rtl w:val="true"/>
        </w:rPr>
        <w:t>בבחינת למעלה מן הצורך</w:t>
      </w:r>
      <w:r>
        <w:rPr>
          <w:rtl w:val="true"/>
        </w:rPr>
        <w:t xml:space="preserve">, </w:t>
      </w:r>
      <w:r>
        <w:rPr>
          <w:rtl w:val="true"/>
        </w:rPr>
        <w:t xml:space="preserve">עובדות כתב האישום המתוקן </w:t>
      </w:r>
      <w:r>
        <w:rPr>
          <w:rtl w:val="true"/>
        </w:rPr>
        <w:t>–</w:t>
      </w:r>
      <w:r>
        <w:rPr>
          <w:rtl w:val="true"/>
        </w:rPr>
        <w:t xml:space="preserve"> בהן הודה המערער </w:t>
      </w:r>
      <w:r>
        <w:rPr>
          <w:rtl w:val="true"/>
        </w:rPr>
        <w:t>–</w:t>
      </w:r>
      <w:r>
        <w:rPr>
          <w:rtl w:val="true"/>
        </w:rPr>
        <w:t xml:space="preserve"> ממילא אינן מלמדות על קרבה לסייג הגנה עצמית או על התגרות שקדמה למעשה</w:t>
      </w:r>
      <w:r>
        <w:rPr>
          <w:rtl w:val="true"/>
        </w:rPr>
        <w:t xml:space="preserve">, </w:t>
      </w:r>
      <w:r>
        <w:rPr>
          <w:rtl w:val="true"/>
        </w:rPr>
        <w:t xml:space="preserve">המקיימות את עבירת המתה בנסיבות של אחריות מופחתת לפי </w:t>
      </w:r>
      <w:hyperlink r:id="rId79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0"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האירוע האלים החל כאשר המנוח לקח סכין וניסה לדקור את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חנק אותו ואף גרם לו לחתכים בכף </w:t>
      </w:r>
      <w:r>
        <w:rPr>
          <w:rtl w:val="true"/>
        </w:rPr>
        <w:t>ידו</w:t>
      </w:r>
      <w:r>
        <w:rPr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 xml:space="preserve">צֶבֶר </w:t>
      </w:r>
      <w:r>
        <w:rPr>
          <w:rtl w:val="true"/>
        </w:rPr>
        <w:t>שפכי</w:t>
      </w:r>
      <w:r>
        <w:rPr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המערער הצליח להשתלט על הסכין ודקר את המנוח</w:t>
      </w:r>
      <w:r>
        <w:rPr>
          <w:rtl w:val="true"/>
        </w:rPr>
        <w:t xml:space="preserve">. </w:t>
      </w:r>
      <w:r>
        <w:rPr>
          <w:rtl w:val="true"/>
        </w:rPr>
        <w:t>אילו בכך היה מסתכם המאבק שבין השניים</w:t>
      </w:r>
      <w:r>
        <w:rPr>
          <w:rtl w:val="true"/>
        </w:rPr>
        <w:t xml:space="preserve">, </w:t>
      </w:r>
      <w:r>
        <w:rPr>
          <w:rtl w:val="true"/>
        </w:rPr>
        <w:t>ומבלי לקבוע מסמרות</w:t>
      </w:r>
      <w:r>
        <w:rPr>
          <w:rtl w:val="true"/>
        </w:rPr>
        <w:t xml:space="preserve">, </w:t>
      </w:r>
      <w:r>
        <w:rPr>
          <w:rtl w:val="true"/>
        </w:rPr>
        <w:t>ייתכן שבנסיבות המתאימות ניתן היה לסווג את מעשי המערער כהגנה עצמית או כאלו שקדמה התגרות לביצועם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לא כך המקרה שלפנינו </w:t>
      </w:r>
      <w:r>
        <w:rPr>
          <w:rtl w:val="true"/>
        </w:rPr>
        <w:t>–</w:t>
      </w:r>
      <w:r>
        <w:rPr>
          <w:rtl w:val="true"/>
        </w:rPr>
        <w:t xml:space="preserve"> כמפורט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למערער נגרמו חתכים בלבד בכף ידו ואילו הוא דקר את המנוח </w:t>
      </w:r>
      <w:r>
        <w:rPr>
          <w:rtl w:val="true"/>
        </w:rPr>
        <w:t>בחזה</w:t>
      </w:r>
      <w:r>
        <w:rPr>
          <w:rtl w:val="true"/>
        </w:rPr>
        <w:t xml:space="preserve">, </w:t>
      </w:r>
      <w:r>
        <w:rPr>
          <w:rtl w:val="true"/>
        </w:rPr>
        <w:t>בבטן</w:t>
      </w:r>
      <w:r>
        <w:rPr>
          <w:rtl w:val="true"/>
        </w:rPr>
        <w:t xml:space="preserve"> </w:t>
      </w:r>
      <w:r>
        <w:rPr>
          <w:rtl w:val="true"/>
        </w:rPr>
        <w:t>התחתונה</w:t>
      </w:r>
      <w:r>
        <w:rPr>
          <w:rtl w:val="true"/>
        </w:rPr>
        <w:t xml:space="preserve"> </w:t>
      </w:r>
      <w:r>
        <w:rPr>
          <w:rtl w:val="true"/>
        </w:rPr>
        <w:t>ובגו</w:t>
      </w:r>
      <w:r>
        <w:rPr>
          <w:rtl w:val="true"/>
        </w:rPr>
        <w:t xml:space="preserve"> </w:t>
      </w:r>
      <w:r>
        <w:rPr>
          <w:rtl w:val="true"/>
        </w:rPr>
        <w:t>מימין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לאחר ש</w:t>
      </w:r>
      <w:r>
        <w:rPr>
          <w:rtl w:val="true"/>
        </w:rPr>
        <w:t>המנוח</w:t>
      </w:r>
      <w:r>
        <w:rPr>
          <w:rtl w:val="true"/>
        </w:rPr>
        <w:t xml:space="preserve"> </w:t>
      </w:r>
      <w:r>
        <w:rPr>
          <w:rtl w:val="true"/>
        </w:rPr>
        <w:t>נפל</w:t>
      </w:r>
      <w:r>
        <w:rPr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חדל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 </w:t>
      </w:r>
      <w:r>
        <w:rPr>
          <w:rtl w:val="true"/>
        </w:rPr>
        <w:t>שוכב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בטנו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tl w:val="true"/>
        </w:rPr>
        <w:t xml:space="preserve"> </w:t>
      </w:r>
      <w:r>
        <w:rPr>
          <w:rtl w:val="true"/>
        </w:rPr>
        <w:t>ודקר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דקירות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בגבו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חדרו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לריאות</w:t>
      </w:r>
      <w:r>
        <w:rPr>
          <w:rtl w:val="true"/>
        </w:rPr>
        <w:t xml:space="preserve">, </w:t>
      </w:r>
      <w:r>
        <w:rPr>
          <w:rtl w:val="true"/>
        </w:rPr>
        <w:t>לכבד</w:t>
      </w:r>
      <w:r>
        <w:rPr>
          <w:rtl w:val="true"/>
        </w:rPr>
        <w:t xml:space="preserve">, </w:t>
      </w:r>
      <w:r>
        <w:rPr>
          <w:rtl w:val="true"/>
        </w:rPr>
        <w:t>לכליה</w:t>
      </w:r>
      <w:r>
        <w:rPr>
          <w:rtl w:val="true"/>
        </w:rPr>
        <w:t xml:space="preserve">, </w:t>
      </w:r>
      <w:r>
        <w:rPr>
          <w:rtl w:val="true"/>
        </w:rPr>
        <w:t>לעורק</w:t>
      </w:r>
      <w:r>
        <w:rPr>
          <w:rtl w:val="true"/>
        </w:rPr>
        <w:t xml:space="preserve"> </w:t>
      </w:r>
      <w:r>
        <w:rPr>
          <w:rtl w:val="true"/>
        </w:rPr>
        <w:t>הכסל</w:t>
      </w:r>
      <w:r>
        <w:rPr>
          <w:rtl w:val="true"/>
        </w:rPr>
        <w:t xml:space="preserve"> </w:t>
      </w:r>
      <w:r>
        <w:rPr>
          <w:rtl w:val="true"/>
        </w:rPr>
        <w:t>ולתעלת</w:t>
      </w:r>
      <w:r>
        <w:rPr>
          <w:rtl w:val="true"/>
        </w:rPr>
        <w:t xml:space="preserve"> </w:t>
      </w:r>
      <w:r>
        <w:rPr>
          <w:rtl w:val="true"/>
        </w:rPr>
        <w:t>עמוד</w:t>
      </w:r>
      <w:r>
        <w:rPr>
          <w:rtl w:val="true"/>
        </w:rPr>
        <w:t xml:space="preserve"> </w:t>
      </w:r>
      <w:r>
        <w:rPr>
          <w:rtl w:val="true"/>
        </w:rPr>
        <w:t>השדרה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 </w:t>
      </w:r>
      <w:r>
        <w:rPr>
          <w:rtl w:val="true"/>
        </w:rPr>
        <w:t>נגרם</w:t>
      </w:r>
      <w:r>
        <w:rPr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להשוואה והרחבה לעניין התגרות</w:t>
      </w:r>
      <w:r>
        <w:rPr>
          <w:rtl w:val="true"/>
        </w:rPr>
        <w:t xml:space="preserve">, </w:t>
      </w:r>
      <w:r>
        <w:rPr>
          <w:rtl w:val="true"/>
        </w:rPr>
        <w:t xml:space="preserve">ראו פסק דינו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 ב</w:t>
      </w:r>
      <w:r>
        <w:rPr>
          <w:rtl w:val="true"/>
        </w:rPr>
        <w:t>-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7.7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להשוואה והרחבה לעניין הגנה עצמית</w:t>
      </w:r>
      <w:r>
        <w:rPr>
          <w:rtl w:val="true"/>
        </w:rPr>
        <w:t xml:space="preserve">, </w:t>
      </w:r>
      <w:r>
        <w:rPr>
          <w:rtl w:val="true"/>
        </w:rPr>
        <w:t xml:space="preserve">ראו </w:t>
      </w:r>
      <w:hyperlink r:id="rId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7229/20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מירזייב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31-26</w:t>
      </w:r>
      <w:r>
        <w:rPr>
          <w:rtl w:val="true"/>
        </w:rPr>
        <w:t xml:space="preserve"> </w:t>
      </w:r>
      <w:r>
        <w:rPr>
          <w:rtl w:val="true"/>
        </w:rPr>
        <w:t xml:space="preserve">לפסק דיני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20.12.2021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83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4"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אף ביתר טענות המערער</w:t>
      </w:r>
      <w:r>
        <w:rPr>
          <w:rtl w:val="true"/>
        </w:rPr>
        <w:t xml:space="preserve">, </w:t>
      </w:r>
      <w:r>
        <w:rPr>
          <w:rtl w:val="true"/>
        </w:rPr>
        <w:t>אין ממש</w:t>
      </w:r>
      <w:r>
        <w:rPr>
          <w:rtl w:val="true"/>
        </w:rPr>
        <w:t xml:space="preserve">. </w:t>
      </w:r>
      <w:r>
        <w:rPr>
          <w:rtl w:val="true"/>
        </w:rPr>
        <w:t>בבחינת התוצאה העונשית הסופית</w:t>
      </w:r>
      <w:r>
        <w:rPr>
          <w:rtl w:val="true"/>
        </w:rPr>
        <w:t xml:space="preserve">, </w:t>
      </w:r>
      <w:r>
        <w:rPr>
          <w:rtl w:val="true"/>
        </w:rPr>
        <w:t>העונש אשר נגזר על המערער הולם את חומרת מעשיו ונסיבות ביצועם</w:t>
      </w:r>
      <w:r>
        <w:rPr>
          <w:rtl w:val="true"/>
        </w:rPr>
        <w:t xml:space="preserve">, </w:t>
      </w:r>
      <w:r>
        <w:rPr>
          <w:rtl w:val="true"/>
        </w:rPr>
        <w:t xml:space="preserve">ואף מתחשב כראוי בנסיבותיו האישיות </w:t>
      </w:r>
      <w:r>
        <w:rPr>
          <w:rtl w:val="true"/>
        </w:rPr>
        <w:t>(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671/22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תנהא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20.10.2022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תוצאת מעשיו של המערער חמורה מאין כמותה</w:t>
      </w:r>
      <w:r>
        <w:rPr>
          <w:rtl w:val="true"/>
        </w:rPr>
        <w:t xml:space="preserve">, </w:t>
      </w:r>
      <w:r>
        <w:rPr>
          <w:rtl w:val="true"/>
        </w:rPr>
        <w:t>חייו של המנוח ניטלו כתוצאה מהדקירות הרבות בגופו</w:t>
      </w:r>
      <w:r>
        <w:rPr>
          <w:rtl w:val="true"/>
        </w:rPr>
        <w:t xml:space="preserve">, </w:t>
      </w:r>
      <w:r>
        <w:rPr>
          <w:rtl w:val="true"/>
        </w:rPr>
        <w:t xml:space="preserve">ובכך המערער פגע בערך הנשגב ביותר של </w:t>
      </w:r>
      <w:r>
        <w:rPr>
          <w:rFonts w:ascii="Century" w:hAnsi="Century" w:cs="Century"/>
          <w:sz w:val="22"/>
          <w:sz w:val="22"/>
          <w:rtl w:val="true"/>
        </w:rPr>
        <w:t>קדושת החיים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בד בבד</w:t>
      </w:r>
      <w:r>
        <w:rPr>
          <w:rtl w:val="true"/>
        </w:rPr>
        <w:t xml:space="preserve">, </w:t>
      </w:r>
      <w:r>
        <w:rPr>
          <w:rtl w:val="true"/>
        </w:rPr>
        <w:t xml:space="preserve">משהורשע בעבירת המתה בנסיבות של אחריות מופחתת על רקע שכרותו בעת ביצוע מעשה ההמתה </w:t>
      </w:r>
      <w:r>
        <w:rPr>
          <w:rtl w:val="true"/>
        </w:rPr>
        <w:t>–</w:t>
      </w:r>
      <w:r>
        <w:rPr>
          <w:rtl w:val="true"/>
        </w:rPr>
        <w:t xml:space="preserve"> מידת אשמתו והאחריות שלו למות המנוח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מופחתת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גם נסיבות ביצוע העבירה שופכות אור על מעשה ההמתה ומסייגות את מידת חומרת מעשי המערער</w:t>
      </w:r>
      <w:r>
        <w:rPr>
          <w:rtl w:val="true"/>
        </w:rPr>
        <w:t xml:space="preserve">. </w:t>
      </w:r>
      <w:r>
        <w:rPr>
          <w:rtl w:val="true"/>
        </w:rPr>
        <w:t>המערער בישר למנוח שברצונו לעזוב את הדירה 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על רקע הודעה זו</w:t>
      </w:r>
      <w:r>
        <w:rPr>
          <w:rtl w:val="true"/>
        </w:rPr>
        <w:t xml:space="preserve">, </w:t>
      </w:r>
      <w:r>
        <w:rPr>
          <w:rtl w:val="true"/>
        </w:rPr>
        <w:t>התלהט ויכוח בין השניים בעודם תחת השפעת אלכוהול</w:t>
      </w:r>
      <w:r>
        <w:rPr>
          <w:rtl w:val="true"/>
        </w:rPr>
        <w:t xml:space="preserve">, </w:t>
      </w:r>
      <w:r>
        <w:rPr>
          <w:rtl w:val="true"/>
        </w:rPr>
        <w:t>כאשר המערער הותקף בידי המנוח וניסה למנוע ממנו לפגוע בו באמצעות הסכין</w:t>
      </w:r>
      <w:r>
        <w:rPr>
          <w:rtl w:val="true"/>
        </w:rPr>
        <w:t xml:space="preserve">. </w:t>
      </w:r>
      <w:r>
        <w:rPr>
          <w:rtl w:val="true"/>
        </w:rPr>
        <w:t>רק לאחר מכן</w:t>
      </w:r>
      <w:r>
        <w:rPr>
          <w:rtl w:val="true"/>
        </w:rPr>
        <w:t xml:space="preserve">, </w:t>
      </w:r>
      <w:r>
        <w:rPr>
          <w:rtl w:val="true"/>
        </w:rPr>
        <w:t>המערער דקר את המנוח באופן שגרם למותו</w:t>
      </w:r>
      <w:r>
        <w:rPr>
          <w:rtl w:val="true"/>
        </w:rPr>
        <w:t xml:space="preserve">. </w:t>
      </w:r>
      <w:r>
        <w:rPr>
          <w:rtl w:val="true"/>
        </w:rPr>
        <w:t>התרחשויות אלו</w:t>
      </w:r>
      <w:r>
        <w:rPr>
          <w:rtl w:val="true"/>
        </w:rPr>
        <w:t xml:space="preserve">, </w:t>
      </w:r>
      <w:r>
        <w:rPr>
          <w:rtl w:val="true"/>
        </w:rPr>
        <w:t>עובר למעשה ההמתה</w:t>
      </w:r>
      <w:r>
        <w:rPr>
          <w:rtl w:val="true"/>
        </w:rPr>
        <w:t xml:space="preserve">, </w:t>
      </w:r>
      <w:r>
        <w:rPr>
          <w:rtl w:val="true"/>
        </w:rPr>
        <w:t xml:space="preserve">נושאות עימן משקל במידת מה ביחס לאשמתו של המערער במות המנוח לצורך קביעת גבולות מתחם העונש ההולם </w:t>
      </w:r>
      <w:r>
        <w:rPr>
          <w:rtl w:val="true"/>
        </w:rPr>
        <w:t>(</w:t>
      </w:r>
      <w:r>
        <w:rPr>
          <w:rtl w:val="true"/>
        </w:rPr>
        <w:t>כן ראו</w:t>
      </w:r>
      <w:r>
        <w:rPr>
          <w:rtl w:val="true"/>
        </w:rPr>
        <w:t xml:space="preserve">: 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6122/21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ליסיצין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2.5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בגדרי מתחם העונש ההולם ניתן משקל ראוי גם לנסיבותיו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בכללן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 </w:t>
      </w:r>
      <w:r>
        <w:rPr>
          <w:rtl w:val="true"/>
        </w:rPr>
        <w:t>ומצבו</w:t>
      </w:r>
      <w:r>
        <w:rPr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 </w:t>
      </w:r>
      <w:r>
        <w:rPr>
          <w:rtl w:val="true"/>
        </w:rPr>
        <w:t>המורכב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בהשפעתן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ואחרות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התחתון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 </w:t>
      </w:r>
      <w:r>
        <w:rPr>
          <w:rtl w:val="true"/>
        </w:rPr>
        <w:t>העונש אשר נגזר על המערער הולם את חומרת מעשיו</w:t>
      </w:r>
      <w:r>
        <w:rPr>
          <w:rtl w:val="true"/>
        </w:rPr>
        <w:t xml:space="preserve">, </w:t>
      </w:r>
      <w:r>
        <w:rPr>
          <w:rtl w:val="true"/>
        </w:rPr>
        <w:t>מתחשב כדבעי במכלול נסיבות ביצוע העבירה ונסיבותיו האישיות ועולה בקנה אחד עם מדיניות הענישה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אציע לחברי ולחברתי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לדחות</w:t>
      </w:r>
      <w:r>
        <w:rPr>
          <w:rtl w:val="true"/>
        </w:rPr>
        <w:t xml:space="preserve"> את 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רונן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4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1.6.2023</w:t>
      </w:r>
      <w:r>
        <w:rPr>
          <w:rtl w:val="true"/>
        </w:rPr>
        <w:t xml:space="preserve">). </w:t>
      </w:r>
      <w:bookmarkEnd w:id="14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22074160</w:t>
      </w:r>
      <w:r>
        <w:rPr>
          <w:sz w:val="16"/>
          <w:rtl w:val="true"/>
        </w:rPr>
        <w:t>_</w:t>
      </w:r>
      <w:r>
        <w:rPr>
          <w:sz w:val="16"/>
        </w:rPr>
        <w:t>J02.docx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7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54678313-7416/22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9"/>
      <w:footerReference w:type="default" r:id="rId9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7416/22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אפרם דויט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big-number">
    <w:name w:val="big-number"/>
    <w:basedOn w:val="DefaultParagraphFont"/>
    <w:qFormat/>
    <w:rPr/>
  </w:style>
  <w:style w:type="character" w:styleId="default">
    <w:name w:val="default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51533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a.a.1" TargetMode="External"/><Relationship Id="rId5" Type="http://schemas.openxmlformats.org/officeDocument/2006/relationships/hyperlink" Target="http://www.nevo.co.il/law/70301/34i.b" TargetMode="External"/><Relationship Id="rId6" Type="http://schemas.openxmlformats.org/officeDocument/2006/relationships/hyperlink" Target="http://www.nevo.co.il/law/70301/34i.d" TargetMode="External"/><Relationship Id="rId7" Type="http://schemas.openxmlformats.org/officeDocument/2006/relationships/hyperlink" Target="http://www.nevo.co.il/law/70301/34i.e" TargetMode="External"/><Relationship Id="rId8" Type="http://schemas.openxmlformats.org/officeDocument/2006/relationships/hyperlink" Target="http://www.nevo.co.il/law/70301/40i.a.7" TargetMode="External"/><Relationship Id="rId9" Type="http://schemas.openxmlformats.org/officeDocument/2006/relationships/hyperlink" Target="http://www.nevo.co.il/law/70301/40i.a.9" TargetMode="External"/><Relationship Id="rId10" Type="http://schemas.openxmlformats.org/officeDocument/2006/relationships/hyperlink" Target="http://www.nevo.co.il/law/70301/300.a" TargetMode="External"/><Relationship Id="rId11" Type="http://schemas.openxmlformats.org/officeDocument/2006/relationships/hyperlink" Target="http://www.nevo.co.il/law/70301/300.a.2" TargetMode="External"/><Relationship Id="rId12" Type="http://schemas.openxmlformats.org/officeDocument/2006/relationships/hyperlink" Target="http://www.nevo.co.il/law/70301/300a" TargetMode="External"/><Relationship Id="rId13" Type="http://schemas.openxmlformats.org/officeDocument/2006/relationships/hyperlink" Target="http://www.nevo.co.il/law/70301/301a" TargetMode="External"/><Relationship Id="rId14" Type="http://schemas.openxmlformats.org/officeDocument/2006/relationships/hyperlink" Target="http://www.nevo.co.il/law/70301/301b" TargetMode="External"/><Relationship Id="rId15" Type="http://schemas.openxmlformats.org/officeDocument/2006/relationships/hyperlink" Target="http://www.nevo.co.il/law/70301/301b.a" TargetMode="External"/><Relationship Id="rId16" Type="http://schemas.openxmlformats.org/officeDocument/2006/relationships/hyperlink" Target="http://www.nevo.co.il/law/70301/301b.b.1" TargetMode="External"/><Relationship Id="rId17" Type="http://schemas.openxmlformats.org/officeDocument/2006/relationships/hyperlink" Target="http://www.nevo.co.il/law/70301/301b.b.2" TargetMode="External"/><Relationship Id="rId18" Type="http://schemas.openxmlformats.org/officeDocument/2006/relationships/hyperlink" Target="http://www.nevo.co.il/law/70301/301b.b.3" TargetMode="External"/><Relationship Id="rId19" Type="http://schemas.openxmlformats.org/officeDocument/2006/relationships/hyperlink" Target="http://www.nevo.co.il/law/70301/301b.c" TargetMode="External"/><Relationship Id="rId20" Type="http://schemas.openxmlformats.org/officeDocument/2006/relationships/hyperlink" Target="http://www.nevo.co.il/law/70301/301c" TargetMode="External"/><Relationship Id="rId21" Type="http://schemas.openxmlformats.org/officeDocument/2006/relationships/hyperlink" Target="http://www.nevo.co.il/law/70301/304" TargetMode="External"/><Relationship Id="rId22" Type="http://schemas.openxmlformats.org/officeDocument/2006/relationships/hyperlink" Target="http://www.nevo.co.il/law/70301/34jd.b" TargetMode="External"/><Relationship Id="rId23" Type="http://schemas.openxmlformats.org/officeDocument/2006/relationships/hyperlink" Target="http://www.nevo.co.il/case/27515330" TargetMode="External"/><Relationship Id="rId24" Type="http://schemas.openxmlformats.org/officeDocument/2006/relationships/hyperlink" Target="http://www.nevo.co.il/law/70301/300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01b.c" TargetMode="External"/><Relationship Id="rId27" Type="http://schemas.openxmlformats.org/officeDocument/2006/relationships/hyperlink" Target="http://www.nevo.co.il/law/70301/34i.b" TargetMode="External"/><Relationship Id="rId28" Type="http://schemas.openxmlformats.org/officeDocument/2006/relationships/hyperlink" Target="http://www.nevo.co.il/law/70301/301b.b.1" TargetMode="External"/><Relationship Id="rId29" Type="http://schemas.openxmlformats.org/officeDocument/2006/relationships/hyperlink" Target="http://www.nevo.co.il/law/70301/301b.b.3" TargetMode="External"/><Relationship Id="rId30" Type="http://schemas.openxmlformats.org/officeDocument/2006/relationships/hyperlink" Target="http://www.nevo.co.il/law/70301/40i.a.9" TargetMode="External"/><Relationship Id="rId31" Type="http://schemas.openxmlformats.org/officeDocument/2006/relationships/hyperlink" Target="http://www.nevo.co.il/law/70301/40i.a.7" TargetMode="External"/><Relationship Id="rId32" Type="http://schemas.openxmlformats.org/officeDocument/2006/relationships/hyperlink" Target="http://www.nevo.co.il/law/70301/301b.b.1" TargetMode="External"/><Relationship Id="rId33" Type="http://schemas.openxmlformats.org/officeDocument/2006/relationships/hyperlink" Target="http://www.nevo.co.il/law/70301/301b.b.3" TargetMode="External"/><Relationship Id="rId34" Type="http://schemas.openxmlformats.org/officeDocument/2006/relationships/hyperlink" Target="http://www.nevo.co.il/law/70301/301b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8313659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01a" TargetMode="External"/><Relationship Id="rId39" Type="http://schemas.openxmlformats.org/officeDocument/2006/relationships/hyperlink" Target="http://www.nevo.co.il/law/70301/300.a" TargetMode="External"/><Relationship Id="rId40" Type="http://schemas.openxmlformats.org/officeDocument/2006/relationships/hyperlink" Target="http://www.nevo.co.il/law/70301/301b" TargetMode="External"/><Relationship Id="rId41" Type="http://schemas.openxmlformats.org/officeDocument/2006/relationships/hyperlink" Target="http://www.nevo.co.il/law/70301/301c" TargetMode="External"/><Relationship Id="rId42" Type="http://schemas.openxmlformats.org/officeDocument/2006/relationships/hyperlink" Target="http://www.nevo.co.il/law/70301/304" TargetMode="External"/><Relationship Id="rId43" Type="http://schemas.openxmlformats.org/officeDocument/2006/relationships/hyperlink" Target="http://www.nevo.co.il/case/26892078" TargetMode="External"/><Relationship Id="rId44" Type="http://schemas.openxmlformats.org/officeDocument/2006/relationships/hyperlink" Target="http://www.nevo.co.il/law/70301/301b.a" TargetMode="External"/><Relationship Id="rId45" Type="http://schemas.openxmlformats.org/officeDocument/2006/relationships/hyperlink" Target="http://www.nevo.co.il/law/70301/301b.b.2" TargetMode="External"/><Relationship Id="rId46" Type="http://schemas.openxmlformats.org/officeDocument/2006/relationships/hyperlink" Target="http://www.nevo.co.il/law/70301/301b.b.3" TargetMode="External"/><Relationship Id="rId47" Type="http://schemas.openxmlformats.org/officeDocument/2006/relationships/hyperlink" Target="http://www.nevo.co.il/law/70301/300a" TargetMode="External"/><Relationship Id="rId48" Type="http://schemas.openxmlformats.org/officeDocument/2006/relationships/hyperlink" Target="http://www.nevo.co.il/law/70301/301b.b.1" TargetMode="External"/><Relationship Id="rId49" Type="http://schemas.openxmlformats.org/officeDocument/2006/relationships/hyperlink" Target="http://www.nevo.co.il/law/70301/300.a.2" TargetMode="External"/><Relationship Id="rId50" Type="http://schemas.openxmlformats.org/officeDocument/2006/relationships/hyperlink" Target="http://www.nevo.co.il/case/25727571" TargetMode="External"/><Relationship Id="rId51" Type="http://schemas.openxmlformats.org/officeDocument/2006/relationships/hyperlink" Target="http://www.nevo.co.il/law/70301/301b.c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34a.a.1" TargetMode="External"/><Relationship Id="rId54" Type="http://schemas.openxmlformats.org/officeDocument/2006/relationships/hyperlink" Target="http://www.nevo.co.il/law/70301/34jd.b" TargetMode="External"/><Relationship Id="rId55" Type="http://schemas.openxmlformats.org/officeDocument/2006/relationships/hyperlink" Target="http://www.nevo.co.il/law/70301/34i.b" TargetMode="External"/><Relationship Id="rId56" Type="http://schemas.openxmlformats.org/officeDocument/2006/relationships/hyperlink" Target="http://www.nevo.co.il/law/70301/34i.d" TargetMode="External"/><Relationship Id="rId57" Type="http://schemas.openxmlformats.org/officeDocument/2006/relationships/hyperlink" Target="http://www.nevo.co.il/case/27672788" TargetMode="External"/><Relationship Id="rId58" Type="http://schemas.openxmlformats.org/officeDocument/2006/relationships/hyperlink" Target="http://www.nevo.co.il/law/70301/34i.e" TargetMode="External"/><Relationship Id="rId59" Type="http://schemas.openxmlformats.org/officeDocument/2006/relationships/hyperlink" Target="http://www.nevo.co.il/case/25246134" TargetMode="External"/><Relationship Id="rId60" Type="http://schemas.openxmlformats.org/officeDocument/2006/relationships/hyperlink" Target="http://www.nevo.co.il/case/20198054" TargetMode="External"/><Relationship Id="rId61" Type="http://schemas.openxmlformats.org/officeDocument/2006/relationships/hyperlink" Target="http://www.nevo.co.il/law/70301/301b.c" TargetMode="External"/><Relationship Id="rId62" Type="http://schemas.openxmlformats.org/officeDocument/2006/relationships/hyperlink" Target="http://www.nevo.co.il/case/29281995" TargetMode="External"/><Relationship Id="rId63" Type="http://schemas.openxmlformats.org/officeDocument/2006/relationships/hyperlink" Target="http://www.nevo.co.il/law/70301/300.a" TargetMode="External"/><Relationship Id="rId64" Type="http://schemas.openxmlformats.org/officeDocument/2006/relationships/hyperlink" Target="http://www.nevo.co.il/law/70301/301b.c" TargetMode="External"/><Relationship Id="rId65" Type="http://schemas.openxmlformats.org/officeDocument/2006/relationships/hyperlink" Target="http://www.nevo.co.il/law/70301/34i.b" TargetMode="External"/><Relationship Id="rId66" Type="http://schemas.openxmlformats.org/officeDocument/2006/relationships/hyperlink" Target="http://www.nevo.co.il/case/17943390" TargetMode="External"/><Relationship Id="rId67" Type="http://schemas.openxmlformats.org/officeDocument/2006/relationships/hyperlink" Target="http://www.nevo.co.il/case/5794090" TargetMode="External"/><Relationship Id="rId68" Type="http://schemas.openxmlformats.org/officeDocument/2006/relationships/hyperlink" Target="http://www.nevo.co.il/case/25651802" TargetMode="External"/><Relationship Id="rId69" Type="http://schemas.openxmlformats.org/officeDocument/2006/relationships/hyperlink" Target="http://www.nevo.co.il/law/70301/300.a" TargetMode="External"/><Relationship Id="rId70" Type="http://schemas.openxmlformats.org/officeDocument/2006/relationships/hyperlink" Target="http://www.nevo.co.il/law/70301/301b.b.1" TargetMode="External"/><Relationship Id="rId71" Type="http://schemas.openxmlformats.org/officeDocument/2006/relationships/hyperlink" Target="http://www.nevo.co.il/law/70301/301b.b.3" TargetMode="External"/><Relationship Id="rId72" Type="http://schemas.openxmlformats.org/officeDocument/2006/relationships/hyperlink" Target="http://www.nevo.co.il/case/6030189" TargetMode="External"/><Relationship Id="rId73" Type="http://schemas.openxmlformats.org/officeDocument/2006/relationships/hyperlink" Target="http://www.nevo.co.il/law/70301/301b" TargetMode="External"/><Relationship Id="rId74" Type="http://schemas.openxmlformats.org/officeDocument/2006/relationships/hyperlink" Target="http://www.nevo.co.il/law/70301/301b" TargetMode="External"/><Relationship Id="rId75" Type="http://schemas.openxmlformats.org/officeDocument/2006/relationships/hyperlink" Target="http://www.nevo.co.il/case/28358114" TargetMode="External"/><Relationship Id="rId76" Type="http://schemas.openxmlformats.org/officeDocument/2006/relationships/hyperlink" Target="http://www.nevo.co.il/case/5581634" TargetMode="External"/><Relationship Id="rId77" Type="http://schemas.openxmlformats.org/officeDocument/2006/relationships/hyperlink" Target="http://www.nevo.co.il/case/17916775" TargetMode="External"/><Relationship Id="rId78" Type="http://schemas.openxmlformats.org/officeDocument/2006/relationships/hyperlink" Target="http://www.nevo.co.il/case/24881262" TargetMode="External"/><Relationship Id="rId79" Type="http://schemas.openxmlformats.org/officeDocument/2006/relationships/hyperlink" Target="http://www.nevo.co.il/law/70301/301b.b.1" TargetMode="External"/><Relationship Id="rId80" Type="http://schemas.openxmlformats.org/officeDocument/2006/relationships/hyperlink" Target="http://www.nevo.co.il/law/70301/301b.b.3" TargetMode="External"/><Relationship Id="rId81" Type="http://schemas.openxmlformats.org/officeDocument/2006/relationships/hyperlink" Target="http://www.nevo.co.il/case/27361163" TargetMode="External"/><Relationship Id="rId82" Type="http://schemas.openxmlformats.org/officeDocument/2006/relationships/hyperlink" Target="http://www.nevo.co.il/case/27091230" TargetMode="External"/><Relationship Id="rId83" Type="http://schemas.openxmlformats.org/officeDocument/2006/relationships/hyperlink" Target="http://www.nevo.co.il/law/70301/301b.b.1" TargetMode="External"/><Relationship Id="rId84" Type="http://schemas.openxmlformats.org/officeDocument/2006/relationships/hyperlink" Target="http://www.nevo.co.il/law/70301/301b.b.3" TargetMode="External"/><Relationship Id="rId85" Type="http://schemas.openxmlformats.org/officeDocument/2006/relationships/hyperlink" Target="http://www.nevo.co.il/case/28280788" TargetMode="External"/><Relationship Id="rId86" Type="http://schemas.openxmlformats.org/officeDocument/2006/relationships/hyperlink" Target="http://www.nevo.co.il/case/27922142" TargetMode="External"/><Relationship Id="rId87" Type="http://schemas.openxmlformats.org/officeDocument/2006/relationships/hyperlink" Target="https://supreme.court.gov.il/" TargetMode="External"/><Relationship Id="rId88" Type="http://schemas.openxmlformats.org/officeDocument/2006/relationships/hyperlink" Target="http://www.nevo.co.il/advertisements/nevo-100.doc" TargetMode="External"/><Relationship Id="rId89" Type="http://schemas.openxmlformats.org/officeDocument/2006/relationships/header" Target="header1.xml"/><Relationship Id="rId90" Type="http://schemas.openxmlformats.org/officeDocument/2006/relationships/footer" Target="footer1.xml"/><Relationship Id="rId91" Type="http://schemas.openxmlformats.org/officeDocument/2006/relationships/numbering" Target="numbering.xml"/><Relationship Id="rId92" Type="http://schemas.openxmlformats.org/officeDocument/2006/relationships/fontTable" Target="fontTable.xml"/><Relationship Id="rId93" Type="http://schemas.openxmlformats.org/officeDocument/2006/relationships/settings" Target="settings.xml"/><Relationship Id="rId9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2023-06-15T11:14:00Z</dcterms:created>
  <dc:creator>h4</dc:creator>
  <dc:description/>
  <cp:keywords/>
  <dc:language>en-IL</dc:language>
  <cp:lastModifiedBy>h1</cp:lastModifiedBy>
  <cp:lastPrinted>2023-06-01T07:03:00Z</cp:lastPrinted>
  <dcterms:modified xsi:type="dcterms:W3CDTF">2023-06-15T11:14:00Z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אפרם דויט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27515330:2;28313659;26892078;25727571;27672788;25246134;20198054;29281995;17943390;5794090;25651802;6030189;28358114;5581634;17916775;24881262;27361163;27091230;28280788;27922142</vt:lpwstr>
  </property>
  <property fmtid="{D5CDD505-2E9C-101B-9397-08002B2CF9AE}" pid="9" name="CITY">
    <vt:lpwstr/>
  </property>
  <property fmtid="{D5CDD505-2E9C-101B-9397-08002B2CF9AE}" pid="10" name="DATE">
    <vt:lpwstr>20230601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אלרון;א' שטיין;ר' רונן</vt:lpwstr>
  </property>
  <property fmtid="{D5CDD505-2E9C-101B-9397-08002B2CF9AE}" pid="14" name="LAWLISTTMP1">
    <vt:lpwstr>70301/300.a:4;301b.c:4;034i.b:3;301b.b.1:6;301b.b.3:6;040i.a.9;040i.a.7;301b:4;301a;301c;304;301b.a;301b.b.2;300a;300.a.2;034a.a.1;34jd.b;034i.d;034i.e</vt:lpwstr>
  </property>
  <property fmtid="{D5CDD505-2E9C-101B-9397-08002B2CF9AE}" pid="15" name="LAWYER">
    <vt:lpwstr>עמרי כהן;אורלי פרייזלר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דיון פלילי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הגנות</vt:lpwstr>
  </property>
  <property fmtid="{D5CDD505-2E9C-101B-9397-08002B2CF9AE}" pid="41" name="NOSE24">
    <vt:lpwstr>ענישה</vt:lpwstr>
  </property>
  <property fmtid="{D5CDD505-2E9C-101B-9397-08002B2CF9AE}" pid="42" name="NOSE25">
    <vt:lpwstr>ערעור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1446;1446;1431;1446;504</vt:lpwstr>
  </property>
  <property fmtid="{D5CDD505-2E9C-101B-9397-08002B2CF9AE}" pid="48" name="NOSE31">
    <vt:lpwstr>שיקולים</vt:lpwstr>
  </property>
  <property fmtid="{D5CDD505-2E9C-101B-9397-08002B2CF9AE}" pid="49" name="NOSE310">
    <vt:lpwstr/>
  </property>
  <property fmtid="{D5CDD505-2E9C-101B-9397-08002B2CF9AE}" pid="50" name="NOSE32">
    <vt:lpwstr>תיקון 137</vt:lpwstr>
  </property>
  <property fmtid="{D5CDD505-2E9C-101B-9397-08002B2CF9AE}" pid="51" name="NOSE33">
    <vt:lpwstr>שכרות</vt:lpwstr>
  </property>
  <property fmtid="{D5CDD505-2E9C-101B-9397-08002B2CF9AE}" pid="52" name="NOSE34">
    <vt:lpwstr>מדיניות ענישה: התערבות ערכאת ערעור</vt:lpwstr>
  </property>
  <property fmtid="{D5CDD505-2E9C-101B-9397-08002B2CF9AE}" pid="53" name="NOSE35">
    <vt:lpwstr>התערבות במידת העונש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16896;18866;8691;8982;15230</vt:lpwstr>
  </property>
  <property fmtid="{D5CDD505-2E9C-101B-9397-08002B2CF9AE}" pid="59" name="PADIDATE">
    <vt:lpwstr>20230601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7416</vt:lpwstr>
  </property>
  <property fmtid="{D5CDD505-2E9C-101B-9397-08002B2CF9AE}" pid="65" name="PROCYEAR">
    <vt:lpwstr>22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410120230601</vt:lpwstr>
  </property>
  <property fmtid="{D5CDD505-2E9C-101B-9397-08002B2CF9AE}" pid="69" name="TYPE_N_DATE">
    <vt:lpwstr>41020230601</vt:lpwstr>
  </property>
  <property fmtid="{D5CDD505-2E9C-101B-9397-08002B2CF9AE}" pid="70" name="VOLUME">
    <vt:lpwstr/>
  </property>
  <property fmtid="{D5CDD505-2E9C-101B-9397-08002B2CF9AE}" pid="71" name="WORDNUMPAGES">
    <vt:lpwstr>13</vt:lpwstr>
  </property>
</Properties>
</file>