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בשבתו כבית משפט לערעורים פליליים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7451/23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42670-04-22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1.3.2023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7.9.2023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</w:t>
            </w:r>
            <w:r>
              <w:rPr>
                <w:sz w:val="24"/>
                <w:sz w:val="24"/>
                <w:szCs w:val="24"/>
                <w:rtl w:val="true"/>
              </w:rPr>
              <w:t>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טרסי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דרויאן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גמליאל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רוזנברג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שיינרט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"/>
              <w:ind w:end="0"/>
              <w:jc w:val="start"/>
              <w:rPr>
                <w:sz w:val="20"/>
                <w:szCs w:val="24"/>
              </w:rPr>
            </w:pP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22.7.2024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</w:rPr>
            </w:pPr>
            <w:bookmarkStart w:id="3" w:name="FirstLawyer"/>
            <w:bookmarkEnd w:id="3"/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המשיבה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שרית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מלצר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חתוקה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0"/>
        </w:rPr>
      </w:pPr>
      <w:r>
        <w:rPr>
          <w:sz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נותב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פייל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162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184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351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351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1955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u w:val="none"/>
          </w:rPr>
          <w:t>11</w:t>
        </w:r>
      </w:hyperlink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סדום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המשפחה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דיוק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חקירות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ילדים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כבושה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מרכז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לוד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בגדרם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הורשע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אחד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שמיעת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סדום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משפחה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וכמו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בשתי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מגונה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משפחה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שביצע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אחותו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כשזו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הייתה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7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בגין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הוטלו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11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מותנה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ופיצוי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לנפגעת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בסכום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70,000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כפר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כפירה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כללית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בהאשמות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שיוחסו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והכחיש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ביצע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עבירת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כלשהי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בקטינה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הרשעת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נסמכה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קביעות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מהימנות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ביחס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לגרסת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חוקרת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הילדים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חיצוניות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התומכות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היתר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סיוע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ראייתי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ביחס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למצבה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חשיפת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לצד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מחזקות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נוספות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לרבות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הימנעות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מלהעיד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להגנתו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המחוזי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לטענת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גירסת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חוקרת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הילדים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נסתרת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בשורת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סתירות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פוגעות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במהימנות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ובמשקל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לתת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לגרסתה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עוד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נטען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שינוי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בהתנהלות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ובמצבה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בתקופה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שטענה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נפגעה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נמצא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לגרסת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הסיוע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הראייתי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הנדרש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בהתאם</w:t>
      </w:r>
      <w:r>
        <w:rPr>
          <w:rFonts w:eastAsia="Times New Roman" w:cs="Times New Roman"/>
          <w:szCs w:val="26"/>
          <w:rtl w:val="true"/>
        </w:rPr>
        <w:t xml:space="preserve"> </w:t>
      </w:r>
      <w:hyperlink r:id="rId13"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לסעיף</w:t>
        </w:r>
        <w:r>
          <w:rPr>
            <w:rStyle w:val="Hyperlink"/>
            <w:rFonts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00"/>
            <w:szCs w:val="26"/>
            <w:u w:val="none"/>
          </w:rPr>
          <w:t>11</w:t>
        </w:r>
      </w:hyperlink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</w:t>
      </w:r>
      <w:hyperlink r:id="rId14">
        <w:r>
          <w:rPr>
            <w:rStyle w:val="Hyperlink"/>
            <w:rFonts w:eastAsia="Calibri" w:cs="FrankRuehl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לתיקון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דיני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הראיות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(</w:t>
        </w:r>
        <w:r>
          <w:rPr>
            <w:rStyle w:val="Hyperlink"/>
            <w:rFonts w:eastAsia="Calibri" w:cs="FrankRuehl"/>
            <w:szCs w:val="26"/>
            <w:rtl w:val="true"/>
          </w:rPr>
          <w:t>הגנת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ילדים</w:t>
        </w:r>
        <w:r>
          <w:rPr>
            <w:rStyle w:val="Hyperlink"/>
            <w:rFonts w:eastAsia="Calibri" w:cs="FrankRuehl"/>
            <w:szCs w:val="26"/>
            <w:rtl w:val="true"/>
          </w:rPr>
          <w:t>)</w:t>
        </w:r>
      </w:hyperlink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תשט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ו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</w:rPr>
        <w:t>1955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לחלופין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השיג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כ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השיג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משכו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שהוטל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הדין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מנגד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המשיבה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טענה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לדחות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הערעור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חלקיו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תוך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שסמכה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ידיה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הכרעת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המרשיעה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והמנומקת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אלרון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סולברג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מינץ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חלק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טענות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מופנות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ממצאי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עובדה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ומהימנות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שקבע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המחוזי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ואולם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מושרש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וידוע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שערכאת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הערעור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נוהגת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להתערב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בממצאי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מהימנות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ועובדה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שנקבעו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הערכאה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הדיונית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שהתרשמה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באורח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ישיר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מהעדויות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שהובאו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בפניה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ומהשתלבותן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במארג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הראייתי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הכולל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דנן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להתערב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בהרשעת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שהתבססה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גרסת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חוקרת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הילדים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שהעידה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המחוזי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וניתן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אמון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מלא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נמצאו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תימוכין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ראייתיים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היתר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במצבה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ובעדויותיהם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מספר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שהעידו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חשפה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בפניהם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פגע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מינית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עוד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קודם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להגשת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התלונה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ידה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כך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להתערב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בהעדפתו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הברורה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המחוזי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גרסתה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שהובאה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חוקרת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הילדים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בעדותה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הכחשתו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המוחלטת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המעשים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למהימנות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עליה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השיג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סניגורו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לציין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התרשמותו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הבלתי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אמצעית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והחיובית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המחוזי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שצפה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בקלטות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החקירה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ודבריה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זכו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לאמונו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בקלטות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צפו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השופטים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בערעור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בהקשר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להדגיש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כנותה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והקפדתה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לספר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הדברים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שזכרה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אותם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תוך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דיוק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בפרטים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תמימותה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המעידה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הבנת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המבוצע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חשפה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שביצע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מספר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התרחשותם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ולכך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שבזמן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אמת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שיתפה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אדם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כלשהו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באירועים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שהתרחשו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בעניין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להדגיש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לפסיקת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כבישת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תלונה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נפגעות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מהווה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תופעה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מוכרת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ושכיחה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ומדובר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בהתנהגות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אופיינית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קורבן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מין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לעניין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יודגש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בעצם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כבישת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התלונה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מצד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הקורבן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כשלעצמה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לפגוע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במהימנות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גרסתו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מקום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ניתן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המניח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לכבישת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התלונה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לטענות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לסתירות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בגרסת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באלה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לגרוע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ממהימנותה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ויודגש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מהימנות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גרסת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קורבן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תיבחן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בהתייחס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לליבת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גרסתו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בפסיקה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נקבע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השאלה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איננה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קיימים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דיוקים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ואי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התאמות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בפרטים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המיקשה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כולה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אמינה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הגרעין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האירועים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והתמונה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הכוללת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המתקבלת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העדות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והחיזוקים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מאפשרים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מסקנה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בדבר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אשמת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לכל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ספק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דנן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הסתירות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בדברי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ככל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קיימות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אינן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מהותיות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להתערב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בקביעת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המחוזי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לפיה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קיימות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מספר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סיוע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לצורך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הרשעת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סמך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חקירת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הילדים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ובכלל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תגובתה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הנפשית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לעיני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המורה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הספר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למדה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מצבו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נפגע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מהווה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חיזוק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שעולה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מסייעת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והפסיקה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בסיוע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לפי</w:t>
      </w:r>
      <w:r>
        <w:rPr>
          <w:rFonts w:eastAsia="Times New Roman" w:cs="Times New Roman"/>
          <w:szCs w:val="26"/>
          <w:rtl w:val="true"/>
        </w:rPr>
        <w:t xml:space="preserve"> </w:t>
      </w:r>
      <w:hyperlink r:id="rId15"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00"/>
            <w:szCs w:val="26"/>
            <w:u w:val="none"/>
          </w:rPr>
          <w:t>11</w:t>
        </w:r>
      </w:hyperlink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הגנת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ילדים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גם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במצבו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נפגע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דנן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מדובר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בראיה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אובייקטיבית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לתמוך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בגרסת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מדובר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בחשיפה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שהתרחשה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באופן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ספונטני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ומקרי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בתגובה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לשיחת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המורה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התלמידות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אודות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גופן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וקיום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יחסי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ברצון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תכננה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לחשוף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מדובר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מובהק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מצב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אחרי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מספר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חווית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מתמשכת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צורך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להסתיר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ולהפגין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איפוק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רגשי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הסביבה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הקרובה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העלאת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הנושא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קיום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יחסי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בכוח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בקרב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הכיתה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הוביל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לפריצת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המחסום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הרגשי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הקטינה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eastAsia="Calibri" w:cs="FrankRuehl"/>
          <w:szCs w:val="26"/>
          <w:rtl w:val="true"/>
        </w:rPr>
        <w:t>לכך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להוסיף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העובדה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להעיד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להגנתו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ולמסור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גרסתו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המזכה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לטענותיו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בעובדה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להוות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סיוע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ראייתי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לחזק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יתר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ראיות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התביעה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ולאשש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המסקנה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המפלילה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נגדו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בהתאם</w:t>
      </w:r>
      <w:r>
        <w:rPr>
          <w:rFonts w:eastAsia="Times New Roman" w:cs="Times New Roman"/>
          <w:szCs w:val="26"/>
          <w:rtl w:val="true"/>
        </w:rPr>
        <w:t xml:space="preserve"> </w:t>
      </w:r>
      <w:hyperlink r:id="rId16"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לסעיף</w:t>
        </w:r>
        <w:r>
          <w:rPr>
            <w:rStyle w:val="Hyperlink"/>
            <w:rFonts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00"/>
            <w:szCs w:val="26"/>
            <w:u w:val="none"/>
          </w:rPr>
          <w:t>162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</w:t>
      </w:r>
      <w:hyperlink r:id="rId17">
        <w:r>
          <w:rPr>
            <w:rStyle w:val="Hyperlink"/>
            <w:rFonts w:eastAsia="Calibri" w:cs="FrankRuehl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סדר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הדין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הפלילי</w:t>
        </w:r>
      </w:hyperlink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(</w:t>
      </w:r>
      <w:r>
        <w:rPr>
          <w:rFonts w:eastAsia="Calibri" w:cs="FrankRuehl"/>
          <w:szCs w:val="26"/>
          <w:rtl w:val="true"/>
        </w:rPr>
        <w:t>נוסח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משולב</w:t>
      </w:r>
      <w:r>
        <w:rPr>
          <w:rFonts w:eastAsia="Calibri" w:cs="FrankRuehl"/>
          <w:szCs w:val="26"/>
          <w:rtl w:val="true"/>
        </w:rPr>
        <w:t xml:space="preserve">), </w:t>
      </w:r>
      <w:r>
        <w:rPr>
          <w:rFonts w:eastAsia="Calibri" w:cs="FrankRuehl"/>
          <w:szCs w:val="26"/>
          <w:rtl w:val="true"/>
        </w:rPr>
        <w:t>התשמ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ב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</w:rPr>
        <w:t>1982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כידוע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מדרכה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ערכאת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הערעור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להתערב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בחומרת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שנגזר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הערכאה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הדיונית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במקרים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חריגים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נפלה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טעות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בולטת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הדין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חרג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באופן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קיצוני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המקובלת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במקרים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דומים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לאחר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בחינת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הנסיבות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לומר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דנן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נופל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בגדר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מקרים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חריגים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שנגזר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המערער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הכולל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11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חמור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הולם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החמורות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הורשע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מעשים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המעוררים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סלידה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וראויים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להוקעה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ובוודאי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מצדיק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התערבות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ערכאת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הערעור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מהפסיקה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בקטינים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שיש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לשקף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הנזקים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החמורים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שנגרמים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לקורבנות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בנפשם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ובגופם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ההשפעה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התפתחותם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התקינה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תפקודם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היומיומי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יכולתם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האישית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והחברתית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1" w:name="NGCSBookmark"/>
      <w:bookmarkStart w:id="12" w:name="NGCSBookmark"/>
      <w:bookmarkEnd w:id="12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אלרון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spacing w:val="10"/>
          <w:sz w:val="28"/>
          <w:szCs w:val="28"/>
          <w:u w:val="single"/>
        </w:rPr>
      </w:pPr>
      <w:r>
        <w:rPr>
          <w:rFonts w:cs="FrankRuehl" w:ascii="FrankRuehl" w:hAnsi="FrankRuehl"/>
          <w:b/>
          <w:spacing w:val="1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ח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טרסי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דרויאן</w:t>
      </w:r>
      <w:r>
        <w:rPr>
          <w:rFonts w:eastAsia="Calibri" w:cs="Miriam" w:ascii="Century" w:hAnsi="Century"/>
          <w:b/>
          <w:sz w:val="22"/>
          <w:rtl w:val="true"/>
        </w:rPr>
        <w:t>-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גמליאל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רוזנברג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שיינרט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תפ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42670</w:t>
      </w:r>
      <w:r>
        <w:rPr>
          <w:rFonts w:eastAsia="Calibri" w:cs="FrankRuehl" w:ascii="Century" w:hAnsi="Century"/>
          <w:spacing w:val="10"/>
          <w:sz w:val="22"/>
          <w:szCs w:val="28"/>
        </w:rPr>
        <w:t>-04-22</w:t>
      </w:r>
      <w:r>
        <w:rPr>
          <w:rFonts w:eastAsia="Calibri"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1.3.2023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7.9.2023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אחותו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70,000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pacing w:val="10"/>
          <w:sz w:val="22"/>
          <w:szCs w:val="28"/>
        </w:rPr>
      </w:pPr>
      <w:r>
        <w:rPr>
          <w:rFonts w:eastAsia="Calibri"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2011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2019-2018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משסירבה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ומשעשתה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וגהר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בשגגה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להסיח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בישבנה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לסיפוקו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8"/>
          <w:szCs w:val="14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  <w:br/>
      </w:r>
    </w:p>
    <w:p>
      <w:pPr>
        <w:pStyle w:val="Normal"/>
        <w:tabs>
          <w:tab w:val="clear" w:pos="720"/>
          <w:tab w:val="left" w:pos="800" w:leader="none"/>
        </w:tabs>
        <w:spacing w:lineRule="auto" w:line="252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252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בשלושה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אירועים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קונקרטיים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eastAsia="Calibri" w:cs="Miriam" w:ascii="Century" w:hAnsi="Century"/>
          <w:b/>
          <w:sz w:val="22"/>
          <w:rtl w:val="true"/>
        </w:rPr>
        <w:tab/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הראשון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והוכחו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184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התשמ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1982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הפלילי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eastAsia="Calibri"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השני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כשהורי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באיבריה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האינטימיים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לבגדיה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בבטנה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באיטיות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השלישי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לחדרו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ומשנכנסה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והזמין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בשמיכה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ניצלה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כניסת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לשירותים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347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דוֹדהּ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2019-2018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eastAsia="Calibri"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במוקד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עדותה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הקטינה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חוקרת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26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לתיקון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הגנת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ילדים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התשט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1955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הגנת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ומנומק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הכוללת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בחובה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גרעין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ברור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עקבי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ואמין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ומשפת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לתארם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ומבוכה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נומק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פרטנית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ותחושות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מהימנותם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הפרזה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ייחודיים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ואותנטיים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תיישבים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הגיע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אליה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לסלון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מהשירותים</w:t>
      </w:r>
      <w:r>
        <w:rPr>
          <w:rFonts w:eastAsia="Calibri"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מעשן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הסתגר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בשירותים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בצבע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אפור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שחור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בצדדים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14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ייחודי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ויזואלי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להפשיט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הפיג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והזיז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מהצד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15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לישבנה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והפריעה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כוונותיו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שהפריע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החוויה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שהקפידה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האותנטי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להתנהגותה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כיתתה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משנתבקשה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כיתתה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תגובת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ייחודי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אמינותה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האהבה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שרחשה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ייכלא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9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10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חיזוקים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לחשיפה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יועצת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בחקירותיה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בבגדי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צבעם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השירותים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שעישן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החוזרים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פורנוגרפיים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ההזדמנות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במחיצת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מיטתו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9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10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המגונים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חקירותיה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184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28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jc w:val="both"/>
        <w:rPr>
          <w:rFonts w:ascii="Century" w:hAnsi="Century" w:eastAsia="Calibri" w:cs="FrankRuehl"/>
          <w:spacing w:val="10"/>
          <w:sz w:val="6"/>
          <w:szCs w:val="12"/>
        </w:rPr>
      </w:pPr>
      <w:r>
        <w:rPr>
          <w:rFonts w:eastAsia="Calibri" w:cs="FrankRuehl" w:ascii="Century" w:hAnsi="Century"/>
          <w:spacing w:val="10"/>
          <w:sz w:val="6"/>
          <w:szCs w:val="1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למצוקתה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25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ושמרה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להירדם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וסבלה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מסיוטים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בשנתה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בהישגיה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הלימודיים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התמודדות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ענייני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בעטיו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ובראשם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וכבודם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אפשרו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before="0" w:after="160"/>
        <w:ind w:firstLine="516" w:start="1644" w:end="1276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מחריד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שמונה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היותר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תאוותיו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ודחפיו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הסוטים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והתעלמות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מהתנגדותה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ומהשפעת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  </w:t>
      </w:r>
    </w:p>
    <w:p>
      <w:pPr>
        <w:pStyle w:val="Normal"/>
        <w:spacing w:before="0" w:after="160"/>
        <w:ind w:firstLine="516" w:start="1644" w:end="1276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14-9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וביניהן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אמפטיה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והוריה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2013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זוג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להרתיעו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אזרח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הבינוני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eastAsia="Calibri" w:cs="FrankRuehl" w:ascii="Century" w:hAnsi="Century"/>
          <w:spacing w:val="10"/>
          <w:sz w:val="22"/>
          <w:szCs w:val="28"/>
        </w:rPr>
        <w:t>14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 w:ascii="Century" w:hAnsi="Century"/>
          <w:spacing w:val="10"/>
          <w:sz w:val="22"/>
          <w:szCs w:val="28"/>
        </w:rPr>
        <w:t>12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70,000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pacing w:val="10"/>
          <w:sz w:val="22"/>
          <w:szCs w:val="28"/>
        </w:rPr>
      </w:pPr>
      <w:r>
        <w:rPr>
          <w:rFonts w:eastAsia="Calibri"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252" w:before="0" w:after="160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גירסת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כטענתה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כטענתה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הוחלפה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ונזרקה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מהדירה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החינוך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חברותית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ושמחה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דירתם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מובהקת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למורתה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במהימנותה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11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הרגילה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שביטאה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ספונטנית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ומיוזמתה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חברותיה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כזכותו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לביקורים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לאסירים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48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שסמכה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המרשיעה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והמנומקת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מוגנות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ולימד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והיועצת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אובייקטיביות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המסייעות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ומוסיפות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לאמינותה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ומחייבות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לאמינותו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התנוחות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תחושותיה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ההפרזה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מוחשיים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מדקלמת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eastAsia="Calibri"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החיצוניות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החינוכי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eastAsia="Calibri" w:cs="FrankRuehl"/>
          <w:spacing w:val="10"/>
          <w:szCs w:val="28"/>
          <w:rtl w:val="true"/>
        </w:rPr>
        <w:t>ואולם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מושרש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וידוע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נוהגת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על</w:t>
      </w:r>
      <w:r>
        <w:rPr>
          <w:rFonts w:eastAsia="Calibri"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eastAsia="Calibri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הדיונית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שהתרשמה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ומהשתלבותן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במארג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eastAsia="Calibri" w:cs="FrankRuehl"/>
          <w:spacing w:val="10"/>
          <w:szCs w:val="28"/>
          <w:rtl w:val="true"/>
        </w:rPr>
        <w:t>ראו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למשל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hyperlink r:id="rId31"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Garamond" w:hAnsi="Garamond"/>
            <w:color w:val="0000FF"/>
            <w:spacing w:val="10"/>
            <w:szCs w:val="28"/>
            <w:u w:val="single"/>
          </w:rPr>
          <w:t>1781/19</w:t>
        </w:r>
      </w:hyperlink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קדיוליץ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</w:rPr>
        <w:t>11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eastAsia="Calibri" w:cs="FrankRuehl"/>
          <w:spacing w:val="10"/>
          <w:szCs w:val="28"/>
          <w:rtl w:val="true"/>
        </w:rPr>
        <w:t>נבו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] </w:t>
      </w:r>
      <w:r>
        <w:rPr>
          <w:rFonts w:eastAsia="Calibri" w:cs="FrankRuehl" w:ascii="Garamond" w:hAnsi="Garamond"/>
          <w:spacing w:val="10"/>
          <w:szCs w:val="28"/>
          <w:rtl w:val="true"/>
        </w:rPr>
        <w:t>(</w:t>
      </w:r>
      <w:r>
        <w:rPr>
          <w:rFonts w:eastAsia="Calibri" w:cs="FrankRuehl" w:ascii="Garamond" w:hAnsi="Garamond"/>
          <w:spacing w:val="10"/>
          <w:szCs w:val="28"/>
        </w:rPr>
        <w:t>1.10.2020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); </w:t>
      </w:r>
      <w:hyperlink r:id="rId32"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Garamond" w:hAnsi="Garamond"/>
            <w:color w:val="0000FF"/>
            <w:spacing w:val="10"/>
            <w:szCs w:val="28"/>
            <w:u w:val="single"/>
          </w:rPr>
          <w:t>6080/20</w:t>
        </w:r>
      </w:hyperlink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</w:rPr>
        <w:t>20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eastAsia="Calibri" w:cs="FrankRuehl"/>
          <w:spacing w:val="10"/>
          <w:szCs w:val="28"/>
          <w:rtl w:val="true"/>
        </w:rPr>
        <w:t>נבו</w:t>
      </w:r>
      <w:r>
        <w:rPr>
          <w:rFonts w:eastAsia="Calibri" w:cs="FrankRuehl" w:ascii="Garamond" w:hAnsi="Garamond"/>
          <w:spacing w:val="10"/>
          <w:szCs w:val="28"/>
          <w:rtl w:val="true"/>
        </w:rPr>
        <w:t>]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 (</w:t>
      </w:r>
      <w:r>
        <w:rPr>
          <w:rFonts w:eastAsia="Calibri" w:cs="FrankRuehl" w:ascii="Garamond" w:hAnsi="Garamond"/>
          <w:spacing w:val="10"/>
          <w:szCs w:val="28"/>
        </w:rPr>
        <w:t>21.7.2021</w:t>
      </w:r>
      <w:r>
        <w:rPr>
          <w:rFonts w:eastAsia="Calibri" w:cs="FrankRuehl" w:ascii="Garamond" w:hAnsi="Garamond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אמון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מלא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ובעדויותיהם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בפניהם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הפרטניים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ועקבית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בהעדפתו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spacing w:before="0" w:after="160"/>
        <w:ind w:start="1644" w:end="1276"/>
        <w:jc w:val="both"/>
        <w:rPr/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מרכזית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המשמשת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3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446/02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קובי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נז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eastAsia="Calibri" w:cs="FrankRuehl" w:ascii="Century" w:hAnsi="Century"/>
          <w:spacing w:val="10"/>
          <w:sz w:val="22"/>
          <w:szCs w:val="28"/>
        </w:rPr>
        <w:t>769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Century" w:hAnsi="Century"/>
          <w:spacing w:val="10"/>
          <w:sz w:val="22"/>
          <w:szCs w:val="28"/>
        </w:rPr>
        <w:t>2002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מתועדת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ומוקלטת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מוגברת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הנחקרים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hyperlink r:id="rId34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4121/20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eastAsia="Calibri" w:cs="FrankRuehl"/>
          <w:spacing w:val="10"/>
          <w:szCs w:val="28"/>
          <w:rtl w:val="true"/>
        </w:rPr>
        <w:t>נבו</w:t>
      </w:r>
      <w:r>
        <w:rPr>
          <w:rFonts w:eastAsia="Calibri" w:cs="FrankRuehl" w:ascii="Garamond" w:hAnsi="Garamond"/>
          <w:spacing w:val="10"/>
          <w:szCs w:val="28"/>
          <w:rtl w:val="true"/>
        </w:rPr>
        <w:t>]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Century" w:hAnsi="Century"/>
          <w:spacing w:val="10"/>
          <w:sz w:val="22"/>
          <w:szCs w:val="28"/>
        </w:rPr>
        <w:t>1.7.2021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)). </w:t>
        <w:br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סניגורו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והחיובית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לאמונו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צפיתי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והקפדתה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שזכרה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והתביישה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לגילה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הכניס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הרגשתי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יורדים</w:t>
      </w:r>
      <w:r>
        <w:rPr>
          <w:rFonts w:eastAsia="Calibri"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הרגשתי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נוזלי</w:t>
      </w:r>
      <w:r>
        <w:rPr>
          <w:rFonts w:eastAsia="Calibri"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הסתכלתי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וראיתי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פיפי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טפטף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קצת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הסלון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הרגשתי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זה</w:t>
      </w:r>
      <w:r>
        <w:rPr>
          <w:rFonts w:eastAsia="Calibri"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הרחתי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הסלון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ריח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מגעיל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התמימה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פיפי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התיאור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ששכבה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רגליים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משולש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ברכיו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הרגליים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רגשי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לתארם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שהכאיב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הצידה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להתנדנד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שסיימה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מרגישה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שרגלה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רעדה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הנחרצות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נסתרות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ונדחו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ודינן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להידחות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התרחשותם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לפסיקת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ושכיחה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;Arial" w:hAnsi="Arial TUR;Arial" w:eastAsia="Arial TUR;Arial" w:cs="Arial TUR;Arial"/>
          <w:sz w:val="22"/>
          <w:sz w:val="22"/>
          <w:szCs w:val="22"/>
          <w:rtl w:val="true"/>
        </w:rPr>
        <w:t xml:space="preserve"> </w:t>
      </w:r>
      <w:r>
        <w:rPr>
          <w:rFonts w:eastAsia="Calibri" w:cs="Arial" w:ascii="Arial TUR;Arial" w:hAnsi="Arial TUR;Arial"/>
          <w:sz w:val="22"/>
          <w:szCs w:val="22"/>
          <w:rtl w:val="true"/>
        </w:rPr>
        <w:t>(</w:t>
      </w:r>
      <w:hyperlink r:id="rId35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5874/00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לזרובסקי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eastAsia="Calibri" w:cs="FrankRuehl" w:ascii="Century" w:hAnsi="Century"/>
          <w:spacing w:val="10"/>
          <w:sz w:val="22"/>
          <w:szCs w:val="28"/>
        </w:rPr>
        <w:t>249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 w:ascii="Century" w:hAnsi="Century"/>
          <w:spacing w:val="10"/>
          <w:sz w:val="22"/>
          <w:szCs w:val="28"/>
        </w:rPr>
        <w:t>260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Century" w:hAnsi="Century"/>
          <w:spacing w:val="10"/>
          <w:sz w:val="22"/>
          <w:szCs w:val="28"/>
        </w:rPr>
        <w:t>2001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אסורים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סביבתה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וניסתה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כרגיל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שפחדה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ירביץ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שייוודע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המשפחתיות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והאוהב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החששות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שמנעו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כבישת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תלונתה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כפוגמת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-58" w:leader="none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</w:rPr>
        <w:t>21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eastAsia="Calibri" w:cs="Arial" w:ascii="Garamond" w:hAnsi="Garamond"/>
          <w:szCs w:val="22"/>
          <w:rtl w:val="true"/>
        </w:rPr>
        <w:tab/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ממהימנותה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ויודגש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תיבחן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בפסיקת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Garamond" w:hAnsi="Garamond" w:eastAsia="Garamond" w:cs="Garamond"/>
          <w:szCs w:val="22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zCs w:val="22"/>
          <w:rtl w:val="true"/>
        </w:rPr>
        <w:t xml:space="preserve"> </w:t>
      </w:r>
      <w:r>
        <w:rPr>
          <w:rFonts w:eastAsia="Calibri" w:cs="Miriam" w:ascii="Century" w:hAnsi="Century"/>
          <w:b/>
          <w:sz w:val="22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השאלה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איננה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קיימים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אי</w:t>
      </w:r>
      <w:r>
        <w:rPr>
          <w:rFonts w:eastAsia="Calibri" w:cs="Miriam" w:ascii="Century" w:hAnsi="Century"/>
          <w:b/>
          <w:sz w:val="22"/>
          <w:rtl w:val="true"/>
        </w:rPr>
        <w:t>-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דיוקים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ואי</w:t>
      </w:r>
      <w:r>
        <w:rPr>
          <w:rFonts w:eastAsia="Calibri" w:cs="Miriam" w:ascii="Century" w:hAnsi="Century"/>
          <w:b/>
          <w:sz w:val="22"/>
          <w:rtl w:val="true"/>
        </w:rPr>
        <w:t>-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התאמות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בפרטים</w:t>
      </w:r>
      <w:r>
        <w:rPr>
          <w:rFonts w:eastAsia="Calibri"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המיקשה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כולה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אמינה</w:t>
      </w:r>
      <w:r>
        <w:rPr>
          <w:rFonts w:eastAsia="Calibri"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הגרעין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האירועים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והתמונה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הכוללת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המתקבלת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והחיזוקים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מאפשרים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מסקנה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אשמת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מעבר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ספק</w:t>
      </w:r>
      <w:r>
        <w:rPr>
          <w:rFonts w:eastAsia="Calibri" w:cs="Miriam" w:ascii="Century" w:hAnsi="Century"/>
          <w:b/>
          <w:sz w:val="22"/>
          <w:rtl w:val="true"/>
        </w:rPr>
        <w:t>"</w:t>
      </w:r>
      <w:r>
        <w:rPr>
          <w:rFonts w:eastAsia="Calibri" w:cs="Arial" w:ascii="Century" w:hAnsi="Century"/>
          <w:sz w:val="22"/>
          <w:szCs w:val="22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hyperlink r:id="rId36">
        <w:r>
          <w:rPr>
            <w:rStyle w:val="Hyperlink"/>
            <w:rFonts w:ascii="Arial TUR;Arial" w:hAnsi="Arial TUR;Arial" w:eastAsia="Calibri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eastAsia="Calibri"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eastAsia="Calibri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Arial TUR;Arial" w:hAnsi="Arial TUR;Arial"/>
            <w:spacing w:val="10"/>
            <w:sz w:val="22"/>
            <w:szCs w:val="28"/>
          </w:rPr>
          <w:t>993/00</w:t>
        </w:r>
      </w:hyperlink>
      <w:r>
        <w:rPr>
          <w:rFonts w:eastAsia="Calibri" w:cs="FrankRuehl" w:ascii="Arial TUR;Arial" w:hAnsi="Arial TUR;Arial"/>
          <w:color w:val="000000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color w:val="000000"/>
          <w:sz w:val="22"/>
          <w:sz w:val="22"/>
          <w:rtl w:val="true"/>
        </w:rPr>
        <w:t>שלמה</w:t>
      </w:r>
      <w:r>
        <w:rPr>
          <w:rFonts w:ascii="Century" w:hAnsi="Century" w:eastAsia="Century" w:cs="Century"/>
          <w:b/>
          <w:b/>
          <w:color w:val="000000"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color w:val="000000"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color w:val="000000"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color w:val="000000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color w:val="000000"/>
          <w:sz w:val="22"/>
          <w:sz w:val="22"/>
          <w:rtl w:val="true"/>
        </w:rPr>
        <w:t>ישראל</w:t>
      </w:r>
      <w:r>
        <w:rPr>
          <w:rFonts w:eastAsia="Calibri" w:cs="FrankRuehl" w:ascii="Arial TUR;Arial" w:hAnsi="Arial TUR;Arial"/>
          <w:color w:val="000000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color w:val="000000"/>
          <w:spacing w:val="10"/>
          <w:sz w:val="22"/>
          <w:sz w:val="22"/>
          <w:szCs w:val="28"/>
          <w:rtl w:val="true"/>
        </w:rPr>
        <w:t>פד</w:t>
      </w:r>
      <w:r>
        <w:rPr>
          <w:rFonts w:ascii="Arial TUR;Arial" w:hAnsi="Arial TUR;Arial" w:eastAsia="Arial TUR;Arial" w:cs="Arial TUR;Arial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color w:val="000000"/>
          <w:spacing w:val="10"/>
          <w:sz w:val="22"/>
          <w:sz w:val="22"/>
          <w:szCs w:val="28"/>
          <w:rtl w:val="true"/>
        </w:rPr>
        <w:t>נו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6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205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233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2002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)).  </w:t>
      </w:r>
    </w:p>
    <w:p>
      <w:pPr>
        <w:pStyle w:val="Normal"/>
        <w:tabs>
          <w:tab w:val="clear" w:pos="720"/>
          <w:tab w:val="left" w:pos="-58" w:leader="none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-58" w:leader="none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לכרסם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ממהימנותה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2019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המגונים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בגילאים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מפותחת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למועדי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ספציפיים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חוזרים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גורעת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37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369/14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3.9.2015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גירושו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גירש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גירש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גירש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בידיעת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הגירוש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לסידורי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שאפרט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ראשית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התגוררה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קטנה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וסלון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לסידורי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העלו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מתווה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אחיד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הצפיפות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והצרכים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המשתנים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סידורי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שנית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המרכזיים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משותפת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באיברים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האינטימיים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בסלון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הבית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פורנוגרפי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והפשלת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משותפת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זיכרונה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אמירותיה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המפלילות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בשמיכה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ולבושה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וג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שאֵם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before="0" w:after="160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כניסת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הסגורה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בראייתה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בסיטואציה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שגרתית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למדי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להיחרט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בזיכרונה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25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before="0" w:after="160"/>
        <w:ind w:start="1644" w:end="1276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מיטתו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שבורה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המאמתים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זרקנו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הסלון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שזרקו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מסריחה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", 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מסריחה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2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הסלון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למורתה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בחקירותיה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באמינותה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כתבה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אצלם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נחקרה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פרטנית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עימתה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אחותי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ושלי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הגורע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רסתה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eastAsia="Calibri" w:cs="FrankRuehl" w:ascii="Century" w:hAnsi="Century"/>
          <w:spacing w:val="10"/>
          <w:sz w:val="22"/>
          <w:szCs w:val="28"/>
        </w:rPr>
        <w:t>13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והנסער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בפרטיות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ממיטתן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שהוקלטו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והוסרטו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משקפות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שגתה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הספציפיים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בחקירותיה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וקונקרטי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בסיוע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הראייתי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הנדרש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חקירות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תגובתה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למדה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ויודגש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מצבו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נפגע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ראיה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מסייעת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11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39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5149/12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82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13.1.2014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0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2544/17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Century" w:hAnsi="Century"/>
          <w:spacing w:val="10"/>
          <w:sz w:val="22"/>
          <w:szCs w:val="28"/>
        </w:rPr>
        <w:t>7.2.2019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בראיה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אובייקטיבית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לתמוך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eastAsia="Calibri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בפסקי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דיני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: </w:t>
      </w:r>
      <w:hyperlink r:id="rId41"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Garamond" w:hAnsi="Garamond"/>
            <w:color w:val="0000FF"/>
            <w:spacing w:val="10"/>
            <w:szCs w:val="28"/>
            <w:u w:val="single"/>
          </w:rPr>
          <w:t>6080/20</w:t>
        </w:r>
      </w:hyperlink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</w:rPr>
        <w:t>29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 (</w:t>
      </w:r>
      <w:r>
        <w:rPr>
          <w:rFonts w:eastAsia="Calibri" w:cs="FrankRuehl" w:ascii="Garamond" w:hAnsi="Garamond"/>
          <w:spacing w:val="10"/>
          <w:szCs w:val="28"/>
        </w:rPr>
        <w:t>21.7.2021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); </w:t>
      </w:r>
      <w:hyperlink r:id="rId42"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Garamond" w:hAnsi="Garamond"/>
            <w:color w:val="0000FF"/>
            <w:spacing w:val="10"/>
            <w:szCs w:val="28"/>
            <w:u w:val="single"/>
          </w:rPr>
          <w:t>5705/20</w:t>
        </w:r>
      </w:hyperlink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</w:rPr>
        <w:t>24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 (</w:t>
      </w:r>
      <w:r>
        <w:rPr>
          <w:rFonts w:eastAsia="Calibri" w:cs="FrankRuehl" w:ascii="Garamond" w:hAnsi="Garamond"/>
          <w:spacing w:val="10"/>
          <w:szCs w:val="28"/>
        </w:rPr>
        <w:t>25.8.2021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ascii="Garamond" w:hAnsi="Garamond" w:eastAsia="Calibri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שהחשיפה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התרחשה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ספונטני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ומקרי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לשיחת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התלמידות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גופן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וקיום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ברצון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eastAsia="Calibri" w:cs="FrankRuehl"/>
          <w:spacing w:val="10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תכננה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לחשוף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מובהק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חווית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מתמשכת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להסתיר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ולהפגין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איפוק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הסביבה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הקרובה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העלאת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הנושא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קיום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בקרב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הכיתה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לפריצת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המחסום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הקטינה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הזעזוע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שחשה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לכן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eastAsia="Calibri" w:cs="FrankRuehl" w:ascii="Garamond" w:hAnsi="Garamond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ascii="Garamond" w:hAnsi="Garamond" w:eastAsia="Calibri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זה</w:t>
      </w:r>
      <w:r>
        <w:rPr>
          <w:rFonts w:eastAsia="Calibri"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eastAsia="Calibri" w:cs="FrankRuehl" w:ascii="Garamond" w:hAnsi="Garamond"/>
          <w:spacing w:val="10"/>
          <w:szCs w:val="28"/>
          <w:rtl w:val="true"/>
        </w:rPr>
      </w:r>
    </w:p>
    <w:p>
      <w:pPr>
        <w:pStyle w:val="Normal"/>
        <w:spacing w:before="0" w:after="160"/>
        <w:ind w:firstLine="516"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נצצו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ורעדה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נידף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ברוח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כקשה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שזעזעה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שחזתה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היועצת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שפחדה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שבכתה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ורגלה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לקפוץ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Century" w:hAnsi="Century"/>
          <w:spacing w:val="10"/>
          <w:sz w:val="22"/>
          <w:szCs w:val="28"/>
        </w:rPr>
        <w:t>40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pacing w:before="0" w:after="160"/>
        <w:ind w:firstLine="516" w:start="1644" w:end="1276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ascii="Garamond" w:hAnsi="Garamond" w:eastAsia="Calibri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ענייננו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להיווכח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שתוארו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מהווים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הסיוע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הראייתי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הילדים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eastAsia="Calibri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נלמדות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מעדויות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אובייקטיביות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נשות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החינוכי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למדה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הכירו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בהפללתו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אציין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שמהימנות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עדותן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והיועצת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גבוהה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בממצאים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אלו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eastAsia="Calibri" w:cs="FrankRuehl" w:ascii="Garamond" w:hAnsi="Garamond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ascii="Garamond" w:hAnsi="Garamond" w:eastAsia="Calibri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כך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וכפי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לעיל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לבדו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והתשתית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הראייתית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המגובשת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בענייננו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שנפרשה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המחוזי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וכללה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eastAsia="Calibri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ההזדמנות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eastAsia="Calibri" w:cs="FrankRuehl"/>
          <w:spacing w:val="10"/>
          <w:szCs w:val="28"/>
          <w:rtl w:val="true"/>
        </w:rPr>
        <w:t>התימוכין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הידית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השבורה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שיצא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הסדום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השירותים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עישן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והעובדה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שהלה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צפייה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בסרטים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פורנוגרפיים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במכשיר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בהלימה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כולן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מצטברות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ומצטרפות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לראיית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הסיוע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המרכזית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eastAsia="Calibri" w:cs="FrankRuehl" w:ascii="Garamond" w:hAnsi="Garamond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eastAsia="Calibri" w:cs="FrankRuehl" w:ascii="Garamond" w:hAnsi="Garamond"/>
          <w:spacing w:val="10"/>
          <w:szCs w:val="28"/>
        </w:rPr>
        <w:t>28</w:t>
      </w:r>
      <w:r>
        <w:rPr>
          <w:rFonts w:eastAsia="Calibri" w:cs="FrankRuehl" w:ascii="Garamond" w:hAnsi="Garamond"/>
          <w:spacing w:val="10"/>
          <w:szCs w:val="28"/>
          <w:rtl w:val="true"/>
        </w:rPr>
        <w:t>.</w:t>
        <w:tab/>
      </w:r>
      <w:r>
        <w:rPr>
          <w:rFonts w:ascii="Garamond" w:hAnsi="Garamond" w:eastAsia="Calibri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להגנתו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ולמסור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המזכה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לטענותיו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eastAsia="Calibri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סיוע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ראייתי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לחזק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התביעה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ולאשש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המפלילה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נגדו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43">
        <w:r>
          <w:rPr>
            <w:rStyle w:val="Hyperlink"/>
            <w:rFonts w:ascii="Garamond" w:hAnsi="Garamond" w:eastAsia="Calibri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Garamond" w:hAnsi="Garamond"/>
            <w:spacing w:val="10"/>
            <w:szCs w:val="28"/>
          </w:rPr>
          <w:t>162</w:t>
        </w:r>
        <w:r>
          <w:rPr>
            <w:rStyle w:val="Hyperlink"/>
            <w:rFonts w:eastAsia="Calibri"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eastAsia="Calibri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eastAsia="Calibri"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</w:t>
      </w:r>
      <w:hyperlink r:id="rId44"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eastAsia="Calibri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eastAsia="Calibri" w:cs="FrankRuehl" w:ascii="Garamond" w:hAnsi="Garamond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ascii="Garamond" w:hAnsi="Garamond" w:eastAsia="Calibri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זה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הכחשה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כללית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וגורפת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eastAsia="Calibri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במדויק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אצל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אחותו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ולמשך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זמן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eastAsia="Calibri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מפורטת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לשגרת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חייו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בביתם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eastAsia="Calibri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eastAsia="Calibri"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בפרטים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ואיננה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מעוררת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אמון</w:t>
      </w:r>
      <w:r>
        <w:rPr>
          <w:rFonts w:eastAsia="Calibri"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eastAsia="Calibri" w:cs="FrankRuehl"/>
          <w:spacing w:val="10"/>
          <w:szCs w:val="28"/>
          <w:rtl w:val="true"/>
        </w:rPr>
        <w:t>עמ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' </w:t>
      </w:r>
      <w:r>
        <w:rPr>
          <w:rFonts w:eastAsia="Calibri" w:cs="FrankRuehl" w:ascii="Garamond" w:hAnsi="Garamond"/>
          <w:spacing w:val="10"/>
          <w:szCs w:val="28"/>
        </w:rPr>
        <w:t>43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Cs w:val="28"/>
          <w:rtl w:val="true"/>
        </w:rPr>
        <w:t>הדין</w:t>
      </w:r>
      <w:r>
        <w:rPr>
          <w:rFonts w:eastAsia="Calibri"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eastAsia="Calibri" w:cs="FrankRuehl"/>
          <w:spacing w:val="10"/>
          <w:szCs w:val="28"/>
        </w:rPr>
      </w:pPr>
      <w:r>
        <w:rPr>
          <w:rFonts w:eastAsia="Calibri"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תמימותה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הגילאים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ובוטה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שהסלים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תואמים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יכולתה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בחרדה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30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5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6807/17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Century" w:hAnsi="Century"/>
          <w:spacing w:val="10"/>
          <w:sz w:val="22"/>
          <w:szCs w:val="28"/>
        </w:rPr>
        <w:t>24.4.2018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6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968/20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Century" w:hAnsi="Century"/>
          <w:spacing w:val="10"/>
          <w:sz w:val="22"/>
          <w:szCs w:val="28"/>
        </w:rPr>
        <w:t>22.3.2021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סלידה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וראויים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להוקעה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16"/>
          <w:szCs w:val="22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הישנותן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והימשכותן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ונגישותו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ולמשפחתה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הגורפת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16"/>
          <w:szCs w:val="22"/>
        </w:rPr>
      </w:pPr>
      <w:r>
        <w:rPr>
          <w:rFonts w:eastAsia="Calibri" w:cs="FrankRuehl" w:ascii="Century" w:hAnsi="Century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31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מפסיקת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שנגרמים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לקורבנות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בנפשם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ובגופם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התפתחותם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תפקודם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היומיומי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יכולתם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והחברתית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מהדהדות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מצטבר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הרסני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ורווי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בצלקות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צעירה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47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2359/17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Century" w:hAnsi="Century"/>
          <w:spacing w:val="10"/>
          <w:sz w:val="22"/>
          <w:szCs w:val="28"/>
        </w:rPr>
        <w:t>18.8.2019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תפקידם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ומרתיעה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הסלידה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32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השופט ד</w:t>
      </w:r>
      <w:r>
        <w:rPr>
          <w:rFonts w:ascii="Miriam" w:hAnsi="Miriam" w:cs="Miriam"/>
          <w:u w:val="single"/>
          <w:rtl w:val="true"/>
        </w:rPr>
        <w:t>וד</w:t>
      </w:r>
      <w:r>
        <w:rPr>
          <w:rFonts w:ascii="Miriam" w:hAnsi="Miriam" w:cs="Miriam"/>
          <w:u w:val="single"/>
          <w:rtl w:val="true"/>
        </w:rPr>
        <w:t xml:space="preserve"> מינץ</w:t>
      </w:r>
      <w:r>
        <w:rPr>
          <w:rFonts w:cs="Miriam" w:ascii="Miriam" w:hAnsi="Miriam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Miriam" w:hAnsi="Miriam" w:cs="Miriam"/>
          <w:sz w:val="32"/>
          <w:szCs w:val="32"/>
          <w:u w:val="single"/>
        </w:rPr>
      </w:pPr>
      <w:r>
        <w:rPr>
          <w:rFonts w:cs="Miriam" w:ascii="Miriam" w:hAnsi="Miriam"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מצטרף אני לחוות דעתו המנומקת של חברי השופט אלרון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שדין הערעור על שני חלקיו 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אוסיף כי אף אני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 חברי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צפיתי בסרטונים שתיעדו את חקירותיה של הקטינה לפני חוקרת הילדים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 אני השתכנעתי כמו חברי שאין מקום להתערב בממצאיו של בית המשפט המחוזי בעניין מהימנותה של הקטינה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Century" w:hAnsi="Century" w:eastAsia="Calibri" w:cs="FrankRuehl"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Century" w:hAnsi="Century" w:eastAsia="Calibri" w:cs="FrankRuehl"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eastAsia="Calibri" w:cs="Courier New"/>
                <w:spacing w:val="10"/>
                <w:sz w:val="22"/>
                <w:szCs w:val="28"/>
              </w:rPr>
            </w:pPr>
            <w:r>
              <w:rPr>
                <w:rFonts w:eastAsia="Calibri" w:cs="Courier New" w:ascii="Courier New" w:hAnsi="Courier New"/>
                <w:spacing w:val="10"/>
                <w:sz w:val="22"/>
                <w:szCs w:val="28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ascii="Century" w:hAnsi="Century" w:eastAsia="Calibri" w:cs="FrankRuehl"/>
                <w:color w:val="000000"/>
                <w:spacing w:val="10"/>
                <w:sz w:val="22"/>
                <w:szCs w:val="28"/>
              </w:rPr>
            </w:pPr>
            <w:r>
              <w:rPr>
                <w:rFonts w:ascii="Century" w:hAnsi="Century" w:eastAsia="Calibri" w:cs="FrankRuehl"/>
                <w:color w:val="000000"/>
                <w:spacing w:val="10"/>
                <w:sz w:val="22"/>
                <w:sz w:val="22"/>
                <w:szCs w:val="28"/>
                <w:rtl w:val="true"/>
              </w:rPr>
              <w:t>דוד</w:t>
            </w:r>
            <w:r>
              <w:rPr>
                <w:rFonts w:ascii="Century" w:hAnsi="Century" w:eastAsia="Century" w:cs="Century"/>
                <w:color w:val="000000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Century" w:hAnsi="Century" w:eastAsia="Calibri" w:cs="FrankRuehl"/>
                <w:color w:val="000000"/>
                <w:spacing w:val="10"/>
                <w:sz w:val="22"/>
                <w:sz w:val="22"/>
                <w:szCs w:val="28"/>
                <w:rtl w:val="true"/>
              </w:rPr>
              <w:t>מינץ</w:t>
            </w:r>
            <w:r>
              <w:rPr>
                <w:rFonts w:ascii="Century" w:hAnsi="Century" w:eastAsia="Century" w:cs="Century"/>
                <w:color w:val="000000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ascii="Century" w:hAnsi="Century" w:eastAsia="Calibri" w:cs="FrankRuehl"/>
                <w:color w:val="000000"/>
                <w:spacing w:val="10"/>
                <w:sz w:val="22"/>
                <w:sz w:val="22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Century" w:hAnsi="Century" w:eastAsia="Calibri"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b/>
                <w:bCs/>
                <w:spacing w:val="10"/>
                <w:sz w:val="22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16"/>
          <w:szCs w:val="20"/>
        </w:rPr>
      </w:pPr>
      <w:r>
        <w:rPr>
          <w:rFonts w:eastAsia="Calibri" w:cs="FrankRuehl" w:ascii="Century" w:hAnsi="Century"/>
          <w:spacing w:val="10"/>
          <w:sz w:val="16"/>
          <w:szCs w:val="20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השופט נעם סולברג</w:t>
      </w:r>
      <w:r>
        <w:rPr>
          <w:rFonts w:cs="Miriam" w:ascii="Miriam" w:hAnsi="Miriam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Miriam" w:hAnsi="Miriam" w:eastAsia="Calibri" w:cs="Miriam"/>
          <w:spacing w:val="10"/>
          <w:sz w:val="22"/>
          <w:szCs w:val="22"/>
          <w:u w:val="single"/>
        </w:rPr>
      </w:pPr>
      <w:r>
        <w:rPr>
          <w:rFonts w:eastAsia="Calibri" w:cs="Miriam" w:ascii="Miriam" w:hAnsi="Miriam"/>
          <w:spacing w:val="10"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eastAsia="Calibri" w:cs="Miriam"/>
          <w:spacing w:val="10"/>
          <w:rtl w:val="true"/>
        </w:rPr>
        <w:t>י</w:t>
      </w:r>
      <w:r>
        <w:rPr>
          <w:rFonts w:eastAsia="Calibri" w:cs="Miriam" w:ascii="Miriam" w:hAnsi="Miriam"/>
          <w:spacing w:val="10"/>
          <w:rtl w:val="true"/>
        </w:rPr>
        <w:t xml:space="preserve">' </w:t>
      </w:r>
      <w:r>
        <w:rPr>
          <w:rFonts w:ascii="Miriam" w:hAnsi="Miriam" w:eastAsia="Calibri" w:cs="Miriam"/>
          <w:spacing w:val="10"/>
          <w:rtl w:val="true"/>
        </w:rPr>
        <w:t>אלרון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מחוייבת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ולשנותו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ראשיו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Century" w:hAnsi="Century" w:eastAsia="Calibri" w:cs="FrankRuehl"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Century" w:hAnsi="Century" w:eastAsia="Calibri" w:cs="FrankRuehl"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eastAsia="Calibri" w:cs="Courier New"/>
                <w:spacing w:val="10"/>
                <w:sz w:val="22"/>
                <w:szCs w:val="28"/>
              </w:rPr>
            </w:pPr>
            <w:r>
              <w:rPr>
                <w:rFonts w:eastAsia="Calibri" w:cs="Courier New" w:ascii="Courier New" w:hAnsi="Courier New"/>
                <w:spacing w:val="10"/>
                <w:sz w:val="22"/>
                <w:szCs w:val="28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ascii="Century" w:hAnsi="Century" w:eastAsia="Calibri" w:cs="FrankRuehl"/>
                <w:color w:val="000000"/>
                <w:spacing w:val="10"/>
                <w:sz w:val="22"/>
                <w:szCs w:val="28"/>
              </w:rPr>
            </w:pPr>
            <w:r>
              <w:rPr>
                <w:rFonts w:ascii="Century" w:hAnsi="Century" w:eastAsia="Calibri" w:cs="FrankRuehl"/>
                <w:color w:val="000000"/>
                <w:spacing w:val="10"/>
                <w:sz w:val="22"/>
                <w:sz w:val="22"/>
                <w:szCs w:val="28"/>
                <w:rtl w:val="true"/>
              </w:rPr>
              <w:t>נעם</w:t>
            </w:r>
            <w:r>
              <w:rPr>
                <w:rFonts w:ascii="Century" w:hAnsi="Century" w:eastAsia="Century" w:cs="Century"/>
                <w:color w:val="000000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ascii="Century" w:hAnsi="Century" w:eastAsia="Calibri" w:cs="FrankRuehl"/>
                <w:color w:val="000000"/>
                <w:spacing w:val="10"/>
                <w:sz w:val="22"/>
                <w:sz w:val="22"/>
                <w:szCs w:val="28"/>
                <w:rtl w:val="true"/>
              </w:rPr>
              <w:t>סולברג</w:t>
            </w:r>
            <w:r>
              <w:rPr>
                <w:rFonts w:ascii="Century" w:hAnsi="Century" w:eastAsia="Century" w:cs="Century"/>
                <w:color w:val="000000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ascii="Century" w:hAnsi="Century" w:eastAsia="Calibri" w:cs="FrankRuehl"/>
                <w:color w:val="000000"/>
                <w:spacing w:val="10"/>
                <w:sz w:val="22"/>
                <w:szCs w:val="28"/>
              </w:rPr>
            </w:pPr>
            <w:r>
              <w:rPr>
                <w:rFonts w:ascii="Century" w:hAnsi="Century" w:eastAsia="Calibri" w:cs="FrankRuehl"/>
                <w:color w:val="000000"/>
                <w:spacing w:val="10"/>
                <w:sz w:val="22"/>
                <w:sz w:val="22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Century" w:hAnsi="Century" w:eastAsia="Calibri" w:cs="FrankRuehl"/>
                <w:color w:val="000000"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color w:val="000000"/>
                <w:spacing w:val="10"/>
                <w:sz w:val="22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0"/>
        </w:rPr>
      </w:pPr>
      <w:r>
        <w:rPr>
          <w:rFonts w:eastAsia="Calibri" w:cs="FrankRuehl" w:ascii="Century" w:hAnsi="Century"/>
          <w:spacing w:val="10"/>
          <w:sz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eastAsia="Calibri" w:cs="Miriam"/>
          <w:spacing w:val="10"/>
          <w:rtl w:val="true"/>
        </w:rPr>
        <w:t>יוסף אלרון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bookmarkStart w:id="13" w:name="Nitan"/>
      <w:r>
        <w:rPr>
          <w:rFonts w:eastAsia="Calibri" w:cs="FrankRuehl" w:ascii="Century" w:hAnsi="Century"/>
          <w:color w:val="FFFFFF"/>
          <w:spacing w:val="10"/>
          <w:sz w:val="22"/>
          <w:szCs w:val="28"/>
        </w:rPr>
        <w:t>5129371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באלול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29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2024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). </w:t>
      </w:r>
      <w:bookmarkEnd w:id="13"/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color w:val="FFFFFF"/>
                <w:sz w:val="2"/>
                <w:szCs w:val="2"/>
              </w:rPr>
              <w:t>54678313</w:t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נעם סולברג </w:t>
            </w:r>
          </w:p>
          <w:p>
            <w:pPr>
              <w:pStyle w:val="Heading3"/>
              <w:ind w:hanging="0" w:start="0" w:end="0"/>
              <w:jc w:val="start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Century" w:hAnsi="Century" w:eastAsia="Calibri" w:cs="FrankRuehl"/>
                <w:color w:val="000000"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color w:val="000000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eastAsia="Calibri" w:cs="Courier New"/>
                <w:spacing w:val="10"/>
                <w:sz w:val="22"/>
                <w:szCs w:val="28"/>
              </w:rPr>
            </w:pPr>
            <w:r>
              <w:rPr>
                <w:rFonts w:eastAsia="Calibri" w:cs="Courier New" w:ascii="Courier New" w:hAnsi="Courier New"/>
                <w:spacing w:val="10"/>
                <w:sz w:val="22"/>
                <w:szCs w:val="28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color w:val="000000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דוד מינץ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Century" w:hAnsi="Century" w:eastAsia="Calibri" w:cs="FrankRuehl"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eastAsia="Calibri" w:cs="Courier New"/>
                <w:spacing w:val="10"/>
                <w:sz w:val="22"/>
                <w:szCs w:val="28"/>
              </w:rPr>
            </w:pPr>
            <w:r>
              <w:rPr>
                <w:rFonts w:eastAsia="Calibri" w:cs="Courier New" w:ascii="Courier New" w:hAnsi="Courier New"/>
                <w:spacing w:val="10"/>
                <w:sz w:val="22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Century" w:hAnsi="Century" w:eastAsia="Calibri" w:cs="FrankRuehl"/>
                <w:spacing w:val="10"/>
                <w:sz w:val="22"/>
                <w:szCs w:val="28"/>
              </w:rPr>
            </w:pPr>
            <w:r>
              <w:rPr>
                <w:rFonts w:eastAsia="Calibri" w:cs="FrankRuehl" w:ascii="Century" w:hAnsi="Century"/>
                <w:spacing w:val="10"/>
                <w:sz w:val="22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eastAsia="Calibri" w:cs="David"/>
          <w:color w:val="000000"/>
          <w:spacing w:val="10"/>
          <w:sz w:val="22"/>
          <w:szCs w:val="22"/>
        </w:rPr>
      </w:pPr>
      <w:r>
        <w:rPr>
          <w:rFonts w:eastAsia="Calibri" w:cs="David" w:ascii="David" w:hAnsi="David"/>
          <w:color w:val="000000"/>
          <w:spacing w:val="1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/>
      </w:pPr>
      <w:r>
        <w:rPr>
          <w:rFonts w:ascii="David" w:hAnsi="David" w:eastAsia="Calibri"/>
          <w:color w:val="000000"/>
          <w:spacing w:val="10"/>
          <w:sz w:val="22"/>
          <w:sz w:val="22"/>
          <w:szCs w:val="22"/>
          <w:rtl w:val="true"/>
        </w:rPr>
        <w:t>נ</w:t>
      </w:r>
      <w:r>
        <w:rPr>
          <w:rFonts w:eastAsia="Calibri" w:cs="David" w:ascii="David" w:hAnsi="David"/>
          <w:color w:val="000000"/>
          <w:spacing w:val="10"/>
          <w:sz w:val="22"/>
          <w:szCs w:val="22"/>
          <w:rtl w:val="true"/>
        </w:rPr>
        <w:t xml:space="preserve">' </w:t>
      </w:r>
      <w:r>
        <w:rPr>
          <w:rFonts w:ascii="David" w:hAnsi="David" w:eastAsia="Calibri"/>
          <w:color w:val="000000"/>
          <w:spacing w:val="10"/>
          <w:sz w:val="22"/>
          <w:sz w:val="22"/>
          <w:szCs w:val="22"/>
          <w:rtl w:val="true"/>
        </w:rPr>
        <w:t>סולברג</w:t>
      </w:r>
      <w:r>
        <w:rPr>
          <w:rFonts w:ascii="David" w:hAnsi="David" w:eastAsia="Calibri"/>
          <w:color w:val="000000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eastAsia="Calibri" w:cs="David" w:ascii="David" w:hAnsi="David"/>
          <w:color w:val="000000"/>
          <w:spacing w:val="10"/>
          <w:sz w:val="22"/>
          <w:szCs w:val="22"/>
        </w:rPr>
        <w:t>54678313-7451/23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FrankRuehl"/>
          <w:color w:val="000000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color w:val="000000"/>
          <w:spacing w:val="10"/>
          <w:sz w:val="22"/>
          <w:sz w:val="22"/>
          <w:szCs w:val="28"/>
          <w:rtl w:val="true"/>
        </w:rPr>
        <w:t>מסמך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color w:val="000000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color w:val="000000"/>
          <w:spacing w:val="10"/>
          <w:sz w:val="22"/>
          <w:sz w:val="22"/>
          <w:szCs w:val="28"/>
          <w:rtl w:val="true"/>
        </w:rPr>
        <w:t>כפוף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color w:val="000000"/>
          <w:spacing w:val="10"/>
          <w:sz w:val="22"/>
          <w:sz w:val="22"/>
          <w:szCs w:val="28"/>
          <w:rtl w:val="true"/>
        </w:rPr>
        <w:t>לשינויי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color w:val="000000"/>
          <w:spacing w:val="10"/>
          <w:sz w:val="22"/>
          <w:sz w:val="22"/>
          <w:szCs w:val="28"/>
          <w:rtl w:val="true"/>
        </w:rPr>
        <w:t>ניסוח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color w:val="000000"/>
          <w:spacing w:val="10"/>
          <w:sz w:val="22"/>
          <w:sz w:val="22"/>
          <w:szCs w:val="28"/>
          <w:rtl w:val="true"/>
        </w:rPr>
        <w:t>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Century" w:hAnsi="Century" w:eastAsia="Calibri" w:cs="Century"/>
          <w:color w:val="0000FF"/>
          <w:spacing w:val="10"/>
          <w:sz w:val="22"/>
          <w:u w:val="single"/>
        </w:rPr>
      </w:pPr>
      <w:hyperlink r:id="rId48"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בעניין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עריכה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ושינויים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במסמכי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פסיקה</w:t>
        </w:r>
        <w:r>
          <w:rPr>
            <w:rStyle w:val="Hyperlink"/>
            <w:rFonts w:eastAsia="Calibri" w:cs="Century" w:ascii="Century" w:hAnsi="Century"/>
            <w:color w:val="0000FF"/>
            <w:spacing w:val="10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חקיקה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ועוד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באתר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נבו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הקש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spacing w:val="10"/>
            <w:sz w:val="22"/>
            <w:sz w:val="22"/>
            <w:u w:val="single"/>
            <w:rtl w:val="true"/>
          </w:rPr>
          <w:t>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Century" w:hAnsi="Century" w:eastAsia="Calibri" w:cs="Century"/>
          <w:color w:val="0000FF"/>
          <w:spacing w:val="10"/>
          <w:sz w:val="22"/>
          <w:u w:val="single"/>
        </w:rPr>
      </w:pPr>
      <w:r>
        <w:rPr>
          <w:rFonts w:eastAsia="Calibri" w:cs="Century" w:ascii="Century" w:hAnsi="Century"/>
          <w:color w:val="0000FF"/>
          <w:spacing w:val="10"/>
          <w:sz w:val="22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7451/23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6524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6524&amp;lt;/CaseID&amp;gt;&#10;        &amp;lt;CaseMonth&amp;gt;10&amp;lt;/CaseMonth&amp;gt;&#10;        &amp;lt;CaseYear&amp;gt;2023&amp;lt;/CaseYear&amp;gt;&#10;        &amp;lt;CaseNumber&amp;gt;56502&amp;lt;/CaseNumber&amp;gt;&#10;        &amp;lt;NumeratorGroupID&amp;gt;1&amp;lt;/NumeratorGroupID&amp;gt;&#10;        &amp;lt;CaseName&amp;gt;יונס מלס (חסוי) נ&amp;#39; מדינת ישראל &amp;lt;/CaseName&amp;gt;&#10;        &amp;lt;CourtID&amp;gt;11&amp;lt;/CourtID&amp;gt;&#10;        &amp;lt;CaseTypeID&amp;gt;10013&amp;lt;/CaseTypeID&amp;gt;&#10;        &amp;lt;CaseInterestID&amp;gt;10713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7451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7451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10-12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נדחה לעיון&#10;התיק, כולל נלווים, דלמטה וכריכות הועבר&#10;ללשכת אלרון&#10;&amp;lt;/CaseDesc&amp;gt;&#10;        &amp;lt;isExistMinorSide&amp;gt;false&amp;lt;/isExistMinorSide&amp;gt;&#10;        &amp;lt;isExistMinorWitness&amp;gt;false&amp;lt;/isExistMinorWitness&amp;gt;&#10;        &amp;lt;PreviousCaseIdentifier&amp;gt;2023007451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6524&amp;lt;/CaseID&amp;gt;&#10;        &amp;lt;CaseMonth&amp;gt;10&amp;lt;/CaseMonth&amp;gt;&#10;        &amp;lt;CaseYear&amp;gt;2023&amp;lt;/CaseYear&amp;gt;&#10;        &amp;lt;CaseNumber&amp;gt;56502&amp;lt;/CaseNumber&amp;gt;&#10;        &amp;lt;NumeratorGroupID&amp;gt;1&amp;lt;/NumeratorGroupID&amp;gt;&#10;        &amp;lt;CaseName&amp;gt;יונס מלס (חסוי) נ&amp;#39; מדינת ישראל &amp;lt;/CaseName&amp;gt;&#10;        &amp;lt;CourtID&amp;gt;11&amp;lt;/CourtID&amp;gt;&#10;        &amp;lt;CaseTypeID&amp;gt;10013&amp;lt;/CaseTypeID&amp;gt;&#10;        &amp;lt;CaseInterestID&amp;gt;10713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7451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7451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10-12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נדחה לעיון&#10;התיק, כולל נלווים, דלמטה וכריכות הועבר&#10;ללשכת אלרון&#10;&amp;lt;/CaseDesc&amp;gt;&#10;        &amp;lt;PreviousCaseIdentifier&amp;gt;2023007451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5090950&amp;lt;/DecisionID&amp;gt;&#10;        &amp;lt;DecisionName&amp;gt;פסק דין  שניתנה ע&amp;quot;י  יוסף אלרון&amp;lt;/DecisionName&amp;gt;&#10;        &amp;lt;DecisionStatusID&amp;gt;1&amp;lt;/DecisionStatusID&amp;gt;&#10;        &amp;lt;DecisionStatusChangeDate&amp;gt;2024-09-24T10:41:56.097+03:00&amp;lt;/DecisionStatusChangeDate&amp;gt;&#10;        &amp;lt;DecisionSignatureDate&amp;gt;2024-09-23T14:19:17.07+03:00&amp;lt;/DecisionSignatureDate&amp;gt;&#10;        &amp;lt;DecisionSignatureUserID&amp;gt;053565529@GOV.IL&amp;lt;/DecisionSignatureUserID&amp;gt;&#10;        &amp;lt;DecisionCreateDate&amp;gt;2024-09-23T14:25:24.037+03:00&amp;lt;/DecisionCreateDate&amp;gt;&#10;        &amp;lt;DecisionChangeDate&amp;gt;2024-09-24T10:41:56.243+03:00&amp;lt;/DecisionChangeDate&amp;gt;&#10;        &amp;lt;DecisionChangeUserID&amp;gt;205373228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6019003&amp;lt;/DocumentID&amp;gt;&#10;        &amp;lt;PrivilegeID&amp;gt;2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3565529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300025004@GOV.IL&amp;lt;/DecisionCreationUserID&amp;gt;&#10;        &amp;lt;DecisionDisplayName&amp;gt;פסק דין  שניתנה ע&amp;quot;י  יוסף אלרון&amp;lt;/DecisionDisplayName&amp;gt;&#10;        &amp;lt;IsScanned&amp;gt;false&amp;lt;/IsScanned&amp;gt;&#10;        &amp;lt;DecisionSignatureUserName&amp;gt;יוסף אלרון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6&amp;lt;/DecisionNumberInCase&amp;gt;&#10;        &amp;lt;DecisionMeetingDate&amp;gt;2024-09-23T00:00:00+03:00&amp;lt;/DecisionMeetingDate&amp;gt;&#10;      &amp;lt;/dt_Decision&amp;gt;&#10;      &amp;lt;dt_DecisionCase diffgr:id=&amp;quot;dt_DecisionCase1&amp;quot; msdata:rowOrder=&amp;quot;0&amp;quot;&amp;gt;&#10;        &amp;lt;DecisionID&amp;gt;155090950&amp;lt;/DecisionID&amp;gt;&#10;        &amp;lt;CaseID&amp;gt;81826524&amp;lt;/CaseID&amp;gt;&#10;        &amp;lt;IsOriginal&amp;gt;true&amp;lt;/IsOriginal&amp;gt;&#10;        &amp;lt;IsDeleted&amp;gt;false&amp;lt;/IsDeleted&amp;gt;&#10;        &amp;lt;CaseName&amp;gt;יונס מלס (חסוי) נ&amp;#39; מדינת ישראל &amp;lt;/CaseName&amp;gt;&#10;        &amp;lt;CaseDisplayIdentifier&amp;gt;ע&amp;quot;פ 7451/23&amp;lt;/CaseDisplayIdentifier&amp;gt;&#10;      &amp;lt;/dt_DecisionCase&amp;gt;&#10;    &amp;lt;/DecisionDS&amp;gt;&#10;  &amp;lt;/diffgr:diffgram&amp;gt;&#10;&amp;lt;/DecisionDS&amp;gt;"/>
    <w:docVar w:name="DecisionID" w:val="155090950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">
    <w:name w:val="Ruller 3"/>
    <w:basedOn w:val="Normal"/>
    <w:qFormat/>
    <w:pPr>
      <w:overflowPunct w:val="false"/>
      <w:autoSpaceDE w:val="false"/>
      <w:spacing w:lineRule="auto" w:line="360"/>
    </w:pPr>
    <w:rPr>
      <w:rFonts w:cs="FrankRuehl"/>
      <w:spacing w:val="10"/>
      <w:sz w:val="22"/>
      <w:szCs w:val="28"/>
    </w:rPr>
  </w:style>
  <w:style w:type="paragraph" w:styleId="BodyRuller">
    <w:name w:val="Body Ruller"/>
    <w:basedOn w:val="Normal"/>
    <w:qFormat/>
    <w:pPr>
      <w:overflowPunct w:val="false"/>
      <w:autoSpaceDE w:val="false"/>
    </w:pPr>
    <w:rPr>
      <w:sz w:val="22"/>
      <w:szCs w:val="28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3" TargetMode="External"/><Relationship Id="rId3" Type="http://schemas.openxmlformats.org/officeDocument/2006/relationships/hyperlink" Target="http://www.nevo.co.il/law/74903/162.a" TargetMode="External"/><Relationship Id="rId4" Type="http://schemas.openxmlformats.org/officeDocument/2006/relationships/hyperlink" Target="http://www.nevo.co.il/law/74903/18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51.c.1" TargetMode="External"/><Relationship Id="rId11" Type="http://schemas.openxmlformats.org/officeDocument/2006/relationships/hyperlink" Target="http://www.nevo.co.il/law/70387" TargetMode="External"/><Relationship Id="rId12" Type="http://schemas.openxmlformats.org/officeDocument/2006/relationships/hyperlink" Target="http://www.nevo.co.il/law/70387/11" TargetMode="External"/><Relationship Id="rId13" Type="http://schemas.openxmlformats.org/officeDocument/2006/relationships/hyperlink" Target="http://www.nevo.co.il/law/70387/11" TargetMode="External"/><Relationship Id="rId14" Type="http://schemas.openxmlformats.org/officeDocument/2006/relationships/hyperlink" Target="http://www.nevo.co.il/law/70387" TargetMode="External"/><Relationship Id="rId15" Type="http://schemas.openxmlformats.org/officeDocument/2006/relationships/hyperlink" Target="http://www.nevo.co.il/law/70387/11" TargetMode="External"/><Relationship Id="rId16" Type="http://schemas.openxmlformats.org/officeDocument/2006/relationships/hyperlink" Target="http://www.nevo.co.il/law/74903/162.a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184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0301/351.a" TargetMode="External"/><Relationship Id="rId21" Type="http://schemas.openxmlformats.org/officeDocument/2006/relationships/hyperlink" Target="http://www.nevo.co.il/law/70301/347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51.c.1" TargetMode="External"/><Relationship Id="rId24" Type="http://schemas.openxmlformats.org/officeDocument/2006/relationships/hyperlink" Target="http://www.nevo.co.il/law/70301/348.a" TargetMode="External"/><Relationship Id="rId25" Type="http://schemas.openxmlformats.org/officeDocument/2006/relationships/hyperlink" Target="http://www.nevo.co.il/law/70301/345.a.3" TargetMode="External"/><Relationship Id="rId26" Type="http://schemas.openxmlformats.org/officeDocument/2006/relationships/hyperlink" Target="http://www.nevo.co.il/law/70387" TargetMode="External"/><Relationship Id="rId27" Type="http://schemas.openxmlformats.org/officeDocument/2006/relationships/hyperlink" Target="http://www.nevo.co.il/law/74903/184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87/11" TargetMode="External"/><Relationship Id="rId31" Type="http://schemas.openxmlformats.org/officeDocument/2006/relationships/hyperlink" Target="http://www.nevo.co.il/case/25524768" TargetMode="External"/><Relationship Id="rId32" Type="http://schemas.openxmlformats.org/officeDocument/2006/relationships/hyperlink" Target="http://www.nevo.co.il/case/26964729" TargetMode="External"/><Relationship Id="rId33" Type="http://schemas.openxmlformats.org/officeDocument/2006/relationships/hyperlink" Target="http://www.nevo.co.il/case/5701968" TargetMode="External"/><Relationship Id="rId34" Type="http://schemas.openxmlformats.org/officeDocument/2006/relationships/hyperlink" Target="http://www.nevo.co.il/case/26781969" TargetMode="External"/><Relationship Id="rId35" Type="http://schemas.openxmlformats.org/officeDocument/2006/relationships/hyperlink" Target="http://www.nevo.co.il/case/6037102" TargetMode="External"/><Relationship Id="rId36" Type="http://schemas.openxmlformats.org/officeDocument/2006/relationships/hyperlink" Target="http://www.nevo.co.il/case/5739234" TargetMode="External"/><Relationship Id="rId37" Type="http://schemas.openxmlformats.org/officeDocument/2006/relationships/hyperlink" Target="http://www.nevo.co.il/case/16948372" TargetMode="External"/><Relationship Id="rId38" Type="http://schemas.openxmlformats.org/officeDocument/2006/relationships/hyperlink" Target="http://www.nevo.co.il/law/70387/11" TargetMode="External"/><Relationship Id="rId39" Type="http://schemas.openxmlformats.org/officeDocument/2006/relationships/hyperlink" Target="http://www.nevo.co.il/case/6246150" TargetMode="External"/><Relationship Id="rId40" Type="http://schemas.openxmlformats.org/officeDocument/2006/relationships/hyperlink" Target="http://www.nevo.co.il/case/22505772" TargetMode="External"/><Relationship Id="rId41" Type="http://schemas.openxmlformats.org/officeDocument/2006/relationships/hyperlink" Target="http://www.nevo.co.il/case/26964729" TargetMode="External"/><Relationship Id="rId42" Type="http://schemas.openxmlformats.org/officeDocument/2006/relationships/hyperlink" Target="http://www.nevo.co.il/case/26923550" TargetMode="External"/><Relationship Id="rId43" Type="http://schemas.openxmlformats.org/officeDocument/2006/relationships/hyperlink" Target="http://www.nevo.co.il/law/74903/162.a" TargetMode="External"/><Relationship Id="rId44" Type="http://schemas.openxmlformats.org/officeDocument/2006/relationships/hyperlink" Target="http://www.nevo.co.il/law/74903" TargetMode="External"/><Relationship Id="rId45" Type="http://schemas.openxmlformats.org/officeDocument/2006/relationships/hyperlink" Target="http://www.nevo.co.il/case/23507449" TargetMode="External"/><Relationship Id="rId46" Type="http://schemas.openxmlformats.org/officeDocument/2006/relationships/hyperlink" Target="http://www.nevo.co.il/case/26430898" TargetMode="External"/><Relationship Id="rId47" Type="http://schemas.openxmlformats.org/officeDocument/2006/relationships/hyperlink" Target="http://www.nevo.co.il/case/22505618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2024-09-30T08:13:00Z</dcterms:created>
  <dc:creator> </dc:creator>
  <dc:description/>
  <cp:keywords/>
  <dc:language>en-IL</dc:language>
  <cp:lastModifiedBy>orly</cp:lastModifiedBy>
  <cp:lastPrinted>2024-09-29T08:10:00Z</cp:lastPrinted>
  <dcterms:modified xsi:type="dcterms:W3CDTF">2024-09-30T08:13:00Z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25524768;26964729:2;5701968;26781969;6037102;5739234;16948372;6246150;22505772;26923550;23507449;26430898;22505618</vt:lpwstr>
  </property>
  <property fmtid="{D5CDD505-2E9C-101B-9397-08002B2CF9AE}" pid="9" name="CITY">
    <vt:lpwstr/>
  </property>
  <property fmtid="{D5CDD505-2E9C-101B-9397-08002B2CF9AE}" pid="10" name="DATE">
    <vt:lpwstr>20240929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אלרון</vt:lpwstr>
  </property>
  <property fmtid="{D5CDD505-2E9C-101B-9397-08002B2CF9AE}" pid="14" name="LAWLISTTMP1">
    <vt:lpwstr>74903/184:2;162.a</vt:lpwstr>
  </property>
  <property fmtid="{D5CDD505-2E9C-101B-9397-08002B2CF9AE}" pid="15" name="LAWLISTTMP2">
    <vt:lpwstr>70301/351.a;347.b;351.c.1;348.a;345.a.3</vt:lpwstr>
  </property>
  <property fmtid="{D5CDD505-2E9C-101B-9397-08002B2CF9AE}" pid="16" name="LAWLISTTMP3">
    <vt:lpwstr>70387/011:2</vt:lpwstr>
  </property>
  <property fmtid="{D5CDD505-2E9C-101B-9397-08002B2CF9AE}" pid="17" name="LAWYER">
    <vt:lpwstr>שרית מלצר חתוקה;אבי כהן;תמי נותב פייל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אהוד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>עונשין</vt:lpwstr>
  </property>
  <property fmtid="{D5CDD505-2E9C-101B-9397-08002B2CF9AE}" pid="30" name="NOSE111">
    <vt:lpwstr>עונשין</vt:lpwstr>
  </property>
  <property fmtid="{D5CDD505-2E9C-101B-9397-08002B2CF9AE}" pid="31" name="NOSE112">
    <vt:lpwstr>עונשין</vt:lpwstr>
  </property>
  <property fmtid="{D5CDD505-2E9C-101B-9397-08002B2CF9AE}" pid="32" name="NOSE113">
    <vt:lpwstr>עונשין</vt:lpwstr>
  </property>
  <property fmtid="{D5CDD505-2E9C-101B-9397-08002B2CF9AE}" pid="33" name="NOSE114">
    <vt:lpwstr/>
  </property>
  <property fmtid="{D5CDD505-2E9C-101B-9397-08002B2CF9AE}" pid="34" name="NOSE115">
    <vt:lpwstr/>
  </property>
  <property fmtid="{D5CDD505-2E9C-101B-9397-08002B2CF9AE}" pid="35" name="NOSE116">
    <vt:lpwstr/>
  </property>
  <property fmtid="{D5CDD505-2E9C-101B-9397-08002B2CF9AE}" pid="36" name="NOSE117">
    <vt:lpwstr/>
  </property>
  <property fmtid="{D5CDD505-2E9C-101B-9397-08002B2CF9AE}" pid="37" name="NOSE118">
    <vt:lpwstr/>
  </property>
  <property fmtid="{D5CDD505-2E9C-101B-9397-08002B2CF9AE}" pid="38" name="NOSE119">
    <vt:lpwstr/>
  </property>
  <property fmtid="{D5CDD505-2E9C-101B-9397-08002B2CF9AE}" pid="39" name="NOSE12">
    <vt:lpwstr>דיון פלילי</vt:lpwstr>
  </property>
  <property fmtid="{D5CDD505-2E9C-101B-9397-08002B2CF9AE}" pid="40" name="NOSE120">
    <vt:lpwstr/>
  </property>
  <property fmtid="{D5CDD505-2E9C-101B-9397-08002B2CF9AE}" pid="41" name="NOSE13">
    <vt:lpwstr>ראיות</vt:lpwstr>
  </property>
  <property fmtid="{D5CDD505-2E9C-101B-9397-08002B2CF9AE}" pid="42" name="NOSE14">
    <vt:lpwstr>ראיות</vt:lpwstr>
  </property>
  <property fmtid="{D5CDD505-2E9C-101B-9397-08002B2CF9AE}" pid="43" name="NOSE15">
    <vt:lpwstr>ראיות</vt:lpwstr>
  </property>
  <property fmtid="{D5CDD505-2E9C-101B-9397-08002B2CF9AE}" pid="44" name="NOSE16">
    <vt:lpwstr>ראיות</vt:lpwstr>
  </property>
  <property fmtid="{D5CDD505-2E9C-101B-9397-08002B2CF9AE}" pid="45" name="NOSE17">
    <vt:lpwstr>ראיות</vt:lpwstr>
  </property>
  <property fmtid="{D5CDD505-2E9C-101B-9397-08002B2CF9AE}" pid="46" name="NOSE18">
    <vt:lpwstr>ראיות</vt:lpwstr>
  </property>
  <property fmtid="{D5CDD505-2E9C-101B-9397-08002B2CF9AE}" pid="47" name="NOSE19">
    <vt:lpwstr>ראיות</vt:lpwstr>
  </property>
  <property fmtid="{D5CDD505-2E9C-101B-9397-08002B2CF9AE}" pid="48" name="NOSE1ID">
    <vt:lpwstr>18;18;89;89;89;89;89;89;89;77;77;77;77</vt:lpwstr>
  </property>
  <property fmtid="{D5CDD505-2E9C-101B-9397-08002B2CF9AE}" pid="49" name="NOSE21">
    <vt:lpwstr>ערעור</vt:lpwstr>
  </property>
  <property fmtid="{D5CDD505-2E9C-101B-9397-08002B2CF9AE}" pid="50" name="NOSE210">
    <vt:lpwstr>עבירות</vt:lpwstr>
  </property>
  <property fmtid="{D5CDD505-2E9C-101B-9397-08002B2CF9AE}" pid="51" name="NOSE211">
    <vt:lpwstr>עבירות</vt:lpwstr>
  </property>
  <property fmtid="{D5CDD505-2E9C-101B-9397-08002B2CF9AE}" pid="52" name="NOSE212">
    <vt:lpwstr>ענישה</vt:lpwstr>
  </property>
  <property fmtid="{D5CDD505-2E9C-101B-9397-08002B2CF9AE}" pid="53" name="NOSE213">
    <vt:lpwstr>ענישה</vt:lpwstr>
  </property>
  <property fmtid="{D5CDD505-2E9C-101B-9397-08002B2CF9AE}" pid="54" name="NOSE214">
    <vt:lpwstr/>
  </property>
  <property fmtid="{D5CDD505-2E9C-101B-9397-08002B2CF9AE}" pid="55" name="NOSE215">
    <vt:lpwstr/>
  </property>
  <property fmtid="{D5CDD505-2E9C-101B-9397-08002B2CF9AE}" pid="56" name="NOSE216">
    <vt:lpwstr/>
  </property>
  <property fmtid="{D5CDD505-2E9C-101B-9397-08002B2CF9AE}" pid="57" name="NOSE217">
    <vt:lpwstr/>
  </property>
  <property fmtid="{D5CDD505-2E9C-101B-9397-08002B2CF9AE}" pid="58" name="NOSE218">
    <vt:lpwstr/>
  </property>
  <property fmtid="{D5CDD505-2E9C-101B-9397-08002B2CF9AE}" pid="59" name="NOSE219">
    <vt:lpwstr/>
  </property>
  <property fmtid="{D5CDD505-2E9C-101B-9397-08002B2CF9AE}" pid="60" name="NOSE22">
    <vt:lpwstr>ערעור</vt:lpwstr>
  </property>
  <property fmtid="{D5CDD505-2E9C-101B-9397-08002B2CF9AE}" pid="61" name="NOSE220">
    <vt:lpwstr/>
  </property>
  <property fmtid="{D5CDD505-2E9C-101B-9397-08002B2CF9AE}" pid="62" name="NOSE23">
    <vt:lpwstr>מהימנות</vt:lpwstr>
  </property>
  <property fmtid="{D5CDD505-2E9C-101B-9397-08002B2CF9AE}" pid="63" name="NOSE24">
    <vt:lpwstr>מהימנות</vt:lpwstr>
  </property>
  <property fmtid="{D5CDD505-2E9C-101B-9397-08002B2CF9AE}" pid="64" name="NOSE25">
    <vt:lpwstr>מהימנות</vt:lpwstr>
  </property>
  <property fmtid="{D5CDD505-2E9C-101B-9397-08002B2CF9AE}" pid="65" name="NOSE26">
    <vt:lpwstr>חקירות</vt:lpwstr>
  </property>
  <property fmtid="{D5CDD505-2E9C-101B-9397-08002B2CF9AE}" pid="66" name="NOSE27">
    <vt:lpwstr>סיוע</vt:lpwstr>
  </property>
  <property fmtid="{D5CDD505-2E9C-101B-9397-08002B2CF9AE}" pid="67" name="NOSE28">
    <vt:lpwstr>עדות</vt:lpwstr>
  </property>
  <property fmtid="{D5CDD505-2E9C-101B-9397-08002B2CF9AE}" pid="68" name="NOSE29">
    <vt:lpwstr>עדות</vt:lpwstr>
  </property>
  <property fmtid="{D5CDD505-2E9C-101B-9397-08002B2CF9AE}" pid="69" name="NOSE2ID">
    <vt:lpwstr>504;504;1635;1635;1635;1630;1651;1654;1654;1443;1443;1446;1446</vt:lpwstr>
  </property>
  <property fmtid="{D5CDD505-2E9C-101B-9397-08002B2CF9AE}" pid="70" name="NOSE31">
    <vt:lpwstr>אי-התערבות בממצאים עובדתיים</vt:lpwstr>
  </property>
  <property fmtid="{D5CDD505-2E9C-101B-9397-08002B2CF9AE}" pid="71" name="NOSE310">
    <vt:lpwstr>עבירות מין במשפחה</vt:lpwstr>
  </property>
  <property fmtid="{D5CDD505-2E9C-101B-9397-08002B2CF9AE}" pid="72" name="NOSE311">
    <vt:lpwstr>עבירות מין בקטין</vt:lpwstr>
  </property>
  <property fmtid="{D5CDD505-2E9C-101B-9397-08002B2CF9AE}" pid="73" name="NOSE312">
    <vt:lpwstr>מדיניות ענישה: עבירות מין במשפחה</vt:lpwstr>
  </property>
  <property fmtid="{D5CDD505-2E9C-101B-9397-08002B2CF9AE}" pid="74" name="NOSE313">
    <vt:lpwstr>מדיניות ענישה: עבירות מין בקטינים</vt:lpwstr>
  </property>
  <property fmtid="{D5CDD505-2E9C-101B-9397-08002B2CF9AE}" pid="75" name="NOSE314">
    <vt:lpwstr/>
  </property>
  <property fmtid="{D5CDD505-2E9C-101B-9397-08002B2CF9AE}" pid="76" name="NOSE315">
    <vt:lpwstr/>
  </property>
  <property fmtid="{D5CDD505-2E9C-101B-9397-08002B2CF9AE}" pid="77" name="NOSE316">
    <vt:lpwstr/>
  </property>
  <property fmtid="{D5CDD505-2E9C-101B-9397-08002B2CF9AE}" pid="78" name="NOSE317">
    <vt:lpwstr/>
  </property>
  <property fmtid="{D5CDD505-2E9C-101B-9397-08002B2CF9AE}" pid="79" name="NOSE318">
    <vt:lpwstr/>
  </property>
  <property fmtid="{D5CDD505-2E9C-101B-9397-08002B2CF9AE}" pid="80" name="NOSE319">
    <vt:lpwstr/>
  </property>
  <property fmtid="{D5CDD505-2E9C-101B-9397-08002B2CF9AE}" pid="81" name="NOSE32">
    <vt:lpwstr>אי-התערבות במידת העונש</vt:lpwstr>
  </property>
  <property fmtid="{D5CDD505-2E9C-101B-9397-08002B2CF9AE}" pid="82" name="NOSE320">
    <vt:lpwstr/>
  </property>
  <property fmtid="{D5CDD505-2E9C-101B-9397-08002B2CF9AE}" pid="83" name="NOSE33">
    <vt:lpwstr>בחינתה</vt:lpwstr>
  </property>
  <property fmtid="{D5CDD505-2E9C-101B-9397-08002B2CF9AE}" pid="84" name="NOSE34">
    <vt:lpwstr>בחינתה על-ידי ערכאת הערעור</vt:lpwstr>
  </property>
  <property fmtid="{D5CDD505-2E9C-101B-9397-08002B2CF9AE}" pid="85" name="NOSE35">
    <vt:lpwstr>אי-דיוק בעובדות</vt:lpwstr>
  </property>
  <property fmtid="{D5CDD505-2E9C-101B-9397-08002B2CF9AE}" pid="86" name="NOSE36">
    <vt:lpwstr>ילדים</vt:lpwstr>
  </property>
  <property fmtid="{D5CDD505-2E9C-101B-9397-08002B2CF9AE}" pid="87" name="NOSE37">
    <vt:lpwstr>עדות קטין לפני חוקר נוער</vt:lpwstr>
  </property>
  <property fmtid="{D5CDD505-2E9C-101B-9397-08002B2CF9AE}" pid="88" name="NOSE38">
    <vt:lpwstr>קורבן עבירת מין</vt:lpwstr>
  </property>
  <property fmtid="{D5CDD505-2E9C-101B-9397-08002B2CF9AE}" pid="89" name="NOSE39">
    <vt:lpwstr>עדות כבושה</vt:lpwstr>
  </property>
  <property fmtid="{D5CDD505-2E9C-101B-9397-08002B2CF9AE}" pid="90" name="NOSE3ID">
    <vt:lpwstr>3849;17039;10195;10196;10194;10177;10364;12270;10410;12407;16634;16241;16970</vt:lpwstr>
  </property>
  <property fmtid="{D5CDD505-2E9C-101B-9397-08002B2CF9AE}" pid="91" name="PADIDATE">
    <vt:lpwstr>20240930</vt:lpwstr>
  </property>
  <property fmtid="{D5CDD505-2E9C-101B-9397-08002B2CF9AE}" pid="92" name="PADIMAIL">
    <vt:lpwstr>YES</vt:lpwstr>
  </property>
  <property fmtid="{D5CDD505-2E9C-101B-9397-08002B2CF9AE}" pid="93" name="PAGE">
    <vt:lpwstr/>
  </property>
  <property fmtid="{D5CDD505-2E9C-101B-9397-08002B2CF9AE}" pid="94" name="PART">
    <vt:lpwstr/>
  </property>
  <property fmtid="{D5CDD505-2E9C-101B-9397-08002B2CF9AE}" pid="95" name="PROCESS">
    <vt:lpwstr>עפ</vt:lpwstr>
  </property>
  <property fmtid="{D5CDD505-2E9C-101B-9397-08002B2CF9AE}" pid="96" name="PROCNUM">
    <vt:lpwstr>7451</vt:lpwstr>
  </property>
  <property fmtid="{D5CDD505-2E9C-101B-9397-08002B2CF9AE}" pid="97" name="PROCYEAR">
    <vt:lpwstr>23</vt:lpwstr>
  </property>
  <property fmtid="{D5CDD505-2E9C-101B-9397-08002B2CF9AE}" pid="98" name="PSAKDIN">
    <vt:lpwstr>פסק-דין</vt:lpwstr>
  </property>
  <property fmtid="{D5CDD505-2E9C-101B-9397-08002B2CF9AE}" pid="99" name="TYPE">
    <vt:lpwstr>1</vt:lpwstr>
  </property>
  <property fmtid="{D5CDD505-2E9C-101B-9397-08002B2CF9AE}" pid="100" name="TYPE_ABS_DATE">
    <vt:lpwstr>410120240929</vt:lpwstr>
  </property>
  <property fmtid="{D5CDD505-2E9C-101B-9397-08002B2CF9AE}" pid="101" name="TYPE_N_DATE">
    <vt:lpwstr>41020240929</vt:lpwstr>
  </property>
  <property fmtid="{D5CDD505-2E9C-101B-9397-08002B2CF9AE}" pid="102" name="VOLUME">
    <vt:lpwstr/>
  </property>
  <property fmtid="{D5CDD505-2E9C-101B-9397-08002B2CF9AE}" pid="103" name="WORDNUMPAGES">
    <vt:lpwstr>23</vt:lpwstr>
  </property>
</Properties>
</file>