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7473/20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7595/20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7473/20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7595/20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7473/20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7595/20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20.5.2021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70706-12-18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46"/>
        <w:gridCol w:w="28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8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28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7473/20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7595/20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כראם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7473/20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7595/20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br/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טנוס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פאהום</w:t>
            </w:r>
            <w:r>
              <w:rPr>
                <w:rFonts w:cs="Times New Roman"/>
                <w:rtl w:val="true"/>
              </w:rPr>
              <w:t xml:space="preserve"> 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סכסוך של מה בכך על </w:t>
      </w:r>
      <w:r>
        <w:rPr>
          <w:rFonts w:cs="Times New Roman" w:ascii="Times New Roman" w:hAnsi="Times New Roman"/>
          <w:spacing w:val="0"/>
          <w:sz w:val="24"/>
          <w:szCs w:val="26"/>
        </w:rPr>
        <w:t>100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הביא לשליפת אקדח על ידי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7595/20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לחיצה על ההדק וירי לכיוון צווארו של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הירי בוצע מטווח אפסי ולמתלונן נגרמה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הותירו שותת דם כשהוא שרוע על הרצפה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ונמלט מהזירה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הן על הכרעת הדין והן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ומאידך החמיר את עונשו של המערער כך שיעמוד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ליתן ביטוי לחומרת העבירות שבהן הורשע ולתוצאה הקשה שנגרמה בעטיין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חבלה בכוונה מחמירה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אזרחי – ערעור – אי 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מוחמד מחאמיד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7595/20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נשיאה והובלה של נשק שלא כדין וירי מנשק חם באזור מגורים באופן שיש בו כדי לסכן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הרקע להרשעה הוא סכסוך בין המתלונן הקטין לאחיו של המערער בנוגע לסכום כסף בסך של </w:t>
      </w:r>
      <w:r>
        <w:rPr>
          <w:rFonts w:cs="Times New Roman" w:ascii="Times New Roman" w:hAnsi="Times New Roman"/>
          <w:spacing w:val="0"/>
          <w:szCs w:val="26"/>
        </w:rPr>
        <w:t>100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המערער </w:t>
      </w:r>
      <w:r>
        <w:rPr>
          <w:rFonts w:cs="Times New Roman" w:ascii="Times New Roman" w:hAnsi="Times New Roman"/>
          <w:spacing w:val="0"/>
          <w:szCs w:val="26"/>
        </w:rPr>
        <w:t>6.5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מותנה ופיצוי למתלונן בסך </w:t>
      </w:r>
      <w:r>
        <w:rPr>
          <w:rFonts w:cs="Times New Roman" w:ascii="Times New Roman" w:hAnsi="Times New Roman"/>
          <w:spacing w:val="0"/>
          <w:szCs w:val="26"/>
        </w:rPr>
        <w:t>40,000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4743/20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מתמקד בקולת העונש וערעור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7595/20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 הן כלפי הכרעת הדין והן כלפי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הנשיאה חיות והשופטת 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7595/20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7473/20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בכל הנוגע להחלטת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שלא לתת בו אמון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טענות הנוגעות לממצאי עובדה ומהימנות באופן מובהק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דרכה של ערכאת הערעור להתערב בממצאי מהימנות ועובדה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שהתרשמה מהעדויות שנשמעו לפניה באופן בלתי 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שמקרה זה לא נמנה עמם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שלא לתת במערער אמון מעוגנת היטב בראיות שהונחו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באשר לקביעה כי התגבש אצלו היסוד הנפשי הדרוש לשם הרשעה בעבירת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דורש כי תתגבש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להטיל באדם נכות או מום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לגרום לו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בקרבו של מי שגרם לחבלה החמורה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נלמדת הכוונה מראיות נסיבתיות המאפשרות להסיק זאת ואשר מקימות חזקת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בני אדם המבצעים פעולה מודעים לטיב הפיזי של מעשיהם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לתוצאה הטבעית של פעולותיהם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 די ראיות כדי לקבוע כי במערער התקיים היסוד הנפשי המיוחד הדרוש על מנת להרשיעו בעבירת החבלה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כיוון 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ממרחק אפסי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לצווארו של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זה שרוע על הרצפה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מכן ירה פעם נוספת באוויר ונמלט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קמה חזקת כוונה מובהקת באשר לכך שהמערער היה מעוניין בגרימת חבלה חמורה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חזקת הכוונה ניתנת לסתירה על ידי העלאת ספק סביר ביחס לקיומה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המערער לא הצליח לסתור חזקה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על מי שכיוון אקדח טעון לצווארו של אדם שרוע על הרצפה מטווח אפסי וירה לעברו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שכוונתו הייתה לכל הפחות לגרום לו לחבלה חמורה או להטיל בו מום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לערעורים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אינה נוטה להתערב במידת העונש שהשיתה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של סטייה קיצונית ממדיניות הענישה הנהוגה במקרים דומים או כאשר נפלה בגזר הדין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הצדקה להחמיר בעונשו של המערער משני טעמים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לא נתן ביטוי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 שהוטל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 הנשק החמורות בהן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ואשר כשלעצמן הצדיקו הטלת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סטה ממדיניות הענישה המחמירה בעבירות של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של שימוש בנשק חם ובהינתן נסיבות הביצוע והתוצאה הקשה 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בנשיאה והובלה של נשק חם שלא כדין באזור מגורים וכן בשימוש שנעשה באותו נשק לביצוע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 אלה הפכו מכת 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במגזר הערבי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 יש לעשות למיגורן בדרך של ענישה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זו לא קיבלה ביטוי מספק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יש מקום להתערב בו ולהחמיר בעונש המאסר בפועל שנגזר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7595/20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70706-12-18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מימים</w:t>
      </w:r>
      <w:r>
        <w:rPr>
          <w:rFonts w:eastAsia="Arial TUR;Arial" w:cs="Arial TUR;Arial"/>
          <w:rtl w:val="true"/>
        </w:rPr>
        <w:t xml:space="preserve"> </w:t>
      </w:r>
      <w:r>
        <w:rPr/>
        <w:t>20.5.2020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21.9.2020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7473/20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7595/20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המערער הורשע ביום </w:t>
      </w:r>
      <w:r>
        <w:rPr/>
        <w:t>20.5.2020</w:t>
      </w:r>
      <w:r>
        <w:rPr>
          <w:rtl w:val="true"/>
        </w:rPr>
        <w:t xml:space="preserve"> </w:t>
      </w:r>
      <w:r>
        <w:rPr>
          <w:rtl w:val="true"/>
        </w:rPr>
        <w:t>בעבירות חבלה בכוונה מחמירה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 שלא כדין וירי מנשק חם באזור מגורים באופן שיש בו כדי לסכן חיי אדם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16.11.2018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באמתלת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tl w:val="true"/>
        </w:rPr>
        <w:t xml:space="preserve">).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החברים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: 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: "</w:t>
      </w:r>
      <w:r>
        <w:rPr>
          <w:rtl w:val="true"/>
        </w:rPr>
        <w:t>תיזהר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והחברים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ומונשם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בריאה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חוליות</w:t>
      </w:r>
      <w:r>
        <w:rPr>
          <w:rtl w:val="true"/>
        </w:rPr>
        <w:t xml:space="preserve">, </w:t>
      </w:r>
      <w:r>
        <w:rPr>
          <w:rtl w:val="true"/>
        </w:rPr>
        <w:t>חולשה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בכתף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נוירולוגי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וצווארון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שמסר שורת גרסאות לפיהן כלל לא היה מעורב בירי</w:t>
      </w:r>
      <w:r>
        <w:rPr>
          <w:rtl w:val="true"/>
        </w:rPr>
        <w:t xml:space="preserve">, </w:t>
      </w:r>
      <w:r>
        <w:rPr>
          <w:rtl w:val="true"/>
        </w:rPr>
        <w:t>ולפי חלקן היה זה רעול פנים אנונימי שביצע את הירי במתלונן</w:t>
      </w:r>
      <w:r>
        <w:rPr>
          <w:rtl w:val="true"/>
        </w:rPr>
        <w:t xml:space="preserve">, </w:t>
      </w:r>
      <w:r>
        <w:rPr>
          <w:rtl w:val="true"/>
        </w:rPr>
        <w:t>העלה המערער במסגרת פרשת ההגנה גרסה כבושה</w:t>
      </w:r>
      <w:r>
        <w:rPr>
          <w:rtl w:val="true"/>
        </w:rPr>
        <w:t xml:space="preserve">, </w:t>
      </w:r>
      <w:r>
        <w:rPr>
          <w:rtl w:val="true"/>
        </w:rPr>
        <w:t>בה הודה כי אכן נשא והוביל נשק וביצע את הירי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טען כי לא התכוון לפגוע במתלונן</w:t>
      </w:r>
      <w:r>
        <w:rPr>
          <w:rtl w:val="true"/>
        </w:rPr>
        <w:t xml:space="preserve">, </w:t>
      </w:r>
      <w:r>
        <w:rPr>
          <w:rtl w:val="true"/>
        </w:rPr>
        <w:t>וכי הכדור שפגע במתלונן נפלט מאקדחו בשוגג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שקריות</w:t>
      </w:r>
      <w:r>
        <w:rPr>
          <w:rtl w:val="true"/>
        </w:rPr>
        <w:t xml:space="preserve">,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המתלונן ומ</w:t>
      </w:r>
      <w:r>
        <w:rPr>
          <w:rtl w:val="true"/>
        </w:rPr>
        <w:t>"</w:t>
      </w:r>
      <w:r>
        <w:rPr>
          <w:rtl w:val="true"/>
        </w:rPr>
        <w:t xml:space="preserve">ו הותירו על בית משפט קמא רושם חיובי ומהימן </w:t>
      </w:r>
      <w:r>
        <w:rPr>
          <w:rtl w:val="true"/>
        </w:rPr>
        <w:t>ועדויותיהם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ראויות</w:t>
      </w:r>
      <w:r>
        <w:rPr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 </w:t>
      </w:r>
      <w:r>
        <w:rPr>
          <w:rtl w:val="true"/>
        </w:rPr>
        <w:t>שמסרו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תה</w:t>
      </w:r>
      <w:r>
        <w:rPr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קולחת</w:t>
      </w:r>
      <w:r>
        <w:rPr>
          <w:rtl w:val="true"/>
        </w:rPr>
        <w:t xml:space="preserve"> </w:t>
      </w:r>
      <w:r>
        <w:rPr>
          <w:rtl w:val="true"/>
        </w:rPr>
        <w:t>ומשכנעת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צוין כי ניתן ללמוד על דיוק התיאור שנמסר מפיהם אף מגרסת המערער עצמו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חקירת</w:t>
      </w:r>
      <w:r>
        <w:rPr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 </w:t>
      </w:r>
      <w:r>
        <w:rPr>
          <w:rtl w:val="true"/>
        </w:rPr>
        <w:t>בגרסתם</w:t>
      </w:r>
      <w:r>
        <w:rPr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כגרסת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ביקשו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שהעידו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שוכנע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הכדור</w:t>
      </w:r>
      <w:r>
        <w:rPr>
          <w:rtl w:val="true"/>
        </w:rPr>
        <w:t xml:space="preserve"> </w:t>
      </w:r>
      <w:r>
        <w:rPr>
          <w:rtl w:val="true"/>
        </w:rPr>
        <w:t>נפלט</w:t>
      </w:r>
      <w:r>
        <w:rPr>
          <w:rtl w:val="true"/>
        </w:rPr>
        <w:t xml:space="preserve"> </w:t>
      </w:r>
      <w:r>
        <w:rPr>
          <w:rtl w:val="true"/>
        </w:rPr>
        <w:t>בשוגג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 xml:space="preserve"> </w:t>
      </w:r>
      <w:r>
        <w:rPr>
          <w:rtl w:val="true"/>
        </w:rPr>
        <w:t>לחיצה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שאיש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דחף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התקרב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 xml:space="preserve">היתה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 </w:t>
      </w:r>
      <w:r>
        <w:rPr>
          <w:rtl w:val="true"/>
        </w:rPr>
        <w:t>לפליטת</w:t>
      </w:r>
      <w:r>
        <w:rPr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רצונית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הכדור</w:t>
      </w:r>
      <w:r>
        <w:rPr>
          <w:rtl w:val="true"/>
        </w:rPr>
        <w:t xml:space="preserve"> </w:t>
      </w:r>
      <w:r>
        <w:rPr>
          <w:rtl w:val="true"/>
        </w:rPr>
        <w:t>נפלט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הרים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עדויותיהם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tl w:val="true"/>
        </w:rPr>
        <w:t xml:space="preserve"> </w:t>
      </w:r>
      <w:r>
        <w:rPr>
          <w:rtl w:val="true"/>
        </w:rPr>
        <w:t>שנתמך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בנקודה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בית המשפט אף זקף לחובת ההגנה את העובדה כי המתלונן ומ</w:t>
      </w:r>
      <w:r>
        <w:rPr>
          <w:rtl w:val="true"/>
        </w:rPr>
        <w:t>"</w:t>
      </w:r>
      <w:r>
        <w:rPr>
          <w:rtl w:val="true"/>
        </w:rPr>
        <w:t>ו כלל לא עומתו עם גרסת המערער כי הכדור נפלט בשוגג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קבע כי התקיימה במערער הכוונה המיוחדת הדרושה לשם הרשעה בעבירת חבלה בכוונה מחמירה</w:t>
      </w:r>
      <w:r>
        <w:rPr>
          <w:rtl w:val="true"/>
        </w:rPr>
        <w:t xml:space="preserve">, </w:t>
      </w:r>
      <w:r>
        <w:rPr>
          <w:rtl w:val="true"/>
        </w:rPr>
        <w:t>בעת שירה במתלונן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בסיס הממצאים הבאים</w:t>
      </w:r>
      <w:r>
        <w:rPr>
          <w:rtl w:val="true"/>
        </w:rPr>
        <w:t xml:space="preserve">: </w:t>
      </w:r>
      <w:r>
        <w:rPr>
          <w:rtl w:val="true"/>
        </w:rPr>
        <w:t xml:space="preserve">המערער הצטייד באקדח כשיצא מביתו </w:t>
      </w:r>
      <w:r>
        <w:rPr>
          <w:rtl w:val="true"/>
        </w:rPr>
        <w:t>ופנה</w:t>
      </w:r>
      <w:r>
        <w:rPr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לאחר שנמסר לו על</w:t>
      </w:r>
      <w:r>
        <w:rPr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הוא ירה במתלונן ממרחק אפסי</w:t>
      </w:r>
      <w:r>
        <w:rPr>
          <w:rtl w:val="true"/>
        </w:rPr>
        <w:t xml:space="preserve">, </w:t>
      </w:r>
      <w:r>
        <w:rPr>
          <w:rtl w:val="true"/>
        </w:rPr>
        <w:t>כשזה שרוע תחתיו</w:t>
      </w:r>
      <w:r>
        <w:rPr>
          <w:rtl w:val="true"/>
        </w:rPr>
        <w:t xml:space="preserve">, </w:t>
      </w:r>
      <w:r>
        <w:rPr>
          <w:rtl w:val="true"/>
        </w:rPr>
        <w:t>וכיוון את הירי לצווארו</w:t>
      </w:r>
      <w:r>
        <w:rPr>
          <w:rtl w:val="true"/>
        </w:rPr>
        <w:t xml:space="preserve">, </w:t>
      </w:r>
      <w:r>
        <w:rPr>
          <w:rtl w:val="true"/>
        </w:rPr>
        <w:t>אזור</w:t>
      </w:r>
      <w:r>
        <w:rPr>
          <w:rtl w:val="true"/>
        </w:rPr>
        <w:t xml:space="preserve"> </w:t>
      </w:r>
      <w:r>
        <w:rPr>
          <w:rtl w:val="true"/>
        </w:rPr>
        <w:t>שידוע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; </w:t>
      </w:r>
      <w:r>
        <w:rPr>
          <w:rtl w:val="true"/>
        </w:rPr>
        <w:t>לאחר הפגיעה במתלונן</w:t>
      </w:r>
      <w:r>
        <w:rPr>
          <w:rtl w:val="true"/>
        </w:rPr>
        <w:t xml:space="preserve">, </w:t>
      </w:r>
      <w:r>
        <w:rPr>
          <w:rtl w:val="true"/>
        </w:rPr>
        <w:t>ירה המערער ירייה נוספת באוויר</w:t>
      </w:r>
      <w:r>
        <w:rPr>
          <w:rtl w:val="true"/>
        </w:rPr>
        <w:t xml:space="preserve">, </w:t>
      </w:r>
      <w:r>
        <w:rPr>
          <w:rtl w:val="true"/>
        </w:rPr>
        <w:t xml:space="preserve">דבר המחזק את המסקנה כי לא מדובר בירי בשוגג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 </w:t>
      </w:r>
      <w:r>
        <w:rPr>
          <w:rtl w:val="true"/>
        </w:rPr>
        <w:t>שכוון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ונועד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; </w:t>
      </w:r>
      <w:r>
        <w:rPr>
          <w:rtl w:val="true"/>
        </w:rPr>
        <w:t>בסמוך לכך</w:t>
      </w:r>
      <w:r>
        <w:rPr>
          <w:rtl w:val="true"/>
        </w:rPr>
        <w:t xml:space="preserve">, </w:t>
      </w:r>
      <w:r>
        <w:rPr>
          <w:rtl w:val="true"/>
        </w:rPr>
        <w:t>ברח המערער מהמקום מבלי להושיט למתלונן עזרה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שהלה</w:t>
      </w:r>
      <w:r>
        <w:rPr>
          <w:rtl w:val="true"/>
        </w:rPr>
        <w:t xml:space="preserve"> </w:t>
      </w:r>
      <w:r>
        <w:rPr>
          <w:rtl w:val="true"/>
        </w:rPr>
        <w:t>שתת</w:t>
      </w:r>
      <w:r>
        <w:rPr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ואף הסתתר מפני המשטרה </w:t>
      </w:r>
      <w:r>
        <w:rPr>
          <w:rtl w:val="true"/>
        </w:rPr>
        <w:t>ב</w:t>
      </w:r>
      <w:r>
        <w:rPr>
          <w:rtl w:val="true"/>
        </w:rPr>
        <w:t>משך כשלושה שבועות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מתסקיר שירות המבחן שהוגש בעניינו של המערער בטרם גזירת דינו עולה כי מדובר בצעיר נטול עבר פלילי</w:t>
      </w:r>
      <w:r>
        <w:rPr>
          <w:rtl w:val="true"/>
        </w:rPr>
        <w:t xml:space="preserve">; </w:t>
      </w:r>
      <w:r>
        <w:rPr>
          <w:rtl w:val="true"/>
        </w:rPr>
        <w:t>כי חרף הבעת חרטה נוכח הפגיעה במתלונן</w:t>
      </w:r>
      <w:r>
        <w:rPr>
          <w:rtl w:val="true"/>
        </w:rPr>
        <w:t xml:space="preserve">, </w:t>
      </w:r>
      <w:r>
        <w:rPr>
          <w:rtl w:val="true"/>
        </w:rPr>
        <w:t>ממוקד המערער בעיקר בפגיעה בו ובמשפחתו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פתור</w:t>
      </w:r>
      <w:r>
        <w:rPr>
          <w:rtl w:val="true"/>
        </w:rPr>
        <w:t xml:space="preserve"> ובהיעדר הירתמות מצידו עולה רמת הסיכון הנשקפת ממנו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צפויות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בדרגה</w:t>
      </w:r>
      <w:r>
        <w:rPr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בעניינו של המערער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21.9.2020</w:t>
      </w:r>
      <w:r>
        <w:rPr>
          <w:rtl w:val="true"/>
        </w:rPr>
        <w:t xml:space="preserve">, </w:t>
      </w:r>
      <w:r>
        <w:rPr>
          <w:rtl w:val="true"/>
        </w:rPr>
        <w:t>גזר בית 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עמד על הערכים החברתיים המוגנים שנפגעו כתוצאה מן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בהם שלמות גופו ובריאותו של אדם ושמירה על גופו ובטחונו של הציבור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. </w:t>
      </w:r>
      <w:r>
        <w:rPr>
          <w:rtl w:val="true"/>
        </w:rPr>
        <w:t>בכל הנוגע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הודגש כי נגרם למתלונן נזק רב בפועל</w:t>
      </w:r>
      <w:r>
        <w:rPr>
          <w:rtl w:val="true"/>
        </w:rPr>
        <w:t xml:space="preserve">, </w:t>
      </w:r>
      <w:r>
        <w:rPr>
          <w:rtl w:val="true"/>
        </w:rPr>
        <w:t>וכי רק בדרך נס לא קיפח את חייו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נלקח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 </w:t>
      </w:r>
      <w:r>
        <w:rPr>
          <w:rtl w:val="true"/>
        </w:rPr>
        <w:t>שהתבטא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שבעת</w:t>
      </w:r>
      <w:r>
        <w:rPr>
          <w:rtl w:val="true"/>
        </w:rPr>
        <w:t xml:space="preserve"> </w:t>
      </w:r>
      <w:r>
        <w:rPr>
          <w:rtl w:val="true"/>
        </w:rPr>
        <w:t>שיצא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עוד נתן בית משפט קמא את דעתו על כך שהאירוע החל בסכסוך כספי שנסב סביב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וכי עניין של מה בכך הוא שהוביל את המערער לשאת אקדח</w:t>
      </w:r>
      <w:r>
        <w:rPr>
          <w:rtl w:val="true"/>
        </w:rPr>
        <w:t xml:space="preserve">, </w:t>
      </w:r>
      <w:r>
        <w:rPr>
          <w:rtl w:val="true"/>
        </w:rPr>
        <w:t>לירות במתלונן וכמעט להמיתו</w:t>
      </w:r>
      <w:r>
        <w:rPr>
          <w:rtl w:val="true"/>
        </w:rPr>
        <w:t xml:space="preserve">. </w:t>
      </w:r>
      <w:r>
        <w:rPr>
          <w:rtl w:val="true"/>
        </w:rPr>
        <w:t>בהתאם לכל זאת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מתחם העונש ההולם 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 לגזור את העונש בתוך המתחם</w:t>
      </w:r>
      <w:r>
        <w:rPr>
          <w:rtl w:val="true"/>
        </w:rPr>
        <w:t xml:space="preserve">, </w:t>
      </w:r>
      <w:r>
        <w:rPr>
          <w:rtl w:val="true"/>
        </w:rPr>
        <w:t>נתן בית משפט קמא דעתו על גילו הצעיר של המערער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מלאו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והיותו נעדר כל עבר פלילי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התייחס בית המשפט לכך שהמערער אינו זכאי להתחשבות השמורה למי שלקח אחריות על מעשיו</w:t>
      </w:r>
      <w:r>
        <w:rPr>
          <w:rtl w:val="true"/>
        </w:rPr>
        <w:t xml:space="preserve">, </w:t>
      </w:r>
      <w:r>
        <w:rPr>
          <w:rtl w:val="true"/>
        </w:rPr>
        <w:t>הודה בהם והביע לגביהם חרטה וצער</w:t>
      </w:r>
      <w:r>
        <w:rPr>
          <w:rtl w:val="true"/>
        </w:rPr>
        <w:t xml:space="preserve">, </w:t>
      </w:r>
      <w:r>
        <w:rPr>
          <w:rtl w:val="true"/>
        </w:rPr>
        <w:t xml:space="preserve">לאור האופן בו ניהל את הגנתו </w:t>
      </w:r>
      <w:r>
        <w:rPr>
          <w:rtl w:val="true"/>
        </w:rPr>
        <w:t>משבחר</w:t>
      </w:r>
      <w:r>
        <w:rPr>
          <w:rtl w:val="true"/>
        </w:rPr>
        <w:t xml:space="preserve"> </w:t>
      </w:r>
      <w:r>
        <w:rPr>
          <w:rtl w:val="true"/>
        </w:rPr>
        <w:t>למסור</w:t>
      </w:r>
      <w:r>
        <w:rPr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שהושלמה</w:t>
      </w:r>
      <w:r>
        <w:rPr>
          <w:rtl w:val="true"/>
        </w:rPr>
        <w:t xml:space="preserve"> </w:t>
      </w:r>
      <w:r>
        <w:rPr>
          <w:rtl w:val="true"/>
        </w:rPr>
        <w:t>פרשת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בשוגג</w:t>
      </w:r>
      <w:r>
        <w:rPr>
          <w:rtl w:val="true"/>
        </w:rPr>
        <w:t xml:space="preserve">. </w:t>
      </w:r>
      <w:r>
        <w:rPr>
          <w:rtl w:val="true"/>
        </w:rPr>
        <w:t>כן ציין בית המשפט את התרשמות שירות המבחן כי המערער מתקשה לקחת אחריות ממשית על מעשיו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חלקו ה</w:t>
      </w:r>
      <w:r>
        <w:rPr>
          <w:rtl w:val="true"/>
        </w:rPr>
        <w:t>אמצע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ופיצוי </w:t>
      </w:r>
      <w:r>
        <w:rPr>
          <w:rtl w:val="true"/>
        </w:rPr>
        <w:t>למתלונן</w:t>
      </w:r>
      <w:r>
        <w:rPr>
          <w:rtl w:val="true"/>
        </w:rPr>
        <w:t xml:space="preserve"> בסך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המדינה והמערער לא השלימו עם פסק דין זה</w:t>
      </w:r>
      <w:r>
        <w:rPr>
          <w:rtl w:val="true"/>
        </w:rPr>
        <w:t xml:space="preserve">. </w:t>
      </w:r>
      <w:r>
        <w:rPr>
          <w:rtl w:val="true"/>
        </w:rPr>
        <w:t>מכאן הערעורים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7473/20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 המדינה מופנה כלפי קולת העונש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העונש חורג באופן משמעותי מהעונש ההולם את מעשיו של המערער</w:t>
      </w:r>
      <w:r>
        <w:rPr>
          <w:rtl w:val="true"/>
        </w:rPr>
        <w:t xml:space="preserve">, </w:t>
      </w:r>
      <w:r>
        <w:rPr>
          <w:rtl w:val="true"/>
        </w:rPr>
        <w:t>ואינו משקף את חומרתם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כי המקרה הוא חלק מתופעה רחבה של אלימות ופשיעה בחברה הישראלית</w:t>
      </w:r>
      <w:r>
        <w:rPr>
          <w:rtl w:val="true"/>
        </w:rPr>
        <w:t xml:space="preserve">, </w:t>
      </w:r>
      <w:r>
        <w:rPr>
          <w:rtl w:val="true"/>
        </w:rPr>
        <w:t>ובפרט בחברה הערבית בישראל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מקל</w:t>
      </w:r>
      <w:r>
        <w:rPr>
          <w:rtl w:val="true"/>
        </w:rPr>
        <w:t xml:space="preserve">, </w:t>
      </w:r>
      <w:r>
        <w:rPr>
          <w:rtl w:val="true"/>
        </w:rPr>
        <w:t>ואינו מבטא את עיקרון ההלימה ואת נורמת הענישה הראויה</w:t>
      </w:r>
      <w:r>
        <w:rPr>
          <w:rtl w:val="true"/>
        </w:rPr>
        <w:t xml:space="preserve">, </w:t>
      </w:r>
      <w:r>
        <w:rPr>
          <w:rtl w:val="true"/>
        </w:rPr>
        <w:t>לפיה יש להחמיר בענישת נאשמים אשר משתמשים בנשק חם כאמצעי לפתרון סכסוכים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לא נתן ביטוי לנסיבות ביצוע העבירה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 </w:t>
      </w:r>
      <w:r>
        <w:rPr>
          <w:rtl w:val="true"/>
        </w:rPr>
        <w:t>הצטיידות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ירי מנשק חם באזור מגורים</w:t>
      </w:r>
      <w:r>
        <w:rPr>
          <w:rtl w:val="true"/>
        </w:rPr>
        <w:t xml:space="preserve">, </w:t>
      </w:r>
      <w:r>
        <w:rPr>
          <w:rtl w:val="true"/>
        </w:rPr>
        <w:t>כיוון אקדח לראשו של מ</w:t>
      </w:r>
      <w:r>
        <w:rPr>
          <w:rtl w:val="true"/>
        </w:rPr>
        <w:t>"</w:t>
      </w:r>
      <w:r>
        <w:rPr>
          <w:rtl w:val="true"/>
        </w:rPr>
        <w:t>ו ולאחר מכן לצווארו של המתלונן ופגיעה בו</w:t>
      </w:r>
      <w:r>
        <w:rPr>
          <w:rtl w:val="true"/>
        </w:rPr>
        <w:t xml:space="preserve">, </w:t>
      </w:r>
      <w:r>
        <w:rPr>
          <w:rtl w:val="true"/>
        </w:rPr>
        <w:t>בריחה מהמקום</w:t>
      </w:r>
      <w:r>
        <w:rPr>
          <w:rtl w:val="true"/>
        </w:rPr>
        <w:t xml:space="preserve">, </w:t>
      </w:r>
      <w:r>
        <w:rPr>
          <w:rtl w:val="true"/>
        </w:rPr>
        <w:t>העלמת הנשק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והימלטות מרשויות החוק למשך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המערער הינו אדם צעיר</w:t>
      </w:r>
      <w:r>
        <w:rPr>
          <w:rtl w:val="true"/>
        </w:rPr>
        <w:t xml:space="preserve">, </w:t>
      </w:r>
      <w:r>
        <w:rPr>
          <w:rtl w:val="true"/>
        </w:rPr>
        <w:t>אשר בחר באלימות תוך שימוש בנשק על מנת ליישב סכסוך פעוט</w:t>
      </w:r>
      <w:r>
        <w:rPr>
          <w:rtl w:val="true"/>
        </w:rPr>
        <w:t xml:space="preserve">, </w:t>
      </w:r>
      <w:r>
        <w:rPr>
          <w:rtl w:val="true"/>
        </w:rPr>
        <w:t>וראה בכך דרך מקובלת לפעולה</w:t>
      </w:r>
      <w:r>
        <w:rPr>
          <w:rtl w:val="true"/>
        </w:rPr>
        <w:t xml:space="preserve">. </w:t>
      </w:r>
      <w:r>
        <w:rPr>
          <w:rtl w:val="true"/>
        </w:rPr>
        <w:t>מדובר במציאות מסוכנת</w:t>
      </w:r>
      <w:r>
        <w:rPr>
          <w:rtl w:val="true"/>
        </w:rPr>
        <w:t xml:space="preserve">, </w:t>
      </w:r>
      <w:r>
        <w:rPr>
          <w:rtl w:val="true"/>
        </w:rPr>
        <w:t>בה הפכו כלי נשק מסוכנים לנגישים לכלל</w:t>
      </w:r>
      <w:r>
        <w:rPr>
          <w:rtl w:val="true"/>
        </w:rPr>
        <w:t xml:space="preserve">, </w:t>
      </w:r>
      <w:r>
        <w:rPr>
          <w:rtl w:val="true"/>
        </w:rPr>
        <w:t>ובפרט לצעירים</w:t>
      </w:r>
      <w:r>
        <w:rPr>
          <w:rtl w:val="true"/>
        </w:rPr>
        <w:t xml:space="preserve">, </w:t>
      </w:r>
      <w:r>
        <w:rPr>
          <w:rtl w:val="true"/>
        </w:rPr>
        <w:t>שאינם מהססים לעשות בהם שימוש לצורך פגיעה בשלמות הגוף ואף לקיפוח חיי אדם</w:t>
      </w:r>
      <w:r>
        <w:rPr>
          <w:rtl w:val="true"/>
        </w:rPr>
        <w:t xml:space="preserve">. </w:t>
      </w:r>
      <w:r>
        <w:rPr>
          <w:rtl w:val="true"/>
        </w:rPr>
        <w:t>עוד נטען כי אין לראות בגילו של המערער ובהיעדר הרשעות קודמות נסיבות חריגות המצדיקות הקלה כה משמעותית עמו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להחמרת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והעמדתו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16-13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ולהחמרה משמעותית בעונשו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בתגובה לערעור המדינה</w:t>
      </w:r>
      <w:r>
        <w:rPr>
          <w:rtl w:val="true"/>
        </w:rPr>
        <w:t xml:space="preserve">, </w:t>
      </w:r>
      <w:r>
        <w:rPr>
          <w:rtl w:val="true"/>
        </w:rPr>
        <w:t>טען בא כוח המערער כי עניינו נבדל ממקרים אחרים עליהם נתנה הפסיקה דעתה</w:t>
      </w:r>
      <w:r>
        <w:rPr>
          <w:rtl w:val="true"/>
        </w:rPr>
        <w:t xml:space="preserve">, </w:t>
      </w:r>
      <w:r>
        <w:rPr>
          <w:rtl w:val="true"/>
        </w:rPr>
        <w:t xml:space="preserve">בהיעדרה לכאורה של כוונה לפגוע </w:t>
      </w:r>
      <w:r>
        <w:rPr>
          <w:rtl w:val="true"/>
        </w:rPr>
        <w:t>במתלונן</w:t>
      </w:r>
      <w:r>
        <w:rPr>
          <w:rtl w:val="true"/>
        </w:rPr>
        <w:t xml:space="preserve"> ותכנון מלכתחילה</w:t>
      </w:r>
      <w:r>
        <w:rPr>
          <w:rtl w:val="true"/>
        </w:rPr>
        <w:t xml:space="preserve">. </w:t>
      </w:r>
      <w:r>
        <w:rPr>
          <w:rtl w:val="true"/>
        </w:rPr>
        <w:t>כן הודגשה השתלבותו של המערער בתכנית טיפולית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והעובדה שלא נגרם למתלונן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נזק צמית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מתסקיר משלים אשר הוגש לקראת הדיון בערעור</w:t>
      </w:r>
      <w:r>
        <w:rPr>
          <w:rtl w:val="true"/>
        </w:rPr>
        <w:t xml:space="preserve">, </w:t>
      </w:r>
      <w:r>
        <w:rPr>
          <w:rtl w:val="true"/>
        </w:rPr>
        <w:t>עולה כי המערער שולב בפרויקט טיפולי באופן מוצלח</w:t>
      </w:r>
      <w:r>
        <w:rPr>
          <w:rtl w:val="true"/>
        </w:rPr>
        <w:t xml:space="preserve">, </w:t>
      </w:r>
      <w:r>
        <w:rPr>
          <w:rtl w:val="true"/>
        </w:rPr>
        <w:t>ומשתף פעולה עם גורמי הטיפול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4"/>
          <w:szCs w:val="24"/>
        </w:rPr>
        <w:t>7595/20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 המערער מופנה הן כלפי הכרעת הדין והן כלפי גזר הדין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ביחס להכרעת הדין</w:t>
      </w:r>
      <w:r>
        <w:rPr>
          <w:rtl w:val="true"/>
        </w:rPr>
        <w:t xml:space="preserve">, </w:t>
      </w:r>
      <w:r>
        <w:rPr>
          <w:rtl w:val="true"/>
        </w:rPr>
        <w:t>שב המערער וטוען כי לא היה מקום להרשיעו בעביר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חבלה בכוונה מחמירה</w:t>
      </w:r>
      <w:r>
        <w:rPr>
          <w:rtl w:val="true"/>
        </w:rPr>
        <w:t xml:space="preserve">, </w:t>
      </w:r>
      <w:r>
        <w:rPr>
          <w:rtl w:val="true"/>
        </w:rPr>
        <w:t>משקיומו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 לכל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טוען המערער כי ניתן משקל עודף לגרסאות השקריות שמסר בחקירותיו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באופן שהוביל </w:t>
      </w:r>
      <w:r>
        <w:rPr>
          <w:rtl w:val="true"/>
        </w:rPr>
        <w:t>–</w:t>
      </w:r>
      <w:r>
        <w:rPr>
          <w:rtl w:val="true"/>
        </w:rPr>
        <w:t xml:space="preserve"> שלא בצדק </w:t>
      </w:r>
      <w:r>
        <w:rPr>
          <w:rtl w:val="true"/>
        </w:rPr>
        <w:t>–</w:t>
      </w:r>
      <w:r>
        <w:rPr>
          <w:rtl w:val="true"/>
        </w:rPr>
        <w:t xml:space="preserve"> לדחיית גרסתו המאוחרת יותר לפיה הכדור שפגע במתלונן נפלט בשוגג</w:t>
      </w:r>
      <w:r>
        <w:rPr>
          <w:rtl w:val="true"/>
        </w:rPr>
        <w:t xml:space="preserve">. </w:t>
      </w:r>
      <w:r>
        <w:rPr>
          <w:rtl w:val="true"/>
        </w:rPr>
        <w:t>כן נטען כי בריחת המערער מהזירה אינה מלמדת דבר באשר לשאלה האם ירה במתלונן במכוון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התעלם</w:t>
      </w:r>
      <w:r>
        <w:rPr>
          <w:rtl w:val="true"/>
        </w:rPr>
        <w:t xml:space="preserve"> </w:t>
      </w:r>
      <w:r>
        <w:rPr>
          <w:rtl w:val="true"/>
        </w:rPr>
        <w:t>מסתירות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עדויותיהם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 </w:t>
      </w:r>
      <w:r>
        <w:rPr>
          <w:rtl w:val="true"/>
        </w:rPr>
        <w:t>ונמנע</w:t>
      </w:r>
      <w:r>
        <w:rPr>
          <w:rtl w:val="true"/>
        </w:rPr>
        <w:t xml:space="preserve"> </w:t>
      </w:r>
      <w:r>
        <w:rPr>
          <w:rtl w:val="true"/>
        </w:rPr>
        <w:t>מלבחון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שאלת</w:t>
      </w:r>
      <w:r>
        <w:rPr>
          <w:rtl w:val="true"/>
        </w:rPr>
        <w:t xml:space="preserve"> </w:t>
      </w:r>
      <w:r>
        <w:rPr>
          <w:rtl w:val="true"/>
        </w:rPr>
        <w:t>כיווני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בחינת הראיות והעדויות השונות</w:t>
      </w:r>
      <w:r>
        <w:rPr>
          <w:rtl w:val="true"/>
        </w:rPr>
        <w:t xml:space="preserve">, </w:t>
      </w:r>
      <w:r>
        <w:rPr>
          <w:rtl w:val="true"/>
        </w:rPr>
        <w:t>מלמדת כי לא היה מקום להרשיעו בעביר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חבלה בכוונה מחמירה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ותחת זאת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לקבוע כי לכל היותר עבר עבירה של גרימת חבלה חמורה בנסיבות מחמירות 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בדחותו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שוני</w:t>
      </w:r>
      <w:r>
        <w:rPr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שתכנן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מבעוד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; </w:t>
      </w:r>
      <w:r>
        <w:rPr>
          <w:rtl w:val="true"/>
        </w:rPr>
        <w:t xml:space="preserve">כי הסכם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שנערך בין משפחתו למשפחת המתלונן מצדיק הקלה בעונשו</w:t>
      </w:r>
      <w:r>
        <w:rPr>
          <w:rtl w:val="true"/>
        </w:rPr>
        <w:t xml:space="preserve">. </w:t>
      </w:r>
      <w:r>
        <w:rPr>
          <w:rtl w:val="true"/>
        </w:rPr>
        <w:t>עוד נטען כי גילו והיותו נעדר עבר פלילי</w:t>
      </w:r>
      <w:r>
        <w:rPr>
          <w:rtl w:val="true"/>
        </w:rPr>
        <w:t xml:space="preserve">, </w:t>
      </w:r>
      <w:r>
        <w:rPr>
          <w:rtl w:val="true"/>
        </w:rPr>
        <w:t>מצדיקים גם הם הקלה 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באת כוח המדינה ביקשה לדחות את ערעור המערער על שני חלקיו</w:t>
      </w:r>
      <w:r>
        <w:rPr>
          <w:rtl w:val="true"/>
        </w:rPr>
        <w:t xml:space="preserve">. </w:t>
      </w:r>
      <w:r>
        <w:rPr>
          <w:rtl w:val="true"/>
        </w:rPr>
        <w:t>באשר להכרעת הדין</w:t>
      </w:r>
      <w:r>
        <w:rPr>
          <w:rtl w:val="true"/>
        </w:rPr>
        <w:t xml:space="preserve">, </w:t>
      </w:r>
      <w:r>
        <w:rPr>
          <w:rtl w:val="true"/>
        </w:rPr>
        <w:t>נטען כי מעשיו של המערער היו כפסע מרצח</w:t>
      </w:r>
      <w:r>
        <w:rPr>
          <w:rtl w:val="true"/>
        </w:rPr>
        <w:t xml:space="preserve">, </w:t>
      </w:r>
      <w:r>
        <w:rPr>
          <w:rtl w:val="true"/>
        </w:rPr>
        <w:t>וכי אין ספק שהיסוד הנפשי הדרוש להרשעה בעבירת חבלה בכוונה מחמירה התקיים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בריחתו של המערער מהזירה והסתתרותו לאורך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מדגישים זאת במיוחד</w:t>
      </w:r>
      <w:r>
        <w:rPr>
          <w:rtl w:val="true"/>
        </w:rPr>
        <w:t xml:space="preserve">. </w:t>
      </w: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נטען כי מדובר באירוע חמור</w:t>
      </w:r>
      <w:r>
        <w:rPr>
          <w:rtl w:val="true"/>
        </w:rPr>
        <w:t xml:space="preserve">, </w:t>
      </w:r>
      <w:r>
        <w:rPr>
          <w:rtl w:val="true"/>
        </w:rPr>
        <w:t>וכי מדיניות הענישה מצביעה על הצורך להחמיר עם המעורבים באירועים מסוג זה</w:t>
      </w:r>
      <w:r>
        <w:rPr>
          <w:rtl w:val="true"/>
        </w:rPr>
        <w:t xml:space="preserve">. </w:t>
      </w:r>
      <w:r>
        <w:rPr>
          <w:rtl w:val="true"/>
        </w:rPr>
        <w:t>מכאן הערעור שהוגש על ידה על קולת 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בערעורים על נספחיהם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לחברותיי לדחות את ערעור המערער על שני חלקיו ולקבל את ערעור המדינה </w:t>
      </w:r>
      <w:r>
        <w:rPr>
          <w:rtl w:val="true"/>
        </w:rPr>
        <w:t>ולהחמיר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 המערער על הכרעת דינו אין ממש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 xml:space="preserve">מתחלקות טענותיו לעניין הרשעתו לשניים </w:t>
      </w:r>
      <w:r>
        <w:rPr>
          <w:rtl w:val="true"/>
        </w:rPr>
        <w:t>–</w:t>
      </w:r>
      <w:r>
        <w:rPr>
          <w:rtl w:val="true"/>
        </w:rPr>
        <w:t xml:space="preserve"> טענות כנגד ממצאי עובדה ומהימנות</w:t>
      </w:r>
      <w:r>
        <w:rPr>
          <w:rtl w:val="true"/>
        </w:rPr>
        <w:t xml:space="preserve">, </w:t>
      </w:r>
      <w:r>
        <w:rPr>
          <w:rtl w:val="true"/>
        </w:rPr>
        <w:t>וטענות באשר לקביעה כי התגבש אצלו היסוד הנפשי הדרוש לשם הרשעה בעבירת חבלה בכוונה מחמירה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טענות המערער בכל הנוגע להחלטת בית משפט קמא שלא לתת בו אמון</w:t>
      </w:r>
      <w:r>
        <w:rPr>
          <w:rtl w:val="true"/>
        </w:rPr>
        <w:t xml:space="preserve">, </w:t>
      </w:r>
      <w:r>
        <w:rPr>
          <w:rtl w:val="true"/>
        </w:rPr>
        <w:t>הן טענות הנוגעות לממצאי עובדה ומהימנות באופן מובהק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דרכה של ערכאת הערעור להתערב בממצאי מהימנות ועובדה 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אשר התרשמה מהעדויות שנשמעו לפניה באופן בלתי אמצעי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ויוצאי דופן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3.12.2020</w:t>
      </w:r>
      <w:r>
        <w:rPr>
          <w:rtl w:val="true"/>
        </w:rPr>
        <w:t xml:space="preserve">)), </w:t>
      </w:r>
      <w:r>
        <w:rPr>
          <w:rtl w:val="true"/>
        </w:rPr>
        <w:t>והמקרה שלפנינו אינו נמנה עמם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עיון בתיק בית משפט קמא מעלה כי החלטתו של בית המשפט שלא לתת במערער אמון </w:t>
      </w:r>
      <w:r>
        <w:rPr>
          <w:rtl w:val="true"/>
        </w:rPr>
        <w:t>–</w:t>
      </w:r>
      <w:r>
        <w:rPr>
          <w:rtl w:val="true"/>
        </w:rPr>
        <w:t xml:space="preserve"> מעוגנת היטב בראיות שהונחו לפניו</w:t>
      </w:r>
      <w:r>
        <w:rPr>
          <w:rtl w:val="true"/>
        </w:rPr>
        <w:t xml:space="preserve">. </w:t>
      </w:r>
      <w:r>
        <w:rPr>
          <w:rtl w:val="true"/>
        </w:rPr>
        <w:t>המערער נמלט מהמשטרה במשך למעלה משלושה שבועות</w:t>
      </w:r>
      <w:r>
        <w:rPr>
          <w:rtl w:val="true"/>
        </w:rPr>
        <w:t xml:space="preserve">, </w:t>
      </w:r>
      <w:r>
        <w:rPr>
          <w:rtl w:val="true"/>
        </w:rPr>
        <w:t>ומשנתפס מסר סדרת גרסאות שקריות סותרות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מסר גרסה מופרכת לחלוטין על פניה</w:t>
      </w:r>
      <w:r>
        <w:rPr>
          <w:rtl w:val="true"/>
        </w:rPr>
        <w:t xml:space="preserve">, </w:t>
      </w:r>
      <w:r>
        <w:rPr>
          <w:rtl w:val="true"/>
        </w:rPr>
        <w:t>לפיה המתלונן נורה על ידי רעול פנים אנונימי אשר הפציע בזירה</w:t>
      </w:r>
      <w:r>
        <w:rPr>
          <w:rtl w:val="true"/>
        </w:rPr>
        <w:t xml:space="preserve">. </w:t>
      </w:r>
      <w:r>
        <w:rPr>
          <w:rtl w:val="true"/>
        </w:rPr>
        <w:t>שקריו החוזרים של המערער</w:t>
      </w:r>
      <w:r>
        <w:rPr>
          <w:rtl w:val="true"/>
        </w:rPr>
        <w:t xml:space="preserve">, </w:t>
      </w:r>
      <w:r>
        <w:rPr>
          <w:rtl w:val="true"/>
        </w:rPr>
        <w:t>והתרשמותו השלילית של בית משפט קמא ממנו</w:t>
      </w:r>
      <w:r>
        <w:rPr>
          <w:rtl w:val="true"/>
        </w:rPr>
        <w:t xml:space="preserve">, </w:t>
      </w:r>
      <w:r>
        <w:rPr>
          <w:rtl w:val="true"/>
        </w:rPr>
        <w:t>הם שהובילו את בית המשפט לקביעה כי גרסתו לפיה ירה בשוגג במתלונן בלתי אמינה בעליל</w:t>
      </w:r>
      <w:r>
        <w:rPr>
          <w:rtl w:val="true"/>
        </w:rPr>
        <w:t xml:space="preserve">. </w:t>
      </w:r>
      <w:r>
        <w:rPr>
          <w:rtl w:val="true"/>
        </w:rPr>
        <w:t>מדובר בגרסה כבושה שנכבשה על ידי המערער עד שלבים מאוחרים של ההליך ולאחר שגרסאותיו הקודמות נמצאו שקריות</w:t>
      </w:r>
      <w:r>
        <w:rPr>
          <w:rtl w:val="true"/>
        </w:rPr>
        <w:t xml:space="preserve">. </w:t>
      </w:r>
      <w:r>
        <w:rPr>
          <w:rtl w:val="true"/>
        </w:rPr>
        <w:t xml:space="preserve">הלכה היא כי ערכה הראייתי של עדות כבושה הינו מועט בהעדר הסבר משכנע לכבישתה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27.8.2019</w:t>
      </w:r>
      <w:r>
        <w:rPr>
          <w:rtl w:val="true"/>
        </w:rPr>
        <w:t xml:space="preserve">)). 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הגרסה האחרונה שהציג המערער אינה רק גרסה כבושה</w:t>
      </w:r>
      <w:r>
        <w:rPr>
          <w:rtl w:val="true"/>
        </w:rPr>
        <w:t xml:space="preserve">, </w:t>
      </w:r>
      <w:r>
        <w:rPr>
          <w:rtl w:val="true"/>
        </w:rPr>
        <w:t>כי אם גרסה כבושה שקדמו לה מספר גרסאות שקריות</w:t>
      </w:r>
      <w:r>
        <w:rPr>
          <w:rtl w:val="true"/>
        </w:rPr>
        <w:t xml:space="preserve">, </w:t>
      </w:r>
      <w:r>
        <w:rPr>
          <w:rtl w:val="true"/>
        </w:rPr>
        <w:t>אשר סותרות זו את זו</w:t>
      </w:r>
      <w:r>
        <w:rPr>
          <w:rtl w:val="true"/>
        </w:rPr>
        <w:t xml:space="preserve">. </w:t>
      </w:r>
      <w:r>
        <w:rPr>
          <w:rtl w:val="true"/>
        </w:rPr>
        <w:t>ביתר פירוט</w:t>
      </w:r>
      <w:r>
        <w:rPr>
          <w:rtl w:val="true"/>
        </w:rPr>
        <w:t xml:space="preserve">, </w:t>
      </w:r>
      <w:r>
        <w:rPr>
          <w:rtl w:val="true"/>
        </w:rPr>
        <w:t>בית משפט קמא עמד על כך שהמערער הציג את גרסתו הכבושה רק לאחר שכל עדי התביעה סיימו להעיד</w:t>
      </w:r>
      <w:r>
        <w:rPr>
          <w:rtl w:val="true"/>
        </w:rPr>
        <w:t xml:space="preserve">, </w:t>
      </w:r>
      <w:r>
        <w:rPr>
          <w:rtl w:val="true"/>
        </w:rPr>
        <w:t xml:space="preserve">וכי היא הייתה בבחינת </w:t>
      </w:r>
      <w:r>
        <w:rPr>
          <w:rtl w:val="true"/>
        </w:rPr>
        <w:t>"</w:t>
      </w:r>
      <w:r>
        <w:rPr>
          <w:rtl w:val="true"/>
        </w:rPr>
        <w:t>סיבוב פרסה</w:t>
      </w:r>
      <w:r>
        <w:rPr>
          <w:rtl w:val="true"/>
        </w:rPr>
        <w:t xml:space="preserve">" </w:t>
      </w:r>
      <w:r>
        <w:rPr>
          <w:rtl w:val="true"/>
        </w:rPr>
        <w:t>לעומת גרסאות קודמות שמסר</w:t>
      </w:r>
      <w:r>
        <w:rPr>
          <w:rtl w:val="true"/>
        </w:rPr>
        <w:t xml:space="preserve">. </w:t>
      </w:r>
      <w:r>
        <w:rPr>
          <w:rtl w:val="true"/>
        </w:rPr>
        <w:t>המערער עשה על בית משפט קמא רושם גרוע ביותר</w:t>
      </w:r>
      <w:r>
        <w:rPr>
          <w:rtl w:val="true"/>
        </w:rPr>
        <w:t xml:space="preserve">, </w:t>
      </w:r>
      <w:r>
        <w:rPr>
          <w:rtl w:val="true"/>
        </w:rPr>
        <w:t>ונקבע כי לא ניתן לתת כל אמון בגרסתו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 </w:t>
      </w:r>
      <w:r>
        <w:rPr>
          <w:rtl w:val="true"/>
        </w:rPr>
        <w:t>שהעידו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שנועד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נמצאו כמי שמסרו גרסאות שקריות</w:t>
      </w:r>
      <w:r>
        <w:rPr>
          <w:rtl w:val="true"/>
        </w:rPr>
        <w:t xml:space="preserve">, </w:t>
      </w:r>
      <w:r>
        <w:rPr>
          <w:rtl w:val="true"/>
        </w:rPr>
        <w:t>בעזות מצח וללא מורא</w:t>
      </w:r>
      <w:r>
        <w:rPr>
          <w:rtl w:val="true"/>
        </w:rPr>
        <w:t xml:space="preserve">, </w:t>
      </w:r>
      <w:r>
        <w:rPr>
          <w:rtl w:val="true"/>
        </w:rPr>
        <w:t>במטרה להטעות את בית המשפט</w:t>
      </w:r>
      <w:r>
        <w:rPr>
          <w:rtl w:val="true"/>
        </w:rPr>
        <w:t xml:space="preserve">. </w:t>
      </w:r>
      <w:r>
        <w:rPr>
          <w:rtl w:val="true"/>
        </w:rPr>
        <w:t>לאור קביעותיו המבוססות והנוקבות של בית המשפט המחוזי אין מקום להתערבות בהן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אף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עילה</w:t>
      </w:r>
      <w:r>
        <w:rPr>
          <w:rtl w:val="true"/>
        </w:rPr>
        <w:t xml:space="preserve"> </w:t>
      </w:r>
      <w:r>
        <w:rPr>
          <w:rtl w:val="true"/>
        </w:rPr>
        <w:t>שתצדיק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בהתייחס לטענת המערער בדבר סתירות ואי דיוקים לכאורה שנפלו בעדויות עדי התביעה מקובלים עלי דברי בית המשפט כי אין באלה כדי לשנות במאום ממסקנתו</w:t>
      </w:r>
      <w:r>
        <w:rPr>
          <w:rtl w:val="true"/>
        </w:rPr>
        <w:t xml:space="preserve">, </w:t>
      </w:r>
      <w:r>
        <w:rPr>
          <w:rtl w:val="true"/>
        </w:rPr>
        <w:t>לאור התרשמותו החיובית מהם והתיישבות גרסאותיהם עם מכלול הראיות שהונחו לפניו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דורש כי תתגבש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tl w:val="true"/>
        </w:rPr>
        <w:t xml:space="preserve">" </w:t>
      </w:r>
      <w:r>
        <w:rPr>
          <w:rtl w:val="true"/>
        </w:rPr>
        <w:t>בקרבו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. </w:t>
      </w:r>
      <w:r>
        <w:rPr>
          <w:rtl w:val="true"/>
        </w:rPr>
        <w:t>המערער טוען כי כלל לא התגבשה בקרבו כוונה זו</w:t>
      </w:r>
      <w:r>
        <w:rPr>
          <w:rtl w:val="true"/>
        </w:rPr>
        <w:t xml:space="preserve">, </w:t>
      </w:r>
      <w:r>
        <w:rPr>
          <w:rtl w:val="true"/>
        </w:rPr>
        <w:t xml:space="preserve">וכי הכדור אשר פגע בצווארו של המתלונן נפלט </w:t>
      </w:r>
      <w:r>
        <w:rPr>
          <w:rtl w:val="true"/>
        </w:rPr>
        <w:t>מהאקדח</w:t>
      </w:r>
      <w:r>
        <w:rPr>
          <w:rtl w:val="true"/>
        </w:rPr>
        <w:t xml:space="preserve"> בשוגג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לא היה מקום להסיק מעובדת בריחתו של המערער מהזירה והפקרת </w:t>
      </w:r>
      <w:r>
        <w:rPr>
          <w:rtl w:val="true"/>
        </w:rPr>
        <w:t>המתלונן</w:t>
      </w:r>
      <w:r>
        <w:rPr>
          <w:rtl w:val="true"/>
        </w:rPr>
        <w:t xml:space="preserve"> הפצוע</w:t>
      </w:r>
      <w:r>
        <w:rPr>
          <w:rtl w:val="true"/>
        </w:rPr>
        <w:t xml:space="preserve">, </w:t>
      </w:r>
      <w:r>
        <w:rPr>
          <w:rtl w:val="true"/>
        </w:rPr>
        <w:t>לעניין קיום היסוד הנפשי שבעבירה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פי רוב</w:t>
      </w:r>
      <w:r>
        <w:rPr>
          <w:rtl w:val="true"/>
        </w:rPr>
        <w:t xml:space="preserve">, </w:t>
      </w:r>
      <w:r>
        <w:rPr>
          <w:rtl w:val="true"/>
        </w:rPr>
        <w:t>נלמדת הכוונה מראיות נסיבתיות המאפשרות להסיק זאת ואשר מקימות חזקת כוונה</w:t>
      </w:r>
      <w:r>
        <w:rPr>
          <w:rtl w:val="true"/>
        </w:rPr>
        <w:t xml:space="preserve">, </w:t>
      </w:r>
      <w:r>
        <w:rPr>
          <w:rtl w:val="true"/>
        </w:rPr>
        <w:t xml:space="preserve">לפיה בני אדם המבצעים פעולה </w:t>
      </w:r>
      <w:r>
        <w:rPr>
          <w:rtl w:val="true"/>
        </w:rPr>
        <w:t>"</w:t>
      </w:r>
      <w:r>
        <w:rPr>
          <w:rtl w:val="true"/>
        </w:rPr>
        <w:t>מודעים לטיב הפיזי של מעשיהם</w:t>
      </w:r>
      <w:r>
        <w:rPr>
          <w:rtl w:val="true"/>
        </w:rPr>
        <w:t xml:space="preserve">, </w:t>
      </w:r>
      <w:r>
        <w:rPr>
          <w:rtl w:val="true"/>
        </w:rPr>
        <w:t>ובכלל זה לתוצאה הטבעית של פעולותיהם</w:t>
      </w:r>
      <w:r>
        <w:rPr>
          <w:rtl w:val="true"/>
        </w:rPr>
        <w:t>".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 xml:space="preserve">)). 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קיימות די והותר ראיות שהביאו את בית המשפט המחוזי לקבוע כי במערער התקיים היסוד הנפשי המיוחד הדרוש על מנת להרשיעו בעבירת החבלה בכוונה מחמירה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 הצטייד באקדח בטרם יצא מביתו למפגש עם המתלונן</w:t>
      </w:r>
      <w:r>
        <w:rPr>
          <w:rtl w:val="true"/>
        </w:rPr>
        <w:t xml:space="preserve">.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ירה באוויר שני כדורים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כיוון את האקדח לכיוון ראשו של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>כממצא שבעובדה</w:t>
      </w:r>
      <w:r>
        <w:rPr>
          <w:rtl w:val="true"/>
        </w:rPr>
        <w:t xml:space="preserve">, </w:t>
      </w:r>
      <w:r>
        <w:rPr>
          <w:rtl w:val="true"/>
        </w:rPr>
        <w:t>על סמך עדות המתלונן ועדי התביעה ותוך דחיית גרסת המערער</w:t>
      </w:r>
      <w:r>
        <w:rPr>
          <w:rtl w:val="true"/>
        </w:rPr>
        <w:t xml:space="preserve">, </w:t>
      </w:r>
      <w:r>
        <w:rPr>
          <w:rtl w:val="true"/>
        </w:rPr>
        <w:t>חבריו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כי לאחר שהמתלונן הזהיר את מ</w:t>
      </w:r>
      <w:r>
        <w:rPr>
          <w:rtl w:val="true"/>
        </w:rPr>
        <w:t>"</w:t>
      </w:r>
      <w:r>
        <w:rPr>
          <w:rtl w:val="true"/>
        </w:rPr>
        <w:t>ו מהאקדח</w:t>
      </w:r>
      <w:r>
        <w:rPr>
          <w:rtl w:val="true"/>
        </w:rPr>
        <w:t xml:space="preserve">, </w:t>
      </w:r>
      <w:r>
        <w:rPr>
          <w:rtl w:val="true"/>
        </w:rPr>
        <w:t>המכוון אל ראשו</w:t>
      </w:r>
      <w:r>
        <w:rPr>
          <w:rtl w:val="true"/>
        </w:rPr>
        <w:t xml:space="preserve">, </w:t>
      </w:r>
      <w:r>
        <w:rPr>
          <w:rtl w:val="true"/>
        </w:rPr>
        <w:t>הסיט המערער את ידו האוחזת באקדח</w:t>
      </w:r>
      <w:r>
        <w:rPr>
          <w:rtl w:val="true"/>
        </w:rPr>
        <w:t xml:space="preserve">, </w:t>
      </w:r>
      <w:r>
        <w:rPr>
          <w:rtl w:val="true"/>
        </w:rPr>
        <w:t>כיוון אותו לעבר צווארו של המתלונן וירה בו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הפגיעה</w:t>
      </w:r>
      <w:r>
        <w:rPr>
          <w:rtl w:val="true"/>
        </w:rPr>
        <w:t xml:space="preserve">, </w:t>
      </w:r>
      <w:r>
        <w:rPr>
          <w:rtl w:val="true"/>
        </w:rPr>
        <w:t>לא הושיט המערער עזרה כלשהי למתלונן</w:t>
      </w:r>
      <w:r>
        <w:rPr>
          <w:rtl w:val="true"/>
        </w:rPr>
        <w:t xml:space="preserve">, </w:t>
      </w:r>
      <w:r>
        <w:rPr>
          <w:rtl w:val="true"/>
        </w:rPr>
        <w:t>אלא ירה ירייה נוספת באוויר</w:t>
      </w:r>
      <w:r>
        <w:rPr>
          <w:rtl w:val="true"/>
        </w:rPr>
        <w:t xml:space="preserve">, </w:t>
      </w:r>
      <w:r>
        <w:rPr>
          <w:rtl w:val="true"/>
        </w:rPr>
        <w:t>הותיר המערער את המתלונן שרוע על האדמה ועזב את המקום</w:t>
      </w:r>
      <w:r>
        <w:rPr>
          <w:rtl w:val="true"/>
        </w:rPr>
        <w:t xml:space="preserve">, </w:t>
      </w:r>
      <w:r>
        <w:rPr>
          <w:rtl w:val="true"/>
        </w:rPr>
        <w:t>מבלי להזעיק את כוחות ההצלה או לנקוט בכל מעשה שהוא על מנת להציל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בו </w:t>
      </w:r>
      <w:r>
        <w:rPr>
          <w:rtl w:val="true"/>
        </w:rPr>
        <w:t>–</w:t>
      </w:r>
      <w:r>
        <w:rPr>
          <w:rtl w:val="true"/>
        </w:rPr>
        <w:t xml:space="preserve"> לטענתו </w:t>
      </w:r>
      <w:r>
        <w:rPr>
          <w:rtl w:val="true"/>
        </w:rPr>
        <w:t>–</w:t>
      </w:r>
      <w:r>
        <w:rPr>
          <w:rtl w:val="true"/>
        </w:rPr>
        <w:t xml:space="preserve"> ירה בשוגג</w:t>
      </w:r>
      <w:r>
        <w:rPr>
          <w:rtl w:val="true"/>
        </w:rPr>
        <w:t xml:space="preserve">. </w:t>
      </w:r>
      <w:r>
        <w:rPr>
          <w:rtl w:val="true"/>
        </w:rPr>
        <w:t>אילו היה שמץ של אמת בגרסת המערער כי הירי בוצע בשוגג היה מושיט עזרה למתלונן או לכל הפחות נותר בזירה לעמוד על תוצאות הפגיעה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ירה המערער פעם נוספת באוויר</w:t>
      </w:r>
      <w:r>
        <w:rPr>
          <w:rtl w:val="true"/>
        </w:rPr>
        <w:t xml:space="preserve">, </w:t>
      </w:r>
      <w:r>
        <w:rPr>
          <w:rtl w:val="true"/>
        </w:rPr>
        <w:t xml:space="preserve">נמלט מהזירה והסתתר במשך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 עד שהסגיר את עצמו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משנקבע כי המערער כיוון אקדח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, </w:t>
      </w:r>
      <w:r>
        <w:rPr>
          <w:rtl w:val="true"/>
        </w:rPr>
        <w:t>לצווארו של המתלונן</w:t>
      </w:r>
      <w:r>
        <w:rPr>
          <w:rtl w:val="true"/>
        </w:rPr>
        <w:t xml:space="preserve">, </w:t>
      </w:r>
      <w:r>
        <w:rPr>
          <w:rtl w:val="true"/>
        </w:rPr>
        <w:t>בעוד זה שרוע על הרצפה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ירה פעם נוספת באוויר ונמלט </w:t>
      </w:r>
      <w:r>
        <w:rPr>
          <w:rtl w:val="true"/>
        </w:rPr>
        <w:t>–</w:t>
      </w:r>
      <w:r>
        <w:rPr>
          <w:rtl w:val="true"/>
        </w:rPr>
        <w:t xml:space="preserve"> קמה חזקת כוונה מובהקת באשר לכך שהמערער היה מעוניין בגרימת חבלה חמורה למתלונן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חזקת</w:t>
      </w:r>
      <w:r>
        <w:rPr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 </w:t>
      </w:r>
      <w:r>
        <w:rPr>
          <w:rtl w:val="true"/>
        </w:rPr>
        <w:t>לסתירה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העלאת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לקיומה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המערער לא הצליח לסתור חזקה זו</w:t>
      </w:r>
      <w:r>
        <w:rPr>
          <w:rtl w:val="true"/>
        </w:rPr>
        <w:t xml:space="preserve">, </w:t>
      </w:r>
      <w:r>
        <w:rPr>
          <w:rtl w:val="true"/>
        </w:rPr>
        <w:t>וערעורו התמקד ברובו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בתקיפת ממצאי עובדה ומהימנות</w:t>
      </w:r>
      <w:r>
        <w:rPr>
          <w:rtl w:val="true"/>
        </w:rPr>
        <w:t xml:space="preserve">. </w:t>
      </w:r>
      <w:r>
        <w:rPr>
          <w:rtl w:val="true"/>
        </w:rPr>
        <w:t>משלא נמצאה כל עילה להתערבות בממצאים אלה</w:t>
      </w:r>
      <w:r>
        <w:rPr>
          <w:rtl w:val="true"/>
        </w:rPr>
        <w:t xml:space="preserve">, </w:t>
      </w:r>
      <w:r>
        <w:rPr>
          <w:rtl w:val="true"/>
        </w:rPr>
        <w:t>ובפרט בקביעת בית משפט קמא כי המערער הינו עד בלתי אמין בעליל אשר שיקר שוב ושוב</w:t>
      </w:r>
      <w:r>
        <w:rPr>
          <w:rtl w:val="true"/>
        </w:rPr>
        <w:t xml:space="preserve">, </w:t>
      </w:r>
      <w:r>
        <w:rPr>
          <w:rtl w:val="true"/>
        </w:rPr>
        <w:t>חזקת הכוונה לא נסתרה</w:t>
      </w:r>
      <w:r>
        <w:rPr>
          <w:rtl w:val="true"/>
        </w:rPr>
        <w:t xml:space="preserve">. </w:t>
      </w:r>
      <w:r>
        <w:rPr>
          <w:rtl w:val="true"/>
        </w:rPr>
        <w:t xml:space="preserve">חזקה על מי שכיוון אקדח טעון לצווארו של אדם שרוע על הרצפה </w:t>
      </w:r>
      <w:r>
        <w:rPr>
          <w:rtl w:val="true"/>
        </w:rPr>
        <w:t>מטווח</w:t>
      </w:r>
      <w:r>
        <w:rPr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>י וירה לעברו</w:t>
      </w:r>
      <w:r>
        <w:rPr>
          <w:rtl w:val="true"/>
        </w:rPr>
        <w:t xml:space="preserve">, </w:t>
      </w:r>
      <w:r>
        <w:rPr>
          <w:rtl w:val="true"/>
        </w:rPr>
        <w:t>שכוונתו הייתה לכל הפחות לגרום לו לחבלה חמורה או להטיל בו מום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ערעור המערער ביחס להכרעת הדין נדחה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 מושרשת היא כי ערכאת הערעור אינה נוטה להתערב במידת העונש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של סטייה קיצונית ממדיניות הענישה </w:t>
      </w:r>
      <w:r>
        <w:rPr>
          <w:rtl w:val="true"/>
        </w:rPr>
        <w:t>הנהוגה</w:t>
      </w:r>
      <w:r>
        <w:rPr>
          <w:rtl w:val="true"/>
        </w:rPr>
        <w:t xml:space="preserve"> במקרים דומים או כאשר נפלה בגזר הדין טעות מהותית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בעונשו של המערער </w:t>
      </w:r>
      <w:r>
        <w:rPr>
          <w:rtl w:val="true"/>
        </w:rPr>
        <w:t>משני</w:t>
      </w:r>
      <w:r>
        <w:rPr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בית משפט קמא לא נתן ביטוי</w:t>
      </w:r>
      <w:r>
        <w:rPr>
          <w:rtl w:val="true"/>
        </w:rPr>
        <w:t xml:space="preserve">, </w:t>
      </w:r>
      <w:r>
        <w:rPr>
          <w:rtl w:val="true"/>
        </w:rPr>
        <w:t>בעונש שהוטל</w:t>
      </w:r>
      <w:r>
        <w:rPr>
          <w:rtl w:val="true"/>
        </w:rPr>
        <w:t xml:space="preserve">, </w:t>
      </w:r>
      <w:r>
        <w:rPr>
          <w:rtl w:val="true"/>
        </w:rPr>
        <w:t>לעבירות הנשק החמורות בהן הורשע המערער</w:t>
      </w:r>
      <w:r>
        <w:rPr>
          <w:rtl w:val="true"/>
        </w:rPr>
        <w:t xml:space="preserve">, </w:t>
      </w:r>
      <w:r>
        <w:rPr>
          <w:rtl w:val="true"/>
        </w:rPr>
        <w:t>ואשר כשלעצמן הצדיקו הטלת ענישה מחמירה</w:t>
      </w:r>
      <w:r>
        <w:rPr>
          <w:rtl w:val="true"/>
        </w:rPr>
        <w:t xml:space="preserve">. </w:t>
      </w:r>
      <w:r>
        <w:rPr>
          <w:rtl w:val="true"/>
        </w:rPr>
        <w:t xml:space="preserve">השני </w:t>
      </w:r>
      <w:r>
        <w:rPr>
          <w:rtl w:val="true"/>
        </w:rPr>
        <w:t>–</w:t>
      </w:r>
      <w:r>
        <w:rPr>
          <w:rtl w:val="true"/>
        </w:rPr>
        <w:t xml:space="preserve"> בית משפט קמא סטה ממדיניות הענישה המחמירה בעבירות של חבלה בכוונה מחמירה בנסיבות של שימוש בנשק חם ובהינתן נסיבות הביצוע והתוצאה הקשה כאן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נמצא אשם בעבירות של נשיאה והובלה של נשק שלא כדין</w:t>
      </w:r>
      <w:r>
        <w:rPr>
          <w:rtl w:val="true"/>
        </w:rPr>
        <w:t xml:space="preserve">, </w:t>
      </w:r>
      <w:r>
        <w:rPr>
          <w:rtl w:val="true"/>
        </w:rPr>
        <w:t>וכן בעבירות של ירי מנשק חם באזור מגורים באופן שיש בו כדי לסכן חיי אדם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</w:t>
      </w:r>
      <w:r>
        <w:rPr>
          <w:rtl w:val="true"/>
        </w:rPr>
        <w:t>שב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</w:t>
      </w:r>
      <w:r>
        <w:rPr>
          <w:rtl w:val="true"/>
        </w:rPr>
        <w:t>ו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חדשות לבקרים</w:t>
      </w:r>
      <w:r>
        <w:rPr>
          <w:rtl w:val="true"/>
        </w:rPr>
        <w:t xml:space="preserve">, </w:t>
      </w:r>
      <w:r>
        <w:rPr>
          <w:rtl w:val="true"/>
        </w:rPr>
        <w:t>על החומרה היתרה הטמונה בביצוע עבירות נשק</w:t>
      </w:r>
      <w:r>
        <w:rPr>
          <w:rtl w:val="true"/>
        </w:rPr>
        <w:t xml:space="preserve">, </w:t>
      </w:r>
      <w:r>
        <w:rPr>
          <w:rtl w:val="true"/>
        </w:rPr>
        <w:t>עבירות שהפכו למכת מדינה</w:t>
      </w:r>
      <w:r>
        <w:rPr>
          <w:rtl w:val="true"/>
        </w:rPr>
        <w:t xml:space="preserve">, </w:t>
      </w:r>
      <w:r>
        <w:rPr>
          <w:rtl w:val="true"/>
        </w:rPr>
        <w:t xml:space="preserve">שגלומה בה סכנה ממשית </w:t>
      </w:r>
      <w:r>
        <w:rPr>
          <w:rtl w:val="true"/>
        </w:rPr>
        <w:t>לשלום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ולב</w:t>
      </w:r>
      <w:r>
        <w:rPr>
          <w:rtl w:val="true"/>
        </w:rPr>
        <w:t>י</w:t>
      </w:r>
      <w:r>
        <w:rPr>
          <w:rtl w:val="true"/>
        </w:rPr>
        <w:t>טחונו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לסדר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 ואשר </w:t>
      </w:r>
      <w:r>
        <w:rPr>
          <w:rtl w:val="true"/>
        </w:rPr>
        <w:t>מצריכה</w:t>
      </w:r>
      <w:r>
        <w:rPr>
          <w:rtl w:val="true"/>
        </w:rPr>
        <w:t xml:space="preserve"> הטלת עונשים מרתיעים ומשמעותיים המשקפים מסר מרתיע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29.4.2021</w:t>
      </w:r>
      <w:r>
        <w:rPr>
          <w:rtl w:val="true"/>
        </w:rPr>
        <w:t xml:space="preserve">), </w:t>
      </w:r>
      <w:r>
        <w:rPr>
          <w:rtl w:val="true"/>
        </w:rPr>
        <w:t>והפסיקה הנזכרת שם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 בנפרד מהחומרה המופלגת של מעשה החבלה בכוונה מחמירה שביצע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הרי שהוא הורשע </w:t>
      </w:r>
      <w:r>
        <w:rPr>
          <w:rtl w:val="true"/>
        </w:rPr>
        <w:t>ב</w:t>
      </w:r>
      <w:r>
        <w:rPr>
          <w:rtl w:val="true"/>
        </w:rPr>
        <w:t>עבירות נשק חמורות</w:t>
      </w:r>
      <w:r>
        <w:rPr>
          <w:rtl w:val="true"/>
        </w:rPr>
        <w:t xml:space="preserve">, </w:t>
      </w:r>
      <w:r>
        <w:rPr>
          <w:rtl w:val="true"/>
        </w:rPr>
        <w:t>בנסיבות חמורות כשלעצמן</w:t>
      </w:r>
      <w:r>
        <w:rPr>
          <w:rtl w:val="true"/>
        </w:rPr>
        <w:t xml:space="preserve">. </w:t>
      </w:r>
      <w:r>
        <w:rPr>
          <w:rtl w:val="true"/>
        </w:rPr>
        <w:t>עצם החזקת הנשק שלא כדין על ידי המערער מהווה איום על שלום הציבור ועל הסדר הציבורי</w:t>
      </w:r>
      <w:r>
        <w:rPr>
          <w:rtl w:val="true"/>
        </w:rPr>
        <w:t xml:space="preserve">. </w:t>
      </w:r>
      <w:r>
        <w:rPr>
          <w:rtl w:val="true"/>
        </w:rPr>
        <w:t>כפי שצוין בעבר</w:t>
      </w:r>
      <w:r>
        <w:rPr>
          <w:rtl w:val="true"/>
        </w:rPr>
        <w:t xml:space="preserve">, </w:t>
      </w:r>
      <w:r>
        <w:rPr>
          <w:rtl w:val="true"/>
        </w:rPr>
        <w:t>החזקת נשק מהווה תשתית</w:t>
      </w:r>
      <w:r>
        <w:rPr>
          <w:rtl w:val="true"/>
        </w:rPr>
        <w:t>, "</w:t>
      </w:r>
      <w:r>
        <w:rPr>
          <w:rtl w:val="true"/>
        </w:rPr>
        <w:t>גורם בלתו איין</w:t>
      </w:r>
      <w:r>
        <w:rPr>
          <w:rtl w:val="true"/>
        </w:rPr>
        <w:t xml:space="preserve">", </w:t>
      </w:r>
      <w:r>
        <w:rPr>
          <w:rtl w:val="true"/>
        </w:rPr>
        <w:t xml:space="preserve">למגוון רחב של עבירות </w:t>
      </w:r>
      <w:r>
        <w:rPr>
          <w:rtl w:val="true"/>
        </w:rPr>
        <w:t>–</w:t>
      </w:r>
      <w:r>
        <w:rPr>
          <w:rtl w:val="true"/>
        </w:rPr>
        <w:t xml:space="preserve"> בהן גם עבירת החבלה בכוונה מחמירה אותה ביצע המערער בסופו של יום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)). </w:t>
      </w:r>
      <w:r>
        <w:rPr>
          <w:rtl w:val="true"/>
        </w:rPr>
        <w:t xml:space="preserve">כך גם אירע בענייננו </w:t>
      </w:r>
      <w:r>
        <w:rPr>
          <w:rtl w:val="true"/>
        </w:rPr>
        <w:t>–</w:t>
      </w:r>
      <w:r>
        <w:rPr>
          <w:rtl w:val="true"/>
        </w:rPr>
        <w:t xml:space="preserve"> המערער לא רק החזיק בנשק</w:t>
      </w:r>
      <w:r>
        <w:rPr>
          <w:rtl w:val="true"/>
        </w:rPr>
        <w:t xml:space="preserve">, </w:t>
      </w:r>
      <w:r>
        <w:rPr>
          <w:rtl w:val="true"/>
        </w:rPr>
        <w:t xml:space="preserve">אלא ירה במתלונן ואף ירה </w:t>
      </w:r>
      <w:r>
        <w:rPr>
          <w:rtl w:val="true"/>
        </w:rPr>
        <w:t>באוויר</w:t>
      </w:r>
      <w:r>
        <w:rPr>
          <w:rtl w:val="true"/>
        </w:rPr>
        <w:t xml:space="preserve"> הן לפני הפגיעה בו והן לאחריה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עבירות הנשק שבהן הורשע המערער</w:t>
      </w:r>
      <w:r>
        <w:rPr>
          <w:rtl w:val="true"/>
        </w:rPr>
        <w:t xml:space="preserve">, </w:t>
      </w:r>
      <w:r>
        <w:rPr>
          <w:rtl w:val="true"/>
        </w:rPr>
        <w:t>בנוסף לעבירת החבלה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לא </w:t>
      </w:r>
      <w:r>
        <w:rPr>
          <w:rtl w:val="true"/>
        </w:rPr>
        <w:t>בא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ביטוי בעונש שנגזר על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עמים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בית משפט זה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החשיבות</w:t>
      </w:r>
      <w:r>
        <w:rPr>
          <w:rtl w:val="true"/>
        </w:rPr>
        <w:t xml:space="preserve"> </w:t>
      </w:r>
      <w:r>
        <w:rPr>
          <w:rtl w:val="true"/>
        </w:rPr>
        <w:t>שבהטלת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27.11.2019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אך לאחרונה ציין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כי ככל שעבירות הנשק הפכו נפוצות יותר</w:t>
      </w:r>
      <w:r>
        <w:rPr>
          <w:rtl w:val="true"/>
        </w:rPr>
        <w:t xml:space="preserve">, </w:t>
      </w:r>
      <w:r>
        <w:rPr>
          <w:rtl w:val="true"/>
        </w:rPr>
        <w:t>כך הוחמרה מגמת הענישה וניתן משקל משמעותי באופן הולך וגובר לשיקולי הרתעה בעת גזירת העונש בגינן</w:t>
      </w:r>
      <w:r>
        <w:rPr>
          <w:rtl w:val="true"/>
        </w:rPr>
        <w:t xml:space="preserve">. </w:t>
      </w:r>
      <w:r>
        <w:rPr>
          <w:rtl w:val="true"/>
        </w:rPr>
        <w:t>הדברים יפים במיוחד בכל הנוגע לעבירות ירי בנשק חם בסביבת מגורים</w:t>
      </w:r>
      <w:r>
        <w:rPr>
          <w:rtl w:val="true"/>
        </w:rPr>
        <w:t xml:space="preserve">, </w:t>
      </w:r>
      <w:r>
        <w:rPr>
          <w:rtl w:val="true"/>
        </w:rPr>
        <w:t xml:space="preserve">מהן נשקפת חומרה יתרה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אגבאריה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21.6.2021</w:t>
      </w:r>
      <w:r>
        <w:rPr>
          <w:rtl w:val="true"/>
        </w:rPr>
        <w:t xml:space="preserve">)).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בשנת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 xml:space="preserve">תיקן המחוקק את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והחמיר את העונש הקבוע בצידה של העבירה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שעניינה ירי באזור מגורים</w:t>
      </w:r>
      <w:r>
        <w:rPr>
          <w:rtl w:val="true"/>
        </w:rPr>
        <w:t xml:space="preserve">, </w:t>
      </w:r>
      <w:r>
        <w:rPr>
          <w:rtl w:val="true"/>
        </w:rPr>
        <w:t>משנת מאסר אחת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הצעת 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>) (</w:t>
      </w:r>
      <w:r>
        <w:rPr>
          <w:rtl w:val="true"/>
        </w:rPr>
        <w:t>ירי מנשק 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1223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כצעד נוסף למלחמה בתופעת השימוש בנשק ופוטנציאל הנזק הכרוך בכך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למדיניות הענישה הנהוגה בעבירה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יש לתת את הדעת על המובן מאליו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r>
        <w:rPr>
          <w:rtl w:val="true"/>
        </w:rPr>
        <w:t>–</w:t>
      </w:r>
      <w:r>
        <w:rPr>
          <w:rtl w:val="true"/>
        </w:rPr>
        <w:t xml:space="preserve"> קיומה של משרעת ענישה המושפעת מנסיבות הביצוע הספציפיות של כל עבירה ונסיבותיו הפרטניות של כל מבצע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הורשע המערער בעבירת חבלה בכוונה מחמירה ברף גבוה ביותר</w:t>
      </w:r>
      <w:r>
        <w:rPr>
          <w:rtl w:val="true"/>
        </w:rPr>
        <w:t xml:space="preserve">. </w:t>
      </w:r>
      <w:r>
        <w:rPr>
          <w:rtl w:val="true"/>
        </w:rPr>
        <w:t>העבירה בוצעה באמצעות נשק חם</w:t>
      </w:r>
      <w:r>
        <w:rPr>
          <w:rtl w:val="true"/>
        </w:rPr>
        <w:t xml:space="preserve">, </w:t>
      </w:r>
      <w:r>
        <w:rPr>
          <w:rtl w:val="true"/>
        </w:rPr>
        <w:t>בו הצטייד המערער מבעוד מועד כשעזב את ביתו בדרכו למפגש עם המתלונן</w:t>
      </w:r>
      <w:r>
        <w:rPr>
          <w:rtl w:val="true"/>
        </w:rPr>
        <w:t xml:space="preserve">; </w:t>
      </w:r>
      <w:r>
        <w:rPr>
          <w:rtl w:val="true"/>
        </w:rPr>
        <w:t>החבלה נגרמה בצווארו של המתלונן</w:t>
      </w:r>
      <w:r>
        <w:rPr>
          <w:rtl w:val="true"/>
        </w:rPr>
        <w:t xml:space="preserve">, </w:t>
      </w:r>
      <w:r>
        <w:rPr>
          <w:rtl w:val="true"/>
        </w:rPr>
        <w:t>באופן שעלול היה לקפח את חייו</w:t>
      </w:r>
      <w:r>
        <w:rPr>
          <w:rtl w:val="true"/>
        </w:rPr>
        <w:t xml:space="preserve">; </w:t>
      </w:r>
      <w:r>
        <w:rPr>
          <w:rtl w:val="true"/>
        </w:rPr>
        <w:t>הירי בוצע כשהמתלונן היה שרוע על הרצפה ולא היווה כל איום על המערער</w:t>
      </w:r>
      <w:r>
        <w:rPr>
          <w:rtl w:val="true"/>
        </w:rPr>
        <w:t xml:space="preserve">; </w:t>
      </w:r>
      <w:r>
        <w:rPr>
          <w:rtl w:val="true"/>
        </w:rPr>
        <w:t>מיד לאחר החבלה ביצע המערער ירי נוסף באוויר</w:t>
      </w:r>
      <w:r>
        <w:rPr>
          <w:rtl w:val="true"/>
        </w:rPr>
        <w:t xml:space="preserve">, </w:t>
      </w:r>
      <w:r>
        <w:rPr>
          <w:rtl w:val="true"/>
        </w:rPr>
        <w:t>ורק אז נמלט מהזירה</w:t>
      </w:r>
      <w:r>
        <w:rPr>
          <w:rtl w:val="true"/>
        </w:rPr>
        <w:t xml:space="preserve">; </w:t>
      </w:r>
      <w:r>
        <w:rPr>
          <w:rtl w:val="true"/>
        </w:rPr>
        <w:t>עיון במסמכיו הרפואיים של המתלונן</w:t>
      </w:r>
      <w:r>
        <w:rPr>
          <w:rtl w:val="true"/>
        </w:rPr>
        <w:t xml:space="preserve">, </w:t>
      </w:r>
      <w:r>
        <w:rPr>
          <w:rtl w:val="true"/>
        </w:rPr>
        <w:t>מלמד על הנזק המשמעותי שנגרם לו</w:t>
      </w:r>
      <w:r>
        <w:rPr>
          <w:rtl w:val="true"/>
        </w:rPr>
        <w:t xml:space="preserve">, </w:t>
      </w:r>
      <w:r>
        <w:rPr>
          <w:rtl w:val="true"/>
        </w:rPr>
        <w:t>בשים לב לכך שבעקבות הירי אושפז המתלונן כשהוא מורדם ומונשם</w:t>
      </w:r>
      <w:r>
        <w:rPr>
          <w:rtl w:val="true"/>
        </w:rPr>
        <w:t xml:space="preserve">, </w:t>
      </w:r>
      <w:r>
        <w:rPr>
          <w:rtl w:val="true"/>
        </w:rPr>
        <w:t>ונגרמו לו פצעי ירי בצוואר</w:t>
      </w:r>
      <w:r>
        <w:rPr>
          <w:rtl w:val="true"/>
        </w:rPr>
        <w:t xml:space="preserve">, </w:t>
      </w:r>
      <w:r>
        <w:rPr>
          <w:rtl w:val="true"/>
        </w:rPr>
        <w:t>בריאה ובבית החזה האחורי</w:t>
      </w:r>
      <w:r>
        <w:rPr>
          <w:rtl w:val="true"/>
        </w:rPr>
        <w:t xml:space="preserve">. </w:t>
      </w:r>
      <w:r>
        <w:rPr>
          <w:rtl w:val="true"/>
        </w:rPr>
        <w:t>כן אובחן נזק בעמוד השדרה</w:t>
      </w:r>
      <w:r>
        <w:rPr>
          <w:rtl w:val="true"/>
        </w:rPr>
        <w:t xml:space="preserve">, </w:t>
      </w:r>
      <w:r>
        <w:rPr>
          <w:rtl w:val="true"/>
        </w:rPr>
        <w:t>חולשה ביד שמאל והגבלת תנועה בכתף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ואימפולסיבי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13.5.2021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זרבאילוב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4.3.2021</w:t>
      </w:r>
      <w:r>
        <w:rPr>
          <w:rtl w:val="true"/>
        </w:rPr>
        <w:t xml:space="preserve">)).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בטענותיו של המערער ביחס לעונשו אין ממש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טענותיו של המערער כנגד גזר הדין מתמצות בכך שלשיטתו לא ניתן דיי משקל לגילו ולהיותו נעדר עבר פלילי</w:t>
      </w:r>
      <w:r>
        <w:rPr>
          <w:rtl w:val="true"/>
        </w:rPr>
        <w:t xml:space="preserve">. </w:t>
      </w:r>
      <w:r>
        <w:rPr>
          <w:rtl w:val="true"/>
        </w:rPr>
        <w:t>די בעיון בגזר הדין שניתן בבית משפט קמא על מנת לקבוע שאין ממש בטענות אלה</w:t>
      </w:r>
      <w:r>
        <w:rPr>
          <w:rtl w:val="true"/>
        </w:rPr>
        <w:t xml:space="preserve">. </w:t>
      </w:r>
      <w:r>
        <w:rPr>
          <w:rtl w:val="true"/>
        </w:rPr>
        <w:t>בית המשפט המחוזי התייחס לשיקולים אלה במפורש בעת גזירת הדין ואף נתן להם משקל יתר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ראוי להדגיש כי אף שהמערער נטול עבר פלילי</w:t>
      </w:r>
      <w:r>
        <w:rPr>
          <w:rtl w:val="true"/>
        </w:rPr>
        <w:t xml:space="preserve">, </w:t>
      </w:r>
      <w:r>
        <w:rPr>
          <w:rtl w:val="true"/>
        </w:rPr>
        <w:t>התנהגותו רחוקה מהתנהגות נורמטיבית כמרחק מזרח ממערב</w:t>
      </w:r>
      <w:r>
        <w:rPr>
          <w:rtl w:val="true"/>
        </w:rPr>
        <w:t xml:space="preserve">. </w:t>
      </w:r>
      <w:r>
        <w:rPr>
          <w:rtl w:val="true"/>
        </w:rPr>
        <w:t xml:space="preserve">ניסיון המערער לצייר את העובדה שנשא אקדח על גופו </w:t>
      </w:r>
      <w:r>
        <w:rPr>
          <w:rtl w:val="true"/>
        </w:rPr>
        <w:t>(</w:t>
      </w:r>
      <w:r>
        <w:rPr>
          <w:rtl w:val="true"/>
        </w:rPr>
        <w:t>שאותו כיוון כלפי המתלונן במטרה לפגוע בו ולגרום לו חבלה חמורה</w:t>
      </w:r>
      <w:r>
        <w:rPr>
          <w:rtl w:val="true"/>
        </w:rPr>
        <w:t xml:space="preserve">), </w:t>
      </w:r>
      <w:r>
        <w:rPr>
          <w:rtl w:val="true"/>
        </w:rPr>
        <w:t xml:space="preserve">כהתנהגות נורמטיבית בחברה בה הוא חי </w:t>
      </w:r>
      <w:r>
        <w:rPr>
          <w:rtl w:val="true"/>
        </w:rPr>
        <w:t>–</w:t>
      </w:r>
      <w:r>
        <w:rPr>
          <w:rtl w:val="true"/>
        </w:rPr>
        <w:t xml:space="preserve"> ראויה לכל גינוי ואין להסכין עמה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אשר לטענת המערער בנוגע לקיומה של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 xml:space="preserve">בין משפחתו לבין משפחת המתלונן </w:t>
      </w:r>
      <w:r>
        <w:rPr>
          <w:rtl w:val="true"/>
        </w:rPr>
        <w:t>–</w:t>
      </w:r>
      <w:r>
        <w:rPr>
          <w:rtl w:val="true"/>
        </w:rPr>
        <w:t xml:space="preserve"> הרי שאין בה כדי להוביל להקלה בעונש</w:t>
      </w:r>
      <w:r>
        <w:rPr>
          <w:rtl w:val="true"/>
        </w:rPr>
        <w:t xml:space="preserve">. </w:t>
      </w:r>
      <w:r>
        <w:rPr>
          <w:rtl w:val="true"/>
        </w:rPr>
        <w:t>אין אנו יודעים מה עומד מאחורי הסכם זה</w:t>
      </w:r>
      <w:r>
        <w:rPr>
          <w:rtl w:val="true"/>
        </w:rPr>
        <w:t xml:space="preserve">, </w:t>
      </w:r>
      <w:r>
        <w:rPr>
          <w:rtl w:val="true"/>
        </w:rPr>
        <w:t>מהי</w:t>
      </w:r>
      <w:r>
        <w:rPr>
          <w:rtl w:val="true"/>
        </w:rPr>
        <w:t xml:space="preserve"> נפקותו</w:t>
      </w:r>
      <w:r>
        <w:rPr>
          <w:rtl w:val="true"/>
        </w:rPr>
        <w:t xml:space="preserve">, </w:t>
      </w:r>
      <w:r>
        <w:rPr>
          <w:rtl w:val="true"/>
        </w:rPr>
        <w:t>עד כמה הוא יציב והאם עומדים פערי כוחות ברקע לחתימתו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שהפיצויים שנפסקו בבית משפט קמא טרם שולמו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20.12.2020</w:t>
      </w:r>
      <w:r>
        <w:rPr>
          <w:rtl w:val="true"/>
        </w:rPr>
        <w:t xml:space="preserve">)).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מקום להעניק כל משקל להסכם הסולחה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בהתחשב בכלל השיקולים שנמנו לעיל</w:t>
      </w:r>
      <w:r>
        <w:rPr>
          <w:rtl w:val="true"/>
        </w:rPr>
        <w:t xml:space="preserve">, </w:t>
      </w:r>
      <w:r>
        <w:rPr>
          <w:rtl w:val="true"/>
        </w:rPr>
        <w:t>וכן בשיקולים לקולא שמנה בית משפט קמא</w:t>
      </w:r>
      <w:r>
        <w:rPr>
          <w:rtl w:val="true"/>
        </w:rPr>
        <w:t xml:space="preserve">; </w:t>
      </w:r>
      <w:r>
        <w:rPr>
          <w:rtl w:val="true"/>
        </w:rPr>
        <w:t>לאחר שלקחתי בחשבון את הליך השיקום בו החל המערער בכלא מאז נגזר דינו</w:t>
      </w:r>
      <w:r>
        <w:rPr>
          <w:rtl w:val="true"/>
        </w:rPr>
        <w:t xml:space="preserve">; </w:t>
      </w:r>
      <w:r>
        <w:rPr>
          <w:rtl w:val="true"/>
        </w:rPr>
        <w:t xml:space="preserve">ובשים לב לכלל לפיו אין ערכאת הערעור ממצה את הדין </w:t>
      </w:r>
      <w:r>
        <w:rPr>
          <w:rtl w:val="true"/>
        </w:rPr>
        <w:t>–</w:t>
      </w:r>
      <w:r>
        <w:rPr>
          <w:rtl w:val="true"/>
        </w:rPr>
        <w:t xml:space="preserve"> אציע לחברותיי להעמיד את עונשו של המערער על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כאשר יתר רכיבי הענישה אשר נקבעו בבית המשפט המחוזי יעמדו 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נשיאה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חיות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למיגורן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</w:t>
      </w:r>
      <w:r>
        <w:rPr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ברון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לחיצה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, </w:t>
      </w:r>
      <w:r>
        <w:rPr>
          <w:rtl w:val="true"/>
        </w:rPr>
        <w:t>ולמתלונן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29.6.2021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color w:val="FFFFFF"/>
          <w:sz w:val="2"/>
          <w:szCs w:val="2"/>
        </w:rPr>
      </w:pPr>
      <w:r>
        <w:rPr>
          <w:rFonts w:cs="Arial TUR;Arial" w:ascii="Arial TUR;Arial" w:hAnsi="Arial TUR;Arial"/>
          <w:color w:val="FFFFFF"/>
          <w:sz w:val="2"/>
          <w:szCs w:val="2"/>
        </w:rPr>
        <w:t>5129371</w:t>
      </w:r>
      <w:r>
        <w:rPr>
          <w:rFonts w:cs="Arial TUR;Arial" w:ascii="Arial TUR;Arial" w:hAnsi="Arial TUR;Aria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20074730</w:t>
      </w:r>
      <w:r>
        <w:rPr>
          <w:sz w:val="16"/>
          <w:rtl w:val="true"/>
        </w:rPr>
        <w:t>_</w:t>
      </w:r>
      <w:r>
        <w:rPr>
          <w:sz w:val="16"/>
        </w:rPr>
        <w:t>Q02.docx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54678313-7473/20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7473/20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750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340a.b.2" TargetMode="External"/><Relationship Id="rId12" Type="http://schemas.openxmlformats.org/officeDocument/2006/relationships/hyperlink" Target="http://www.nevo.co.il/case/25275005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40a.b.1" TargetMode="External"/><Relationship Id="rId16" Type="http://schemas.openxmlformats.org/officeDocument/2006/relationships/hyperlink" Target="http://www.nevo.co.il/law/70301/340a.b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" TargetMode="External"/><Relationship Id="rId24" Type="http://schemas.openxmlformats.org/officeDocument/2006/relationships/hyperlink" Target="http://www.nevo.co.il/case/25651804" TargetMode="External"/><Relationship Id="rId25" Type="http://schemas.openxmlformats.org/officeDocument/2006/relationships/hyperlink" Target="http://www.nevo.co.il/case/23855492" TargetMode="External"/><Relationship Id="rId26" Type="http://schemas.openxmlformats.org/officeDocument/2006/relationships/hyperlink" Target="http://www.nevo.co.il/law/70301/3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5459242" TargetMode="External"/><Relationship Id="rId29" Type="http://schemas.openxmlformats.org/officeDocument/2006/relationships/hyperlink" Target="http://www.nevo.co.il/case/25349520" TargetMode="External"/><Relationship Id="rId30" Type="http://schemas.openxmlformats.org/officeDocument/2006/relationships/hyperlink" Target="http://www.nevo.co.il/case/27404359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26082398" TargetMode="External"/><Relationship Id="rId33" Type="http://schemas.openxmlformats.org/officeDocument/2006/relationships/hyperlink" Target="http://www.nevo.co.il/case/2760387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0a" TargetMode="External"/><Relationship Id="rId36" Type="http://schemas.openxmlformats.org/officeDocument/2006/relationships/hyperlink" Target="http://www.nevo.co.il/case/26607075" TargetMode="External"/><Relationship Id="rId37" Type="http://schemas.openxmlformats.org/officeDocument/2006/relationships/hyperlink" Target="http://www.nevo.co.il/case/25723369" TargetMode="External"/><Relationship Id="rId38" Type="http://schemas.openxmlformats.org/officeDocument/2006/relationships/hyperlink" Target="http://www.nevo.co.il/case/27272576" TargetMode="External"/><Relationship Id="rId39" Type="http://schemas.openxmlformats.org/officeDocument/2006/relationships/hyperlink" Target="http://www.nevo.co.il/case/26895499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2021-06-30T10:37:00Z</dcterms:created>
  <dc:creator>h4</dc:creator>
  <dc:description/>
  <cp:keywords/>
  <dc:language>en-IL</dc:language>
  <cp:lastModifiedBy>orly</cp:lastModifiedBy>
  <cp:lastPrinted>2021-06-29T14:02:00Z</cp:lastPrinted>
  <dcterms:modified xsi:type="dcterms:W3CDTF">2021-06-30T10:37:00Z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25275005:2;25651804;23855492;25459242;25349520;27404359;25824863;26082398;27603872;26607075;25723369;27272576;26895499</vt:lpwstr>
  </property>
  <property fmtid="{D5CDD505-2E9C-101B-9397-08002B2CF9AE}" pid="9" name="CITY">
    <vt:lpwstr/>
  </property>
  <property fmtid="{D5CDD505-2E9C-101B-9397-08002B2CF9AE}" pid="10" name="DATE">
    <vt:lpwstr>20210629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ברון;ג' קרא;א' חיות</vt:lpwstr>
  </property>
  <property fmtid="{D5CDD505-2E9C-101B-9397-08002B2CF9AE}" pid="14" name="LAWLISTTMP1">
    <vt:lpwstr>70301/329.a.1:3;144.b;340a.b.1;340a.b.2;333;335;329;340a</vt:lpwstr>
  </property>
  <property fmtid="{D5CDD505-2E9C-101B-9397-08002B2CF9AE}" pid="15" name="LAWYER">
    <vt:lpwstr>עיסאם טנוס;עבד אל מג'יד פאהום;נעימה חנאווי כראם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אזרחי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77;77;77;17;18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1443;1446;1446;421;504</vt:lpwstr>
  </property>
  <property fmtid="{D5CDD505-2E9C-101B-9397-08002B2CF9AE}" pid="48" name="NOSE31">
    <vt:lpwstr>חבלה בכוונה מחמירה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אי התערבות בממצאים עובדתיים</vt:lpwstr>
  </property>
  <property fmtid="{D5CDD505-2E9C-101B-9397-08002B2CF9AE}" pid="53" name="NOSE35">
    <vt:lpwstr>התערבות במידת העונש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8830;13800;8982;15882;15230</vt:lpwstr>
  </property>
  <property fmtid="{D5CDD505-2E9C-101B-9397-08002B2CF9AE}" pid="59" name="PADIDATE">
    <vt:lpwstr>20210630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7473;7595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410120210629</vt:lpwstr>
  </property>
  <property fmtid="{D5CDD505-2E9C-101B-9397-08002B2CF9AE}" pid="69" name="TYPE_N_DATE">
    <vt:lpwstr>41020210629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