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7519/18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7637/18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103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79"/>
        <w:gridCol w:w="5084"/>
      </w:tblGrid>
      <w:tr>
        <w:trPr/>
        <w:tc>
          <w:tcPr>
            <w:tcW w:w="3279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7519/18</w:t>
            </w:r>
            <w:r>
              <w:rPr>
                <w:rtl w:val="true"/>
              </w:rPr>
              <w:t>:</w:t>
            </w:r>
          </w:p>
        </w:tc>
        <w:tc>
          <w:tcPr>
            <w:tcW w:w="50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דהוד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סנינה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79"/>
        <w:gridCol w:w="5084"/>
      </w:tblGrid>
      <w:tr>
        <w:trPr/>
        <w:tc>
          <w:tcPr>
            <w:tcW w:w="327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7637/18</w:t>
            </w:r>
            <w:r>
              <w:rPr>
                <w:rtl w:val="true"/>
              </w:rPr>
              <w:t>:</w:t>
            </w:r>
          </w:p>
        </w:tc>
        <w:tc>
          <w:tcPr>
            <w:tcW w:w="50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מוסטפה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רומאן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72"/>
        <w:gridCol w:w="5091"/>
      </w:tblGrid>
      <w:tr>
        <w:trPr/>
        <w:tc>
          <w:tcPr>
            <w:tcW w:w="327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9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1"/>
        <w:gridCol w:w="5082"/>
      </w:tblGrid>
      <w:tr>
        <w:trPr/>
        <w:tc>
          <w:tcPr>
            <w:tcW w:w="328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08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ירושלים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69657-03-17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12.09.2018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כהן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לקח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79"/>
        <w:gridCol w:w="2374"/>
        <w:gridCol w:w="2710"/>
      </w:tblGrid>
      <w:tr>
        <w:trPr/>
        <w:tc>
          <w:tcPr>
            <w:tcW w:w="3279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7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23.01.2019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2"/>
        <w:gridCol w:w="5101"/>
      </w:tblGrid>
      <w:tr>
        <w:trPr/>
        <w:tc>
          <w:tcPr>
            <w:tcW w:w="326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7519/18</w:t>
            </w:r>
            <w:r>
              <w:rPr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אוסמה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חלבי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2"/>
        <w:gridCol w:w="5101"/>
      </w:tblGrid>
      <w:tr>
        <w:trPr/>
        <w:tc>
          <w:tcPr>
            <w:tcW w:w="326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7637/18</w:t>
            </w:r>
            <w:r>
              <w:rPr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2"/>
        <w:gridCol w:w="5071"/>
      </w:tblGrid>
      <w:tr>
        <w:trPr/>
        <w:tc>
          <w:tcPr>
            <w:tcW w:w="329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07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הדר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2"/>
        <w:gridCol w:w="5071"/>
      </w:tblGrid>
      <w:tr>
        <w:trPr/>
        <w:tc>
          <w:tcPr>
            <w:tcW w:w="329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07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נדחה ערעור על חומרת העונש שהושת על המערערים בגין עבירות שוד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סיוע לשוד והפקרה אחרי פגיעה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עמד על החומרה היתרה שבעבירת השוד שבגינה מדיניות הענישה הנוהגת ביחס לעבירות אלה כוללת עונשי מאסר בפועל משמעותיים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ופסק כי נסיבותיהם האישיות של המערערים נסוגות בפני חומרת מעשיהם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שוד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7519/18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אבו סנינה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הורשע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בעבירת שוד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7637/18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רומאן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הורשע בעבירות של סיוע לשוד והפקרה אחרי פגיעה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בגין הרשעתם בעבירות האמורות השית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המחוזי על אבו סנינה בסך הכול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שני מאסרים מותנים ופיצוי למתלונן בסך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4,000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על רומאן הושתו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שני מאסרים מותנים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פסילה בפועל מלקבל או להחזיק רישיון נהיגה למשך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שנים מיום שחרורו ממאסר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ופיצוי למתלונן על סך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4,000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כן הורה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על חילוט רכבו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הערעורים מופנים כלפי חומרת העונש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אלרון ובהסכמת השופטים סולברג וקרא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הערעורים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דרכה של ערכאת הערעור להתערב בעונש שנגזר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ידי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במקרים שבהם ניכר כי הוא חורג באופן קיצוני מהענישה המקובלת במקרים דומים אחרים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בנסיבות שבהן נפלה על פני הדברים טעות מהותית ובולטת בגזר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הפסיקה כבר עמדה על החומרה היתרה שבעבירת השוד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וזאת בפרט כאשר היא מתבצעת במרחב הציבורי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דבר אשר פוגע הן בתחושת הביטחון של הקרבן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והן בתחושת הביטחון הכללית של הציבור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ציפייתו הבסיסית היא כי יוכל להתנהל בביטחון וללא אימה ברחובה של עיר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בשל החומרה האמורה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מדיניות הענישה הנוהגת ביחס לעבירות אלה כוללת עונשי מאסר בפועל משמעותיים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גם במקרים שבהם העבירות מבוצעות באופן חד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פעמי וספונטאני ללא אלימות חמורה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ואף כאשר שירות המבחן ממליץ להימנע מעונש מאסר בפועל משיקולי שיקום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בהקשר זה כבר נפסק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אינו מחויב בהמלצת שירות המבחן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וכי המלצה זו היא רק אחד מהשיקולים המונחים בפני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בבואו לגזור את דינו של נאשם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חומרת עבירות השוד בשל פגיעתן בתחושת הביטחון של הפרט ניכרת אף 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המתלונן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כמו רבים אחרים בציבור הרחב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חָפַץ לחגוג את חג הפורים עד לשעת לילה מאוחרת מבלי שיאונה לו כל רע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אולם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מצא עצמו מותקף במפתיע על ידי המערערים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מיותר להכביר במילים על חומרת הפגיעה שנגרמה למתלונן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הן הפיזית והן הנפשית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כתוצאה ממעשיהם של המערערים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ההבחנה שערך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בין המערערים לעניין חלקם בביצוע המעשים מקובלת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וכנגזרת מכך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כל קושי בעונש החמור יותר שהוטל על אבו סנינה בנסיבות העניין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בטרם ההגעה להסדר טיעון נדרש המתלונן לחוות בשנית את ליל התרחשות האירועים האלימים כלפיו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משלא נחסכה עדותו בפני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עובדה זו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כשלעצמה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אינה פועלת כנסיבה לקולא שיש להתחשב בה בעת מתן גזר דינם של המערערים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לסיכום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נסיבותיהם האישיות של המערערים נסוגות בפני חומרת מעשיהם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ומשכך אין להתערב בעונשים שהושתו עליהם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הערעור המונח לפנינו מופנה כלפי חומרת העונש שהושת על המערערים בגזר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69657-03-17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12.09.2018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העובדות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לעניין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המערערים הורשעו על</w:t>
      </w:r>
      <w:r>
        <w:rPr>
          <w:rtl w:val="true"/>
        </w:rPr>
        <w:t>-</w:t>
      </w:r>
      <w:r>
        <w:rPr>
          <w:rtl w:val="true"/>
        </w:rPr>
        <w:t xml:space="preserve">פי הודאתם בעובדות כתב אישום מתוקן שגובש במסגרת הסדרי טיעון שכללו </w:t>
      </w:r>
      <w:r>
        <w:rPr>
          <w:rtl w:val="true"/>
        </w:rPr>
        <w:t>"</w:t>
      </w:r>
      <w:r>
        <w:rPr>
          <w:rtl w:val="true"/>
        </w:rPr>
        <w:t>הודאה וטיעון פתוח לעונש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כתב האישום המתוקן יוחסה למערער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7519/18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סנינה</w:t>
      </w:r>
      <w:r>
        <w:rPr>
          <w:rtl w:val="true"/>
        </w:rPr>
        <w:t xml:space="preserve">) </w:t>
      </w:r>
      <w:r>
        <w:rPr>
          <w:rtl w:val="true"/>
        </w:rPr>
        <w:t xml:space="preserve">עבירת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ואיל</w:t>
      </w:r>
      <w:r>
        <w:rPr>
          <w:rFonts w:ascii="Century" w:hAnsi="Century" w:cs="Century"/>
          <w:sz w:val="22"/>
          <w:sz w:val="22"/>
          <w:rtl w:val="true"/>
        </w:rPr>
        <w:t>ו למערער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7637/18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רומאן</w:t>
      </w:r>
      <w:r>
        <w:rPr>
          <w:rtl w:val="true"/>
        </w:rPr>
        <w:t xml:space="preserve">) </w:t>
      </w:r>
      <w:r>
        <w:rPr>
          <w:rtl w:val="true"/>
        </w:rPr>
        <w:t xml:space="preserve">יוחסו </w:t>
      </w:r>
      <w:r>
        <w:rPr>
          <w:rtl w:val="true"/>
        </w:rPr>
        <w:t>עביר</w:t>
      </w:r>
      <w:r>
        <w:rPr>
          <w:rtl w:val="true"/>
        </w:rPr>
        <w:t>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 </w:t>
      </w:r>
      <w:r>
        <w:rPr>
          <w:rtl w:val="true"/>
        </w:rPr>
        <w:t xml:space="preserve">אחרי </w:t>
      </w:r>
      <w:r>
        <w:rPr>
          <w:rtl w:val="true"/>
        </w:rPr>
        <w:t>פגיעה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בגין הרשעתם בעבירות האמורות השית בית המשפט על המערערים עונשים כדלקמן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</w:t>
      </w:r>
      <w:r>
        <w:rPr>
          <w:rFonts w:ascii="Century" w:hAnsi="Century" w:cs="Century"/>
          <w:sz w:val="22"/>
          <w:sz w:val="22"/>
          <w:rtl w:val="true"/>
        </w:rPr>
        <w:t xml:space="preserve">אבו סנינה </w:t>
      </w:r>
      <w:r>
        <w:rPr>
          <w:rtl w:val="true"/>
        </w:rPr>
        <w:t xml:space="preserve">נגזרו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 xml:space="preserve">באופן שחודש אחד מתוכו ירוצה בחופף לעונש מאסר בפועל בן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שהושת עליו בתיק אחר</w:t>
      </w:r>
      <w:r>
        <w:rPr>
          <w:rtl w:val="true"/>
        </w:rPr>
        <w:t xml:space="preserve">, </w:t>
      </w:r>
      <w:r>
        <w:rPr>
          <w:rtl w:val="true"/>
        </w:rPr>
        <w:t>והיתר יְרוצו במצטבר לו</w:t>
      </w:r>
      <w:r>
        <w:rPr>
          <w:rtl w:val="true"/>
        </w:rPr>
        <w:t xml:space="preserve">, </w:t>
      </w:r>
      <w:r>
        <w:rPr>
          <w:rtl w:val="true"/>
        </w:rPr>
        <w:t xml:space="preserve">כך שבסך הכול ירצה אבו סנינה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בנוסף הושתו על אבו סנינה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עבירת רכוש או אלימות מסוג עוון </w:t>
      </w:r>
      <w:r>
        <w:rPr>
          <w:rtl w:val="true"/>
        </w:rPr>
        <w:t>(</w:t>
      </w:r>
      <w:r>
        <w:rPr>
          <w:rtl w:val="true"/>
        </w:rPr>
        <w:t xml:space="preserve">למעט עבירות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ממועד שחרורו ממאסר</w:t>
      </w:r>
      <w:r>
        <w:rPr>
          <w:rtl w:val="true"/>
        </w:rPr>
        <w:t xml:space="preserve">;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עבירת רכוש או אלימות מסוג פשע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ממועד שחרורו ממאסר</w:t>
      </w:r>
      <w:r>
        <w:rPr>
          <w:rtl w:val="true"/>
        </w:rPr>
        <w:t xml:space="preserve">; </w:t>
      </w:r>
      <w:r>
        <w:rPr>
          <w:rtl w:val="true"/>
        </w:rPr>
        <w:t xml:space="preserve">וכן פיצוי למתלונן בסך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רומאן הושתו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עבירת רכוש</w:t>
      </w:r>
      <w:r>
        <w:rPr>
          <w:rtl w:val="true"/>
        </w:rPr>
        <w:t xml:space="preserve">, </w:t>
      </w:r>
      <w:r>
        <w:rPr>
          <w:rtl w:val="true"/>
        </w:rPr>
        <w:t xml:space="preserve">אלימות או הפקרה לאחר פגיעה מסוג עוון </w:t>
      </w:r>
      <w:r>
        <w:rPr>
          <w:rtl w:val="true"/>
        </w:rPr>
        <w:t>(</w:t>
      </w:r>
      <w:r>
        <w:rPr>
          <w:rtl w:val="true"/>
        </w:rPr>
        <w:t xml:space="preserve">למעט עבירות 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 </w:t>
      </w:r>
      <w:r>
        <w:rPr>
          <w:rtl w:val="true"/>
        </w:rPr>
        <w:t xml:space="preserve">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ממועד שחרורו ממאסר</w:t>
      </w:r>
      <w:r>
        <w:rPr>
          <w:rtl w:val="true"/>
        </w:rPr>
        <w:t xml:space="preserve">;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עבירת רכוש</w:t>
      </w:r>
      <w:r>
        <w:rPr>
          <w:rtl w:val="true"/>
        </w:rPr>
        <w:t xml:space="preserve">, </w:t>
      </w:r>
      <w:r>
        <w:rPr>
          <w:rtl w:val="true"/>
        </w:rPr>
        <w:t xml:space="preserve">אלימות או הפקרה לאחר פגיעה מסוג פשע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ממועד שחרורו ממאסר</w:t>
      </w:r>
      <w:r>
        <w:rPr>
          <w:rtl w:val="true"/>
        </w:rPr>
        <w:t xml:space="preserve">; </w:t>
      </w:r>
      <w:r>
        <w:rPr>
          <w:rtl w:val="true"/>
        </w:rPr>
        <w:t>פסילה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מלקבל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להחזיק</w:t>
      </w:r>
      <w:r>
        <w:rPr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>
          <w:rtl w:val="true"/>
        </w:rPr>
        <w:t>שחרור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למתלונן על סך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כן הורה בית המשפט על חילוט רכבו של רומאן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המתואר בכתבי האישום המתוקנים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10.3.2017</w:t>
      </w:r>
      <w:r>
        <w:rPr>
          <w:rtl w:val="true"/>
        </w:rPr>
        <w:t xml:space="preserve"> </w:t>
      </w:r>
      <w:r>
        <w:rPr>
          <w:rtl w:val="true"/>
        </w:rPr>
        <w:t>שהה המתלונן בחניון בירושלים בשעת לילה מאוחרת כשהוא מחוּפשֹ לאישה לרגל חג הפורים</w:t>
      </w:r>
      <w:r>
        <w:rPr>
          <w:rtl w:val="true"/>
        </w:rPr>
        <w:t xml:space="preserve">. </w:t>
      </w:r>
      <w:r>
        <w:rPr>
          <w:rtl w:val="true"/>
        </w:rPr>
        <w:t>המערערים נכנסו לרכבו של רומאן שחנה במקום</w:t>
      </w:r>
      <w:r>
        <w:rPr>
          <w:rtl w:val="true"/>
        </w:rPr>
        <w:t xml:space="preserve">, </w:t>
      </w:r>
      <w:r>
        <w:rPr>
          <w:rtl w:val="true"/>
        </w:rPr>
        <w:t>ומשהבחינו במתלונן</w:t>
      </w:r>
      <w:r>
        <w:rPr>
          <w:rtl w:val="true"/>
        </w:rPr>
        <w:t xml:space="preserve">, </w:t>
      </w:r>
      <w:r>
        <w:rPr>
          <w:rtl w:val="true"/>
        </w:rPr>
        <w:t>נעו לכיוונו עם הרכב וביקשו שיצטרף אליהם</w:t>
      </w:r>
      <w:r>
        <w:rPr>
          <w:rtl w:val="true"/>
        </w:rPr>
        <w:t xml:space="preserve">. </w:t>
      </w:r>
      <w:r>
        <w:rPr>
          <w:rtl w:val="true"/>
        </w:rPr>
        <w:t>משסירב</w:t>
      </w:r>
      <w:r>
        <w:rPr>
          <w:rtl w:val="true"/>
        </w:rPr>
        <w:t xml:space="preserve">, </w:t>
      </w:r>
      <w:r>
        <w:rPr>
          <w:rtl w:val="true"/>
        </w:rPr>
        <w:t>קירב אליו רומאן את רכבו</w:t>
      </w:r>
      <w:r>
        <w:rPr>
          <w:rtl w:val="true"/>
        </w:rPr>
        <w:t xml:space="preserve">, </w:t>
      </w:r>
      <w:r>
        <w:rPr>
          <w:rtl w:val="true"/>
        </w:rPr>
        <w:t>ואבו סנינה</w:t>
      </w:r>
      <w:r>
        <w:rPr>
          <w:rtl w:val="true"/>
        </w:rPr>
        <w:t xml:space="preserve">, </w:t>
      </w:r>
      <w:r>
        <w:rPr>
          <w:rtl w:val="true"/>
        </w:rPr>
        <w:t>שישב במושב הרכב הקדמי לידו</w:t>
      </w:r>
      <w:r>
        <w:rPr>
          <w:rtl w:val="true"/>
        </w:rPr>
        <w:t xml:space="preserve">, </w:t>
      </w:r>
      <w:r>
        <w:rPr>
          <w:rtl w:val="true"/>
        </w:rPr>
        <w:t>הושיט את ידו אל מחוץ לחלון וניסה ליטול מידיו את ארנקו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רומאן האיץ את רכבו ונסע במהירות מחוץ לחניון</w:t>
      </w:r>
      <w:r>
        <w:rPr>
          <w:rtl w:val="true"/>
        </w:rPr>
        <w:t xml:space="preserve">, </w:t>
      </w:r>
      <w:r>
        <w:rPr>
          <w:rtl w:val="true"/>
        </w:rPr>
        <w:t>באופן שגרם למתלונן להיתלות על החלון הקדמי של הרכב כך שפלג גופו העליון בתוך הרכב ופלג גופו התחתון מחוצה לו</w:t>
      </w:r>
      <w:r>
        <w:rPr>
          <w:rtl w:val="true"/>
        </w:rPr>
        <w:t xml:space="preserve">. </w:t>
      </w:r>
      <w:r>
        <w:rPr>
          <w:rtl w:val="true"/>
        </w:rPr>
        <w:t>במהלך הנסיעה</w:t>
      </w:r>
      <w:r>
        <w:rPr>
          <w:rtl w:val="true"/>
        </w:rPr>
        <w:t xml:space="preserve">, </w:t>
      </w:r>
      <w:r>
        <w:rPr>
          <w:rtl w:val="true"/>
        </w:rPr>
        <w:t>ובעוד המתלונן תלוי בין שמיים לארץ</w:t>
      </w:r>
      <w:r>
        <w:rPr>
          <w:rtl w:val="true"/>
        </w:rPr>
        <w:t xml:space="preserve">, </w:t>
      </w:r>
      <w:r>
        <w:rPr>
          <w:rtl w:val="true"/>
        </w:rPr>
        <w:t>הכה אותו אבו סנינה בראשו באגרופים בכדי ליטול ממנו את ארנקו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נפל המתלונן על הכביש</w:t>
      </w:r>
      <w:r>
        <w:rPr>
          <w:rtl w:val="true"/>
        </w:rPr>
        <w:t xml:space="preserve">, </w:t>
      </w:r>
      <w:r>
        <w:rPr>
          <w:rtl w:val="true"/>
        </w:rPr>
        <w:t>במרחק של למעלה מ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מטרים מהחניון</w:t>
      </w:r>
      <w:r>
        <w:rPr>
          <w:rtl w:val="true"/>
        </w:rPr>
        <w:t xml:space="preserve">, </w:t>
      </w:r>
      <w:r>
        <w:rPr>
          <w:rtl w:val="true"/>
        </w:rPr>
        <w:t>ואילו ארנקו</w:t>
      </w:r>
      <w:r>
        <w:rPr>
          <w:rtl w:val="true"/>
        </w:rPr>
        <w:t xml:space="preserve">, </w:t>
      </w:r>
      <w:r>
        <w:rPr>
          <w:rtl w:val="true"/>
        </w:rPr>
        <w:t>אשר הכיל טלפון סלולארי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במזומן</w:t>
      </w:r>
      <w:r>
        <w:rPr>
          <w:rtl w:val="true"/>
        </w:rPr>
        <w:t xml:space="preserve">, </w:t>
      </w:r>
      <w:r>
        <w:rPr>
          <w:rtl w:val="true"/>
        </w:rPr>
        <w:t>כרטיסי אשראי</w:t>
      </w:r>
      <w:r>
        <w:rPr>
          <w:rtl w:val="true"/>
        </w:rPr>
        <w:t xml:space="preserve">, </w:t>
      </w:r>
      <w:r>
        <w:rPr>
          <w:rtl w:val="true"/>
        </w:rPr>
        <w:t>תעודת זהות ואת מפתחות ביתו</w:t>
      </w:r>
      <w:r>
        <w:rPr>
          <w:rtl w:val="true"/>
        </w:rPr>
        <w:t xml:space="preserve">, </w:t>
      </w:r>
      <w:r>
        <w:rPr>
          <w:rtl w:val="true"/>
        </w:rPr>
        <w:t xml:space="preserve">נותר בידי </w:t>
      </w:r>
      <w:r>
        <w:rPr>
          <w:rFonts w:ascii="Century" w:hAnsi="Century" w:cs="Century"/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המערערים נמלטו תוך שהותירו את המתלונן במקום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 מעשי האלימות נזקק המתלונן לתפרים בסנטרו וסבל מסימני חבלה על החזה הקדמי</w:t>
      </w:r>
      <w:r>
        <w:rPr>
          <w:rtl w:val="true"/>
        </w:rPr>
        <w:t xml:space="preserve">, </w:t>
      </w:r>
      <w:r>
        <w:rPr>
          <w:rtl w:val="true"/>
        </w:rPr>
        <w:t>שפשופי עור על מותן ימין ובשני הקרסוליים</w:t>
      </w:r>
      <w:r>
        <w:rPr>
          <w:rtl w:val="true"/>
        </w:rPr>
        <w:t xml:space="preserve">, </w:t>
      </w:r>
      <w:r>
        <w:rPr>
          <w:rtl w:val="true"/>
        </w:rPr>
        <w:t>וכן תנועה מוגבלת ברגליים עקב כאבים אשר בעטיים נאלץ להיעזר בקביים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קמא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עובר לגזר הדין</w:t>
      </w:r>
      <w:r>
        <w:rPr>
          <w:rtl w:val="true"/>
        </w:rPr>
        <w:t xml:space="preserve">, </w:t>
      </w:r>
      <w:r>
        <w:rPr>
          <w:rtl w:val="true"/>
        </w:rPr>
        <w:t>הוגשו ל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תסקירי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בתסקיר שירות המבחן צוין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סנינה</w:t>
      </w:r>
      <w:r>
        <w:rPr>
          <w:rtl w:val="true"/>
        </w:rPr>
        <w:t xml:space="preserve"> הביע צער על הפגיעה שהסב למתלונן ואת רצונו לפצותו על כך</w:t>
      </w:r>
      <w:r>
        <w:rPr>
          <w:rtl w:val="true"/>
        </w:rPr>
        <w:t xml:space="preserve">, </w:t>
      </w:r>
      <w:r>
        <w:rPr>
          <w:rtl w:val="true"/>
        </w:rPr>
        <w:t>אך הטיל את עיקר האחריות למעשים המתוארים בכתב האישום על רומאן</w:t>
      </w:r>
      <w:r>
        <w:rPr>
          <w:rtl w:val="true"/>
        </w:rPr>
        <w:t xml:space="preserve">, </w:t>
      </w:r>
      <w:r>
        <w:rPr>
          <w:rtl w:val="true"/>
        </w:rPr>
        <w:t>תוך שטען כי הוא שיזם את ביצוע השוד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התרשם כי אבו סנינה </w:t>
      </w:r>
      <w:r>
        <w:rPr>
          <w:rtl w:val="true"/>
        </w:rPr>
        <w:t>"</w:t>
      </w:r>
      <w:r>
        <w:rPr>
          <w:rtl w:val="true"/>
        </w:rPr>
        <w:t xml:space="preserve">מוצא </w:t>
      </w:r>
      <w:r>
        <w:rPr>
          <w:rtl w:val="true"/>
        </w:rPr>
        <w:t xml:space="preserve">[...] </w:t>
      </w:r>
      <w:r>
        <w:rPr>
          <w:rtl w:val="true"/>
        </w:rPr>
        <w:t xml:space="preserve">ריגוש דרך </w:t>
      </w:r>
      <w:r>
        <w:rPr>
          <w:rtl w:val="true"/>
        </w:rPr>
        <w:t xml:space="preserve">[...] </w:t>
      </w:r>
      <w:r>
        <w:rPr>
          <w:rtl w:val="true"/>
        </w:rPr>
        <w:t>שימוש בסמים</w:t>
      </w:r>
      <w:r>
        <w:rPr>
          <w:rtl w:val="true"/>
        </w:rPr>
        <w:t xml:space="preserve">, </w:t>
      </w:r>
      <w:r>
        <w:rPr>
          <w:rtl w:val="true"/>
        </w:rPr>
        <w:t>אשר מערערים את יכולתו להפעיל שיקול דעת ביחס למעשיו ולגלות אמפתיה כלפי הזולת</w:t>
      </w:r>
      <w:r>
        <w:rPr>
          <w:rtl w:val="true"/>
        </w:rPr>
        <w:t xml:space="preserve">", </w:t>
      </w:r>
      <w:r>
        <w:rPr>
          <w:rtl w:val="true"/>
        </w:rPr>
        <w:t>וכי במצבים שבהם הלה נוקט באלימות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tl w:val="true"/>
        </w:rPr>
        <w:t>"</w:t>
      </w:r>
      <w:r>
        <w:rPr>
          <w:rtl w:val="true"/>
        </w:rPr>
        <w:t>מתקשה לווסת ולמתן את התנהגותו האלימה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 המבחן העריך כי קיים סיכון להישנות התנהגות עבריינית</w:t>
      </w:r>
      <w:r>
        <w:rPr>
          <w:rtl w:val="true"/>
        </w:rPr>
        <w:t xml:space="preserve">, </w:t>
      </w:r>
      <w:r>
        <w:rPr>
          <w:rtl w:val="true"/>
        </w:rPr>
        <w:t>אולם אם ישולב במסגרת טיפולית אינטנסיבית וממושכת</w:t>
      </w:r>
      <w:r>
        <w:rPr>
          <w:rtl w:val="true"/>
        </w:rPr>
        <w:t xml:space="preserve">, </w:t>
      </w:r>
      <w:r>
        <w:rPr>
          <w:rtl w:val="true"/>
        </w:rPr>
        <w:t>הסיכון לכך יפחת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גילו הצעיר יחסית של אבו סנינה ובשים לב לפרק הזמן שבו עמד בתנאים מגבילים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להעמידו בצו</w:t>
      </w:r>
      <w:r>
        <w:rPr>
          <w:rtl w:val="true"/>
        </w:rPr>
        <w:t>-</w:t>
      </w:r>
      <w:r>
        <w:rPr>
          <w:rtl w:val="true"/>
        </w:rPr>
        <w:t xml:space="preserve">מבחן למשך שנה וחצי ולהטיל עליו עונש </w:t>
      </w:r>
      <w:r>
        <w:rPr>
          <w:rtl w:val="true"/>
        </w:rPr>
        <w:t>"</w:t>
      </w:r>
      <w:r>
        <w:rPr>
          <w:rtl w:val="true"/>
        </w:rPr>
        <w:t>מוחשי של מאסר בעבודות שירות</w:t>
      </w:r>
      <w:r>
        <w:rPr>
          <w:rtl w:val="true"/>
        </w:rPr>
        <w:t xml:space="preserve">", </w:t>
      </w:r>
      <w:r>
        <w:rPr>
          <w:rtl w:val="true"/>
        </w:rPr>
        <w:t>לצד מאסר מותנה</w:t>
      </w:r>
      <w:r>
        <w:rPr>
          <w:rtl w:val="true"/>
        </w:rPr>
        <w:t xml:space="preserve">, </w:t>
      </w:r>
      <w:r>
        <w:rPr>
          <w:rtl w:val="true"/>
        </w:rPr>
        <w:t>ופיצוי כספי למתלונן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</w:rPr>
      </w:pPr>
      <w:r>
        <w:rPr>
          <w:rtl w:val="true"/>
        </w:rPr>
        <w:tab/>
      </w:r>
      <w:r>
        <w:rPr>
          <w:rtl w:val="true"/>
        </w:rPr>
        <w:t>באשר ל</w:t>
      </w:r>
      <w:r>
        <w:rPr>
          <w:rFonts w:cs="Miriam"/>
          <w:b/>
          <w:b/>
          <w:spacing w:val="0"/>
          <w:szCs w:val="24"/>
          <w:rtl w:val="true"/>
        </w:rPr>
        <w:t>רומאן</w:t>
      </w:r>
      <w:r>
        <w:rPr>
          <w:rtl w:val="true"/>
        </w:rPr>
        <w:t>,</w:t>
      </w:r>
      <w:r>
        <w:rPr>
          <w:rFonts w:cs="Arial TUR" w:ascii="Arial TUR" w:hAnsi="Arial TUR"/>
          <w:rtl w:val="true"/>
        </w:rPr>
        <w:t xml:space="preserve"> </w:t>
      </w:r>
      <w:r>
        <w:rPr>
          <w:rFonts w:ascii="Arial TUR" w:hAnsi="Arial TUR" w:cs="Arial TUR"/>
          <w:rtl w:val="true"/>
        </w:rPr>
        <w:t>שירות המבחן</w:t>
      </w:r>
      <w:r>
        <w:rPr>
          <w:rtl w:val="true"/>
        </w:rPr>
        <w:t xml:space="preserve"> התרשם כי הלה נטל אחריות חלקית על מעשיו תוך שהביע </w:t>
      </w:r>
      <w:r>
        <w:rPr>
          <w:rtl w:val="true"/>
        </w:rPr>
        <w:t>"</w:t>
      </w:r>
      <w:r>
        <w:rPr>
          <w:rtl w:val="true"/>
        </w:rPr>
        <w:t>צער מילולי</w:t>
      </w:r>
      <w:r>
        <w:rPr>
          <w:rtl w:val="true"/>
        </w:rPr>
        <w:t xml:space="preserve">" </w:t>
      </w:r>
      <w:r>
        <w:rPr>
          <w:rtl w:val="true"/>
        </w:rPr>
        <w:t>וחרטה על הפגיעה במתלונן ועל הימלטותו מהמקום</w:t>
      </w:r>
      <w:r>
        <w:rPr>
          <w:rtl w:val="true"/>
        </w:rPr>
        <w:t xml:space="preserve">, </w:t>
      </w:r>
      <w:r>
        <w:rPr>
          <w:rtl w:val="true"/>
        </w:rPr>
        <w:t xml:space="preserve">אך מתקשה </w:t>
      </w:r>
      <w:r>
        <w:rPr>
          <w:rtl w:val="true"/>
        </w:rPr>
        <w:t>"</w:t>
      </w:r>
      <w:r>
        <w:rPr>
          <w:rtl w:val="true"/>
        </w:rPr>
        <w:t>לגלות אמפתיה כלפי המתלונן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נוטה לטשטש</w:t>
      </w:r>
      <w:r>
        <w:rPr>
          <w:rtl w:val="true"/>
        </w:rPr>
        <w:t xml:space="preserve">" </w:t>
      </w:r>
      <w:r>
        <w:rPr>
          <w:rtl w:val="true"/>
        </w:rPr>
        <w:t>את חומרת המעשים המיוחסים לו</w:t>
      </w:r>
      <w:r>
        <w:rPr>
          <w:rtl w:val="true"/>
        </w:rPr>
        <w:t xml:space="preserve">. </w:t>
      </w:r>
      <w:r>
        <w:rPr>
          <w:rtl w:val="true"/>
        </w:rPr>
        <w:t>בהקשר זה צוין כי לטענת רומאן</w:t>
      </w:r>
      <w:r>
        <w:rPr>
          <w:rtl w:val="true"/>
        </w:rPr>
        <w:t xml:space="preserve">, </w:t>
      </w:r>
      <w:r>
        <w:rPr>
          <w:rtl w:val="true"/>
        </w:rPr>
        <w:t xml:space="preserve">לא היה מודע לכוונותיו של אבו סנינה לביצוע השוד ולא היה שותף לתכנונו </w:t>
      </w:r>
      <w:r>
        <w:rPr>
          <w:rtl w:val="true"/>
        </w:rPr>
        <w:t>–</w:t>
      </w:r>
      <w:r>
        <w:rPr>
          <w:rtl w:val="true"/>
        </w:rPr>
        <w:t xml:space="preserve"> וכי נמלט מאחר ש</w:t>
      </w:r>
      <w:r>
        <w:rPr>
          <w:rtl w:val="true"/>
        </w:rPr>
        <w:t>"</w:t>
      </w:r>
      <w:r>
        <w:rPr>
          <w:rtl w:val="true"/>
        </w:rPr>
        <w:t>נלחץ מן האירוע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עוד הוערך בתסקיר כי קיימים מספר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גורמי סיכוי לשיקומו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רומאן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ובכללם היעדרו של רישום פלילי לחובתו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העובדה כי הוא מגלה יציבות תעסוקתית תוך שתומך כלכלית באימו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מעצרו וההליך המשפטי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מהווים עבורו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גורם מרתיע ומציב גבולות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המליץ שירות המבחן להשית על רומאן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עונש מוחשי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חינוכי לצד עונש הרתעתי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ולבחון את התאמתו לביצוע עונש מאסר בעבודות שירות לצד עונש מאסר על תנאי ופסיקת פיצויים לטובת המתלונן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בגזר דינו עמד בית משפט קמא על הפגיעה שגרמו המערערים במעשיהם לערכים החברתיים של הגנה על </w:t>
      </w:r>
      <w:r>
        <w:rPr>
          <w:rtl w:val="true"/>
        </w:rPr>
        <w:t>תחושת</w:t>
      </w:r>
      <w:r>
        <w:rPr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 </w:t>
      </w:r>
      <w:r>
        <w:rPr>
          <w:rtl w:val="true"/>
        </w:rPr>
        <w:t>האישית של האזרח</w:t>
      </w:r>
      <w:r>
        <w:rPr>
          <w:rtl w:val="true"/>
        </w:rPr>
        <w:t xml:space="preserve">, </w:t>
      </w:r>
      <w:r>
        <w:rPr>
          <w:rtl w:val="true"/>
        </w:rPr>
        <w:t>שלמות גופו ונפשו</w:t>
      </w:r>
      <w:r>
        <w:rPr>
          <w:rtl w:val="true"/>
        </w:rPr>
        <w:t xml:space="preserve">, </w:t>
      </w:r>
      <w:r>
        <w:rPr>
          <w:rtl w:val="true"/>
        </w:rPr>
        <w:t>ואף ציין את הפקרת המתלונן בכביש לאחר הפגיעה בו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משפט קמא כי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tl w:val="true"/>
        </w:rPr>
        <w:t xml:space="preserve"> באירוע</w:t>
      </w:r>
      <w:r>
        <w:rPr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פרי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 </w:t>
      </w:r>
      <w:r>
        <w:rPr>
          <w:rtl w:val="true"/>
        </w:rPr>
        <w:t>שהתגבשה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", </w:t>
      </w:r>
      <w:r>
        <w:rPr>
          <w:rtl w:val="true"/>
        </w:rPr>
        <w:t>באופן המפחית מחומרתו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צוין כי יש לקבוע מתחם ענישה חמור מהרגיל בעניינם של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וזאת בשל תקיפת המתלונן במצב פגיע בהיותו מחוּפשֹ לאישה בנעלי עקב שהקשו על הליכתו </w:t>
      </w:r>
      <w:r>
        <w:rPr>
          <w:rtl w:val="true"/>
        </w:rPr>
        <w:t>"</w:t>
      </w:r>
      <w:r>
        <w:rPr>
          <w:rtl w:val="true"/>
        </w:rPr>
        <w:t>באופן שהיה עלול לטעת רושם לכאורי לפיו מדובר בקורבן קל</w:t>
      </w:r>
      <w:r>
        <w:rPr>
          <w:rtl w:val="true"/>
        </w:rPr>
        <w:t>-</w:t>
      </w:r>
      <w:r>
        <w:rPr>
          <w:rtl w:val="true"/>
        </w:rPr>
        <w:t>לפגיעה</w:t>
      </w:r>
      <w:r>
        <w:rPr>
          <w:rtl w:val="true"/>
        </w:rPr>
        <w:t xml:space="preserve">"; </w:t>
      </w:r>
      <w:r>
        <w:rPr>
          <w:rtl w:val="true"/>
        </w:rPr>
        <w:t>בשים לב לנזק שנגרם לו כתוצאה מהמעשים</w:t>
      </w:r>
      <w:r>
        <w:rPr>
          <w:rtl w:val="true"/>
        </w:rPr>
        <w:t xml:space="preserve">; </w:t>
      </w:r>
      <w:r>
        <w:rPr>
          <w:rtl w:val="true"/>
        </w:rPr>
        <w:t>ולנוכח העובדה שהרכוש שנגנב ממנו לא הושב לידיו עד למועד גזר הדין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חלקו היחסי של כל אחד מהמערערים בביצוע העבירות</w:t>
      </w:r>
      <w:r>
        <w:rPr>
          <w:rtl w:val="true"/>
        </w:rPr>
        <w:t xml:space="preserve">, </w:t>
      </w:r>
      <w:r>
        <w:rPr>
          <w:rtl w:val="true"/>
        </w:rPr>
        <w:t>קבע בית משפט קמא כי חלקו של אבו סנינה משמעותי מזה של רומאן</w:t>
      </w:r>
      <w:r>
        <w:rPr>
          <w:rtl w:val="true"/>
        </w:rPr>
        <w:t xml:space="preserve">, </w:t>
      </w:r>
      <w:r>
        <w:rPr>
          <w:rtl w:val="true"/>
        </w:rPr>
        <w:t>וזאת מתוקף היותו המבצע העיקרי של עבירת השוד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שיקולים אלו ולנוכח מדיניות הענישה הנוהגת ביחס לעבירות שבהן הורשעו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מתחם העונש ההולם את מעשיו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סנינה</w:t>
      </w:r>
      <w:r>
        <w:rPr>
          <w:rFonts w:ascii="Century" w:hAnsi="Century" w:cs="Century"/>
          <w:rtl w:val="true"/>
        </w:rPr>
        <w:t xml:space="preserve"> נע בין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בעניינו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רומאן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 מתחם ענישה כולל אשר נע בין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גזירת עונשם של המערערים בתוך המתחם סקר בית משפט קמא את מכלול השיקולים הרלוונטיים</w:t>
      </w:r>
      <w:r>
        <w:rPr>
          <w:rtl w:val="true"/>
        </w:rPr>
        <w:t xml:space="preserve">, </w:t>
      </w:r>
      <w:r>
        <w:rPr>
          <w:rtl w:val="true"/>
        </w:rPr>
        <w:t>לרבות נסיבותיהם האישיות</w:t>
      </w:r>
      <w:r>
        <w:rPr>
          <w:rtl w:val="true"/>
        </w:rPr>
        <w:t xml:space="preserve">, </w:t>
      </w:r>
      <w:r>
        <w:rPr>
          <w:rtl w:val="true"/>
        </w:rPr>
        <w:t>כפי שבאו לידי ביטוי בהרחבה בתסקירי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והשית עליהם את העונשים המפורטים בפסקה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המערערים טוענים בערעוריהם כי מתחמי הענישה שנקבעו בעניינם מחמירים יתר על המידה ביחס למדיניות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וכי ממילא היה מקום לחרוג מהם לקולא לנוכח נסיבותיהם האישיות והודאתם בעובדות כתבי האישום המתוקנים</w:t>
      </w:r>
      <w:r>
        <w:rPr>
          <w:rtl w:val="true"/>
        </w:rPr>
        <w:t xml:space="preserve">. </w:t>
      </w:r>
      <w:r>
        <w:rPr>
          <w:rtl w:val="true"/>
        </w:rPr>
        <w:t>כמו כן טוענים המערערים כי שגה בית משפט קמא כאשר סטה לחומרא מהמלצת שירות המבחן</w:t>
      </w:r>
      <w:r>
        <w:rPr>
          <w:rtl w:val="true"/>
        </w:rPr>
        <w:t xml:space="preserve">, </w:t>
      </w:r>
      <w:r>
        <w:rPr>
          <w:rtl w:val="true"/>
        </w:rPr>
        <w:t>והשית עליהם עונשי מאסר בפועל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אבו סנינה טען בפנינו כי מעשיו</w:t>
      </w:r>
      <w:r>
        <w:rPr>
          <w:rtl w:val="true"/>
        </w:rPr>
        <w:t xml:space="preserve">, </w:t>
      </w:r>
      <w:r>
        <w:rPr>
          <w:rtl w:val="true"/>
        </w:rPr>
        <w:t>כמו גם העבירות האחרות שאותן ביצע בעבר</w:t>
      </w:r>
      <w:r>
        <w:rPr>
          <w:rtl w:val="true"/>
        </w:rPr>
        <w:t xml:space="preserve">, </w:t>
      </w:r>
      <w:r>
        <w:rPr>
          <w:rtl w:val="true"/>
        </w:rPr>
        <w:t xml:space="preserve">בוצעו במהלך תקופת משבר קצרה שבה השתמש בסמים </w:t>
      </w:r>
      <w:r>
        <w:rPr>
          <w:rtl w:val="true"/>
        </w:rPr>
        <w:t>–</w:t>
      </w:r>
      <w:r>
        <w:rPr>
          <w:rtl w:val="true"/>
        </w:rPr>
        <w:t xml:space="preserve"> אשר ממנה השתקם</w:t>
      </w:r>
      <w:r>
        <w:rPr>
          <w:rtl w:val="true"/>
        </w:rPr>
        <w:t xml:space="preserve">, </w:t>
      </w:r>
      <w:r>
        <w:rPr>
          <w:rtl w:val="true"/>
        </w:rPr>
        <w:t>והוסיף כי האינטרס לשקמו מצדיק הטלת עונש שניתן לרצותו בדרך של עבודות שירות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רומאן טען כי אין לייחס לו חלק משמעותי בביצוע השוד</w:t>
      </w:r>
      <w:r>
        <w:rPr>
          <w:rtl w:val="true"/>
        </w:rPr>
        <w:t xml:space="preserve">, </w:t>
      </w:r>
      <w:r>
        <w:rPr>
          <w:rtl w:val="true"/>
        </w:rPr>
        <w:t>וכי היה מקום להקל בעונשו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לנוכח חילוט רכבו ושלילת רישיונו לתקופה ממושכת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סמכה את ידיה על גזר דינו של בית משפט קמא והדגישה את חומרת מעשיהם של המערערים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נטען כי עונשו של רומאן משקף כראוי את חלקו המשמעותי בשוד</w:t>
      </w:r>
      <w:r>
        <w:rPr>
          <w:rtl w:val="true"/>
        </w:rPr>
        <w:t xml:space="preserve">, </w:t>
      </w:r>
      <w:r>
        <w:rPr>
          <w:rtl w:val="true"/>
        </w:rPr>
        <w:t>לאחר שקירב את רכבו למתלונן באופן שאיפשר לאבו סנינה לאחוז בארנקו של המתלונן</w:t>
      </w:r>
      <w:r>
        <w:rPr>
          <w:rtl w:val="true"/>
        </w:rPr>
        <w:t xml:space="preserve">; </w:t>
      </w:r>
      <w:r>
        <w:rPr>
          <w:rtl w:val="true"/>
        </w:rPr>
        <w:t>סייע להימלטותו מהזירה</w:t>
      </w:r>
      <w:r>
        <w:rPr>
          <w:rtl w:val="true"/>
        </w:rPr>
        <w:t xml:space="preserve">; </w:t>
      </w:r>
      <w:r>
        <w:rPr>
          <w:rtl w:val="true"/>
        </w:rPr>
        <w:t>והפקיר את המתלונן במקום כשהוא חבול ומוכה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לטענות המערערים כי יש להקל בעונשם בכדי לאפשר את שיקומם</w:t>
      </w:r>
      <w:r>
        <w:rPr>
          <w:rtl w:val="true"/>
        </w:rPr>
        <w:t xml:space="preserve">, </w:t>
      </w:r>
      <w:r>
        <w:rPr>
          <w:rtl w:val="true"/>
        </w:rPr>
        <w:t>טענה באת</w:t>
      </w:r>
      <w:r>
        <w:rPr>
          <w:rtl w:val="true"/>
        </w:rPr>
        <w:t>-</w:t>
      </w:r>
      <w:r>
        <w:rPr>
          <w:rtl w:val="true"/>
        </w:rPr>
        <w:t>כוח המשיבה כי מתסקירי שירות המבחן בעניינם עולה כי השניים לא נטלו אחריות מלאה על מעשיהם</w:t>
      </w:r>
      <w:r>
        <w:rPr>
          <w:rtl w:val="true"/>
        </w:rPr>
        <w:t xml:space="preserve">, </w:t>
      </w:r>
      <w:r>
        <w:rPr>
          <w:rtl w:val="true"/>
        </w:rPr>
        <w:t>והדגישה את עברו הפלילי המכביד של אבו סנינה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תסקירי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המשלימים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עובר לדיון שהתקיים בפנינו</w:t>
      </w:r>
      <w:r>
        <w:rPr>
          <w:rtl w:val="true"/>
        </w:rPr>
        <w:t xml:space="preserve">, </w:t>
      </w:r>
      <w:r>
        <w:rPr>
          <w:rtl w:val="true"/>
        </w:rPr>
        <w:t>הגיש שירות המבחן תסקירים משלימים בעניינם של המערערים בהם נסקרו מכלול נסיבותיהם האישיות והמשפחתיות</w:t>
      </w:r>
      <w:r>
        <w:rPr>
          <w:rtl w:val="true"/>
        </w:rPr>
        <w:t xml:space="preserve">, </w:t>
      </w:r>
      <w:r>
        <w:rPr>
          <w:rtl w:val="true"/>
        </w:rPr>
        <w:t>כפי שאף עלו בתסקירים הקודמים שהוגשו בעניינם</w:t>
      </w:r>
      <w:r>
        <w:rPr>
          <w:rtl w:val="true"/>
        </w:rPr>
        <w:t xml:space="preserve">, </w:t>
      </w:r>
      <w:r>
        <w:rPr>
          <w:rtl w:val="true"/>
        </w:rPr>
        <w:t>תוך ציון הקורות אותם מאז מתן גזר הדין בעניינם ועד עתה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 המשלים בעניינו של אבו סנינה צוין כי הלה משתתף בתכנית טיפולית לגמילה מסמים</w:t>
      </w:r>
      <w:r>
        <w:rPr>
          <w:rtl w:val="true"/>
        </w:rPr>
        <w:t xml:space="preserve">, </w:t>
      </w:r>
      <w:r>
        <w:rPr>
          <w:rtl w:val="true"/>
        </w:rPr>
        <w:t>וכי במהלך התקופה הרלוונטית לתסקיר לא נפתחו נגדו תיקים פליליים חדשים</w:t>
      </w:r>
      <w:r>
        <w:rPr>
          <w:rtl w:val="true"/>
        </w:rPr>
        <w:t xml:space="preserve">. </w:t>
      </w:r>
      <w:r>
        <w:rPr>
          <w:rtl w:val="true"/>
        </w:rPr>
        <w:t xml:space="preserve">בנוסף צוין כי אבו סנינה מעוניין להשתלב בהליך </w:t>
      </w:r>
      <w:r>
        <w:rPr>
          <w:rtl w:val="true"/>
        </w:rPr>
        <w:t>"</w:t>
      </w:r>
      <w:r>
        <w:rPr>
          <w:rtl w:val="true"/>
        </w:rPr>
        <w:t>צדק מאחה</w:t>
      </w:r>
      <w:r>
        <w:rPr>
          <w:rtl w:val="true"/>
        </w:rPr>
        <w:t xml:space="preserve">" </w:t>
      </w:r>
      <w:r>
        <w:rPr>
          <w:rtl w:val="true"/>
        </w:rPr>
        <w:t>שבמסגרתו תיבחן האפשרות לעריכת מפגשי גישור בינו לבין המתלונן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 המשלים בעניינו של רומאן נכתב כי הלה שב והביע חרטה וצער על מעשיו ועל הפגיעה שגרם למתלונן</w:t>
      </w:r>
      <w:r>
        <w:rPr>
          <w:rtl w:val="true"/>
        </w:rPr>
        <w:t xml:space="preserve">, </w:t>
      </w:r>
      <w:r>
        <w:rPr>
          <w:rtl w:val="true"/>
        </w:rPr>
        <w:t>אך יחד עם זאת</w:t>
      </w:r>
      <w:r>
        <w:rPr>
          <w:rtl w:val="true"/>
        </w:rPr>
        <w:t xml:space="preserve">, </w:t>
      </w:r>
      <w:r>
        <w:rPr>
          <w:rtl w:val="true"/>
        </w:rPr>
        <w:t>הוא חווה את העונש שהושת עליו כחמור בשים לב לחלקו היחסי במעשים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דין הערעורים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דרכה של ערכאת הערעור להתערב בעונש שנגזר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שבהם ניכר כי הוא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Fonts w:cs="Times New Roman;Times New Roman" w:ascii="Times New Roman;Times New Roman" w:hAnsi="Times New Roman;Times New Roman"/>
          <w:rtl w:val="true"/>
        </w:rPr>
        <w:t>‏</w:t>
      </w:r>
      <w:r>
        <w:rPr/>
        <w:t>30.11.2017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Fonts w:cs="Century" w:ascii="Century" w:hAnsi="Century"/>
          <w:sz w:val="22"/>
        </w:rPr>
        <w:t>17.1.2018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משפט זה עמד לא אחת על החומרה היתרה שבעבירת השוד</w:t>
      </w:r>
      <w:r>
        <w:rPr>
          <w:rtl w:val="true"/>
        </w:rPr>
        <w:t xml:space="preserve">, </w:t>
      </w:r>
      <w:r>
        <w:rPr>
          <w:rtl w:val="true"/>
        </w:rPr>
        <w:t>וזאת בפרט כאשר היא מתבצעת במרחב הציבורי</w:t>
      </w:r>
      <w:r>
        <w:rPr>
          <w:rtl w:val="true"/>
        </w:rPr>
        <w:t xml:space="preserve">, </w:t>
      </w:r>
      <w:r>
        <w:rPr>
          <w:rtl w:val="true"/>
        </w:rPr>
        <w:t>דבר אשר פוגע הן בתחושת הביטחון של הקרבן</w:t>
      </w:r>
      <w:r>
        <w:rPr>
          <w:rtl w:val="true"/>
        </w:rPr>
        <w:t xml:space="preserve">, </w:t>
      </w:r>
      <w:r>
        <w:rPr>
          <w:rtl w:val="true"/>
        </w:rPr>
        <w:t xml:space="preserve">והן בתחושת הביטחון הכללית של הציבור </w:t>
      </w:r>
      <w:r>
        <w:rPr>
          <w:rtl w:val="true"/>
        </w:rPr>
        <w:t>–</w:t>
      </w:r>
      <w:r>
        <w:rPr>
          <w:rtl w:val="true"/>
        </w:rPr>
        <w:t xml:space="preserve"> אשר ציפייתו הבסיסית היא כי יוכל להתנהל בביטחון וללא אימה ברחובה של עיר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6.1.2015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 החומרה האמורה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 ביחס לעבירות אלה כוללת עונשי מאסר בפועל משמעותיים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 במקרים שבהם העבירות מבוצעות באופן חד</w:t>
      </w:r>
      <w:r>
        <w:rPr>
          <w:rtl w:val="true"/>
        </w:rPr>
        <w:t>-</w:t>
      </w:r>
      <w:r>
        <w:rPr>
          <w:rtl w:val="true"/>
        </w:rPr>
        <w:t>פעמי וספונטאני ללא אלימות חמורה</w:t>
      </w:r>
      <w:r>
        <w:rPr>
          <w:rtl w:val="true"/>
        </w:rPr>
        <w:t xml:space="preserve">, </w:t>
      </w:r>
      <w:r>
        <w:rPr>
          <w:rtl w:val="true"/>
        </w:rPr>
        <w:t xml:space="preserve">ואף כאשר שירות המבחן ממליץ להימנע מעונש מאסר בפועל משיקולי שיקום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29.6.2014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7.7.2014</w:t>
      </w:r>
      <w:r>
        <w:rPr>
          <w:rtl w:val="true"/>
        </w:rPr>
        <w:t xml:space="preserve">)). </w:t>
      </w:r>
      <w:r>
        <w:rPr>
          <w:rtl w:val="true"/>
        </w:rPr>
        <w:t>לעניין זה נקבע לא אחת כי בית המשפט אינו מחויב בהמלצת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וכי המלצה זו היא רק אחד מהשיקולים המונחים בפני בית המשפט בבואו לגזור את דינו של נאשם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5023/18</w:t>
        </w:r>
      </w:hyperlink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28.6.2018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חומרת עבירות השוד בשל פגיעתן בתחושת הביטחון של הפרט ניכרת אף בענייננו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כמו רבים אחרים בציבור הרחב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>ָ</w:t>
      </w:r>
      <w:r>
        <w:rPr>
          <w:rtl w:val="true"/>
        </w:rPr>
        <w:t>פ</w:t>
      </w:r>
      <w:r>
        <w:rPr>
          <w:rtl w:val="true"/>
        </w:rPr>
        <w:t>ַ</w:t>
      </w:r>
      <w:r>
        <w:rPr>
          <w:rtl w:val="true"/>
        </w:rPr>
        <w:t>ץ לחגוג את חג הפורים עד לשעת לילה מאוחרת מבלי שיאונה לו כל רע</w:t>
      </w:r>
      <w:r>
        <w:rPr>
          <w:rtl w:val="true"/>
        </w:rPr>
        <w:t xml:space="preserve">, </w:t>
      </w:r>
      <w:r>
        <w:rPr>
          <w:rtl w:val="true"/>
        </w:rPr>
        <w:t>אולם בפועל</w:t>
      </w:r>
      <w:r>
        <w:rPr>
          <w:rtl w:val="true"/>
        </w:rPr>
        <w:t xml:space="preserve">, </w:t>
      </w:r>
      <w:r>
        <w:rPr>
          <w:rtl w:val="true"/>
        </w:rPr>
        <w:t>מצא עצמו מותקף במפתיע על ידי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מיותר להכביר במילים על חומרת הפגיעה שנגרמה למתלונן </w:t>
      </w:r>
      <w:r>
        <w:rPr>
          <w:rtl w:val="true"/>
        </w:rPr>
        <w:t>–</w:t>
      </w:r>
      <w:r>
        <w:rPr>
          <w:rtl w:val="true"/>
        </w:rPr>
        <w:t xml:space="preserve"> הן הפיזית והן הנפשית </w:t>
      </w:r>
      <w:r>
        <w:rPr>
          <w:rtl w:val="true"/>
        </w:rPr>
        <w:t>–</w:t>
      </w:r>
      <w:r>
        <w:rPr>
          <w:rtl w:val="true"/>
        </w:rPr>
        <w:t xml:space="preserve"> כתוצאה ממעשיהם של המערערים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אדגיש כי מקובלת עליי ההבחנה שערך בית משפט קמא בין אבו סנינה ורומאן בגזר דינו לעניין חלקם בביצוע המעשים מושא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וכנגזרת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מוצא כל קושי בעונש החמור יותר שהוטל על אבו סנינה בנסיבות העניין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כך יש להוסיף כי בטרם ההגעה להסדר נדרש המתלונן לחוות בשנית את ליל התרחשות האירועים האלימים כלפיו</w:t>
      </w:r>
      <w:r>
        <w:rPr>
          <w:rtl w:val="true"/>
        </w:rPr>
        <w:t xml:space="preserve">, </w:t>
      </w:r>
      <w:r>
        <w:rPr>
          <w:rtl w:val="true"/>
        </w:rPr>
        <w:t>משלא נחסכה עדותו בפני בית משפט קמא</w:t>
      </w:r>
      <w:r>
        <w:rPr>
          <w:rtl w:val="true"/>
        </w:rPr>
        <w:t xml:space="preserve">. </w:t>
      </w:r>
      <w:r>
        <w:rPr>
          <w:rtl w:val="true"/>
        </w:rPr>
        <w:t>עובדה זו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אינה פועלת כנסיבה לקולא שיש להתחשב בה בעת מתן גזר דינם של המערערים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בסיכומם של דברים</w:t>
      </w:r>
      <w:r>
        <w:rPr>
          <w:rtl w:val="true"/>
        </w:rPr>
        <w:t xml:space="preserve">, </w:t>
      </w:r>
      <w:r>
        <w:rPr>
          <w:rtl w:val="true"/>
        </w:rPr>
        <w:t>אני סבור כי נסיבותיהם האישיות של המערערים נסוגות בפני חומרת מעשיהם</w:t>
      </w:r>
      <w:r>
        <w:rPr>
          <w:rtl w:val="true"/>
        </w:rPr>
        <w:t xml:space="preserve">, </w:t>
      </w:r>
      <w:r>
        <w:rPr>
          <w:rtl w:val="true"/>
        </w:rPr>
        <w:t>ומשכך אין להתערב בעונשים שהושתו עליהם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הערעורים נדחים</w:t>
      </w:r>
      <w:r>
        <w:rPr>
          <w:rtl w:val="true"/>
        </w:rPr>
        <w:t>.</w:t>
      </w:r>
    </w:p>
    <w:p>
      <w:pPr>
        <w:pStyle w:val="Ruller41"/>
        <w:keepLines/>
        <w:numPr>
          <w:ilvl w:val="0"/>
          <w:numId w:val="2"/>
        </w:numPr>
        <w:spacing w:before="0" w:after="0"/>
        <w:ind w:hanging="0" w:start="0" w:end="0"/>
        <w:jc w:val="both"/>
        <w:rPr>
          <w:spacing w:val="9"/>
        </w:rPr>
      </w:pPr>
      <w:r>
        <w:rPr>
          <w:spacing w:val="9"/>
          <w:rtl w:val="true"/>
        </w:rPr>
        <w:t xml:space="preserve">המערערים </w:t>
      </w:r>
      <w:r>
        <w:rPr>
          <w:spacing w:val="9"/>
          <w:rtl w:val="true"/>
        </w:rPr>
        <w:t>יתייצב</w:t>
      </w:r>
      <w:r>
        <w:rPr>
          <w:spacing w:val="9"/>
          <w:rtl w:val="true"/>
        </w:rPr>
        <w:t xml:space="preserve">ו </w:t>
      </w:r>
      <w:r>
        <w:rPr>
          <w:spacing w:val="9"/>
          <w:rtl w:val="true"/>
        </w:rPr>
        <w:t>ל</w:t>
      </w:r>
      <w:r>
        <w:rPr>
          <w:spacing w:val="9"/>
          <w:rtl w:val="true"/>
        </w:rPr>
        <w:t>שאת בעונשי ה</w:t>
      </w:r>
      <w:r>
        <w:rPr>
          <w:spacing w:val="9"/>
          <w:rtl w:val="true"/>
        </w:rPr>
        <w:t>מאסר</w:t>
      </w:r>
      <w:r>
        <w:rPr>
          <w:spacing w:val="9"/>
          <w:rtl w:val="true"/>
        </w:rPr>
        <w:t xml:space="preserve"> בפועל שהוטלו עליהם</w:t>
      </w:r>
      <w:r>
        <w:rPr>
          <w:spacing w:val="9"/>
          <w:rtl w:val="true"/>
        </w:rPr>
        <w:t xml:space="preserve"> </w:t>
      </w:r>
      <w:r>
        <w:rPr>
          <w:spacing w:val="9"/>
          <w:rtl w:val="true"/>
        </w:rPr>
        <w:t xml:space="preserve">ביום </w:t>
      </w:r>
      <w:r>
        <w:rPr>
          <w:spacing w:val="9"/>
        </w:rPr>
        <w:t>3.3.2019</w:t>
      </w:r>
      <w:r>
        <w:rPr>
          <w:spacing w:val="9"/>
          <w:rtl w:val="true"/>
        </w:rPr>
        <w:t xml:space="preserve"> </w:t>
      </w:r>
      <w:r>
        <w:rPr>
          <w:spacing w:val="9"/>
          <w:rtl w:val="true"/>
        </w:rPr>
        <w:t xml:space="preserve">עד השעה </w:t>
      </w:r>
      <w:r>
        <w:rPr>
          <w:spacing w:val="9"/>
        </w:rPr>
        <w:t>10:00</w:t>
      </w:r>
      <w:r>
        <w:rPr>
          <w:spacing w:val="9"/>
          <w:rtl w:val="true"/>
        </w:rPr>
        <w:t xml:space="preserve"> </w:t>
      </w:r>
      <w:r>
        <w:rPr>
          <w:spacing w:val="9"/>
          <w:rtl w:val="true"/>
        </w:rPr>
        <w:t>בימ</w:t>
      </w:r>
      <w:r>
        <w:rPr>
          <w:spacing w:val="9"/>
          <w:rtl w:val="true"/>
        </w:rPr>
        <w:t>"</w:t>
      </w:r>
      <w:r>
        <w:rPr>
          <w:spacing w:val="9"/>
          <w:rtl w:val="true"/>
        </w:rPr>
        <w:t>ר ניצן</w:t>
      </w:r>
      <w:r>
        <w:rPr>
          <w:spacing w:val="9"/>
          <w:rtl w:val="true"/>
        </w:rPr>
        <w:t xml:space="preserve">, </w:t>
      </w:r>
      <w:r>
        <w:rPr>
          <w:spacing w:val="9"/>
          <w:rtl w:val="true"/>
        </w:rPr>
        <w:t>או על פי החלטת ש</w:t>
      </w:r>
      <w:r>
        <w:rPr>
          <w:spacing w:val="9"/>
          <w:rtl w:val="true"/>
        </w:rPr>
        <w:t>ירות בתי הסוהר</w:t>
      </w:r>
      <w:r>
        <w:rPr>
          <w:spacing w:val="9"/>
          <w:rtl w:val="true"/>
        </w:rPr>
        <w:t xml:space="preserve">, </w:t>
      </w:r>
      <w:r>
        <w:rPr>
          <w:spacing w:val="9"/>
          <w:rtl w:val="true"/>
        </w:rPr>
        <w:t>כשברשות</w:t>
      </w:r>
      <w:r>
        <w:rPr>
          <w:spacing w:val="9"/>
          <w:rtl w:val="true"/>
        </w:rPr>
        <w:t xml:space="preserve">ם </w:t>
      </w:r>
      <w:r>
        <w:rPr>
          <w:spacing w:val="9"/>
          <w:rtl w:val="true"/>
        </w:rPr>
        <w:t>תעודת זהות או דרכון</w:t>
      </w:r>
      <w:r>
        <w:rPr>
          <w:spacing w:val="9"/>
          <w:rtl w:val="true"/>
        </w:rPr>
        <w:t xml:space="preserve">. </w:t>
      </w:r>
      <w:r>
        <w:rPr>
          <w:spacing w:val="9"/>
          <w:rtl w:val="true"/>
        </w:rPr>
        <w:t>על ה</w:t>
      </w:r>
      <w:r>
        <w:rPr>
          <w:spacing w:val="9"/>
          <w:rtl w:val="true"/>
        </w:rPr>
        <w:t>מערערים</w:t>
      </w:r>
      <w:r>
        <w:rPr>
          <w:spacing w:val="9"/>
          <w:rtl w:val="true"/>
        </w:rPr>
        <w:t xml:space="preserve"> לתאם את הכניסה למאסר</w:t>
      </w:r>
      <w:r>
        <w:rPr>
          <w:spacing w:val="9"/>
          <w:rtl w:val="true"/>
        </w:rPr>
        <w:t xml:space="preserve">, </w:t>
      </w:r>
      <w:r>
        <w:rPr>
          <w:spacing w:val="9"/>
          <w:rtl w:val="true"/>
        </w:rPr>
        <w:t>כולל האפשרות למיון מוקדם</w:t>
      </w:r>
      <w:r>
        <w:rPr>
          <w:spacing w:val="9"/>
          <w:rtl w:val="true"/>
        </w:rPr>
        <w:t xml:space="preserve">, </w:t>
      </w:r>
      <w:r>
        <w:rPr>
          <w:spacing w:val="9"/>
          <w:rtl w:val="true"/>
        </w:rPr>
        <w:t>עם ענף אבחון ומיון של ש</w:t>
      </w:r>
      <w:r>
        <w:rPr>
          <w:spacing w:val="9"/>
          <w:rtl w:val="true"/>
        </w:rPr>
        <w:t>ירות בתי הסוהר</w:t>
      </w:r>
      <w:r>
        <w:rPr>
          <w:spacing w:val="9"/>
          <w:rtl w:val="true"/>
        </w:rPr>
        <w:t xml:space="preserve">, </w:t>
      </w:r>
      <w:r>
        <w:rPr>
          <w:spacing w:val="9"/>
          <w:rtl w:val="true"/>
        </w:rPr>
        <w:t>ב</w:t>
      </w:r>
      <w:r>
        <w:rPr>
          <w:spacing w:val="9"/>
          <w:rtl w:val="true"/>
        </w:rPr>
        <w:t>טלפונים</w:t>
      </w:r>
      <w:r>
        <w:rPr>
          <w:spacing w:val="9"/>
          <w:rtl w:val="true"/>
        </w:rPr>
        <w:t xml:space="preserve">: </w:t>
      </w:r>
      <w:r>
        <w:rPr>
          <w:spacing w:val="9"/>
        </w:rPr>
        <w:t>08-9787377</w:t>
      </w:r>
      <w:r>
        <w:rPr>
          <w:spacing w:val="9"/>
          <w:rtl w:val="true"/>
        </w:rPr>
        <w:t xml:space="preserve"> </w:t>
      </w:r>
      <w:r>
        <w:rPr>
          <w:spacing w:val="9"/>
          <w:rtl w:val="true"/>
        </w:rPr>
        <w:t>או</w:t>
      </w:r>
      <w:r>
        <w:rPr>
          <w:spacing w:val="9"/>
          <w:rtl w:val="true"/>
        </w:rPr>
        <w:t xml:space="preserve"> </w:t>
      </w:r>
      <w:r>
        <w:rPr>
          <w:spacing w:val="9"/>
        </w:rPr>
        <w:t>08-9787336</w:t>
      </w:r>
      <w:r>
        <w:rPr>
          <w:spacing w:val="9"/>
          <w:rtl w:val="true"/>
        </w:rPr>
        <w:t>.</w:t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both"/>
        <w:rPr>
          <w:spacing w:val="9"/>
        </w:rPr>
      </w:pPr>
      <w:r>
        <w:rPr>
          <w:spacing w:val="9"/>
          <w:rtl w:val="true"/>
        </w:rPr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both"/>
        <w:rPr>
          <w:spacing w:val="9"/>
        </w:rPr>
      </w:pPr>
      <w:r>
        <w:rPr>
          <w:spacing w:val="9"/>
          <w:rtl w:val="true"/>
        </w:rPr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end"/>
        <w:rPr>
          <w:spacing w:val="9"/>
        </w:rPr>
      </w:pPr>
      <w:r>
        <w:rPr>
          <w:spacing w:val="9"/>
          <w:rtl w:val="true"/>
        </w:rPr>
        <w:t>ש ו פ ט</w:t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end"/>
        <w:rPr>
          <w:spacing w:val="9"/>
        </w:rPr>
      </w:pPr>
      <w:r>
        <w:rPr>
          <w:spacing w:val="9"/>
          <w:rtl w:val="true"/>
        </w:rPr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end"/>
        <w:rPr>
          <w:spacing w:val="9"/>
        </w:rPr>
      </w:pPr>
      <w:r>
        <w:rPr>
          <w:spacing w:val="9"/>
          <w:rtl w:val="true"/>
        </w:rPr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start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start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both"/>
        <w:rPr>
          <w:spacing w:val="9"/>
        </w:rPr>
      </w:pPr>
      <w:r>
        <w:rPr>
          <w:spacing w:val="9"/>
          <w:rtl w:val="true"/>
        </w:rPr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start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start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both"/>
        <w:rPr>
          <w:spacing w:val="9"/>
        </w:rPr>
      </w:pPr>
      <w:r>
        <w:rPr>
          <w:spacing w:val="9"/>
          <w:rtl w:val="true"/>
        </w:rPr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both"/>
        <w:rPr>
          <w:spacing w:val="9"/>
        </w:rPr>
      </w:pPr>
      <w:r>
        <w:rPr>
          <w:spacing w:val="9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spacing w:val="9"/>
          <w:rtl w:val="true"/>
        </w:rPr>
        <w:t xml:space="preserve">. </w:t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both"/>
        <w:rPr>
          <w:spacing w:val="9"/>
        </w:rPr>
      </w:pPr>
      <w:r>
        <w:rPr>
          <w:spacing w:val="9"/>
          <w:rtl w:val="true"/>
        </w:rPr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both"/>
        <w:rPr>
          <w:spacing w:val="9"/>
        </w:rPr>
      </w:pPr>
      <w:r>
        <w:rPr>
          <w:rFonts w:eastAsia="Garamond"/>
          <w:spacing w:val="9"/>
          <w:rtl w:val="true"/>
        </w:rPr>
        <w:t xml:space="preserve"> </w:t>
      </w:r>
      <w:r>
        <w:rPr>
          <w:spacing w:val="9"/>
          <w:rtl w:val="true"/>
        </w:rPr>
        <w:t>ניתן</w:t>
      </w:r>
      <w:r>
        <w:rPr>
          <w:spacing w:val="9"/>
          <w:rtl w:val="true"/>
        </w:rPr>
        <w:t xml:space="preserve"> </w:t>
      </w:r>
      <w:r>
        <w:rPr>
          <w:spacing w:val="9"/>
          <w:rtl w:val="true"/>
        </w:rPr>
        <w:t>היום</w:t>
      </w:r>
      <w:r>
        <w:rPr>
          <w:spacing w:val="9"/>
          <w:rtl w:val="true"/>
        </w:rPr>
        <w:t>, ‏</w:t>
      </w:r>
      <w:r>
        <w:rPr>
          <w:spacing w:val="9"/>
          <w:rtl w:val="true"/>
        </w:rPr>
        <w:t>ט</w:t>
      </w:r>
      <w:r>
        <w:rPr>
          <w:spacing w:val="9"/>
          <w:rtl w:val="true"/>
        </w:rPr>
        <w:t xml:space="preserve">' </w:t>
      </w:r>
      <w:r>
        <w:rPr>
          <w:spacing w:val="9"/>
          <w:rtl w:val="true"/>
        </w:rPr>
        <w:t>באדר</w:t>
      </w:r>
      <w:r>
        <w:rPr>
          <w:spacing w:val="9"/>
          <w:rtl w:val="true"/>
        </w:rPr>
        <w:t xml:space="preserve"> </w:t>
      </w:r>
      <w:r>
        <w:rPr>
          <w:spacing w:val="9"/>
          <w:rtl w:val="true"/>
        </w:rPr>
        <w:t>א</w:t>
      </w:r>
      <w:r>
        <w:rPr>
          <w:spacing w:val="9"/>
          <w:rtl w:val="true"/>
        </w:rPr>
        <w:t xml:space="preserve"> </w:t>
      </w:r>
      <w:r>
        <w:rPr>
          <w:spacing w:val="9"/>
          <w:rtl w:val="true"/>
        </w:rPr>
        <w:t>התשע</w:t>
      </w:r>
      <w:r>
        <w:rPr>
          <w:spacing w:val="9"/>
          <w:rtl w:val="true"/>
        </w:rPr>
        <w:t>"</w:t>
      </w:r>
      <w:r>
        <w:rPr>
          <w:spacing w:val="9"/>
          <w:rtl w:val="true"/>
        </w:rPr>
        <w:t>ט</w:t>
      </w:r>
      <w:r>
        <w:rPr>
          <w:spacing w:val="9"/>
          <w:rtl w:val="true"/>
        </w:rPr>
        <w:t xml:space="preserve"> </w:t>
      </w:r>
      <w:r>
        <w:rPr>
          <w:spacing w:val="9"/>
          <w:rtl w:val="true"/>
        </w:rPr>
        <w:t>(‏</w:t>
      </w:r>
      <w:r>
        <w:rPr>
          <w:spacing w:val="9"/>
        </w:rPr>
        <w:t>14.2.2019</w:t>
      </w:r>
      <w:r>
        <w:rPr>
          <w:spacing w:val="9"/>
          <w:rtl w:val="true"/>
        </w:rPr>
        <w:t xml:space="preserve">). </w:t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both"/>
        <w:rPr>
          <w:spacing w:val="9"/>
        </w:rPr>
      </w:pPr>
      <w:r>
        <w:rPr>
          <w:spacing w:val="9"/>
          <w:rtl w:val="true"/>
        </w:rPr>
      </w:r>
    </w:p>
    <w:p>
      <w:pPr>
        <w:pStyle w:val="Ruller41"/>
        <w:keepLines/>
        <w:numPr>
          <w:ilvl w:val="0"/>
          <w:numId w:val="0"/>
        </w:numPr>
        <w:spacing w:before="0" w:after="0"/>
        <w:ind w:hanging="0" w:start="0" w:end="0"/>
        <w:jc w:val="both"/>
        <w:rPr>
          <w:spacing w:val="9"/>
        </w:rPr>
      </w:pPr>
      <w:r>
        <w:rPr>
          <w:spacing w:val="9"/>
          <w:rtl w:val="true"/>
        </w:rPr>
        <w:t>ש ו פ ט</w:t>
      </w:r>
      <w:r>
        <w:rPr>
          <w:spacing w:val="9"/>
          <w:rtl w:val="true"/>
        </w:rPr>
        <w:tab/>
        <w:tab/>
        <w:tab/>
        <w:tab/>
        <w:tab/>
      </w:r>
      <w:r>
        <w:rPr>
          <w:spacing w:val="9"/>
          <w:rtl w:val="true"/>
        </w:rPr>
        <w:t>ש ו פ ט</w:t>
      </w:r>
      <w:r>
        <w:rPr>
          <w:spacing w:val="9"/>
          <w:rtl w:val="true"/>
        </w:rPr>
        <w:tab/>
        <w:tab/>
        <w:t xml:space="preserve"> </w:t>
        <w:tab/>
        <w:tab/>
        <w:t xml:space="preserve">   </w:t>
      </w:r>
      <w:r>
        <w:rPr>
          <w:spacing w:val="9"/>
          <w:rtl w:val="true"/>
        </w:rPr>
        <w:t>ש ו פ ט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</w:t>
      </w:r>
      <w:r>
        <w:rPr>
          <w:rFonts w:cs="Times New Roman;Times New Roman"/>
          <w:sz w:val="16"/>
          <w:rtl w:val="true"/>
        </w:rPr>
        <w:t xml:space="preserve"> </w:t>
      </w:r>
      <w:r>
        <w:rPr>
          <w:sz w:val="16"/>
        </w:rPr>
        <w:t>18075190</w:t>
      </w:r>
      <w:r>
        <w:rPr>
          <w:sz w:val="16"/>
          <w:rtl w:val="true"/>
        </w:rPr>
        <w:t>_</w:t>
      </w:r>
      <w:r>
        <w:rPr>
          <w:sz w:val="16"/>
        </w:rPr>
        <w:t>J01.docx</w:t>
      </w:r>
      <w:r>
        <w:rPr>
          <w:sz w:val="16"/>
          <w:rtl w:val="true"/>
        </w:rPr>
        <w:t xml:space="preserve">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2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54678313-7519/18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7519/18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דהוד אבו סנינה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360" w:before="0" w:after="360"/>
      <w:contextualSpacing/>
      <w:jc w:val="both"/>
      <w:outlineLvl w:val="0"/>
    </w:pPr>
    <w:rPr>
      <w:rFonts w:ascii="Century" w:hAnsi="Century" w:cs="Miriam"/>
      <w:b/>
      <w:sz w:val="24"/>
    </w:rPr>
  </w:style>
  <w:style w:type="character" w:styleId="WW8Num1z0">
    <w:name w:val="WW8Num1z0"/>
    <w:qFormat/>
    <w:rPr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qFormat/>
    <w:pPr>
      <w:numPr>
        <w:ilvl w:val="0"/>
        <w:numId w:val="2"/>
      </w:numPr>
      <w:spacing w:before="0" w:after="36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7362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402.a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64a.b" TargetMode="External"/><Relationship Id="rId10" Type="http://schemas.openxmlformats.org/officeDocument/2006/relationships/hyperlink" Target="http://www.nevo.co.il/case/22373625" TargetMode="External"/><Relationship Id="rId11" Type="http://schemas.openxmlformats.org/officeDocument/2006/relationships/hyperlink" Target="http://www.nevo.co.il/law/70301/402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2.a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5227/64a.b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70301/413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13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3506710" TargetMode="External"/><Relationship Id="rId24" Type="http://schemas.openxmlformats.org/officeDocument/2006/relationships/hyperlink" Target="http://www.nevo.co.il/case/21476340" TargetMode="External"/><Relationship Id="rId25" Type="http://schemas.openxmlformats.org/officeDocument/2006/relationships/hyperlink" Target="http://www.nevo.co.il/case/16987351" TargetMode="External"/><Relationship Id="rId26" Type="http://schemas.openxmlformats.org/officeDocument/2006/relationships/hyperlink" Target="http://www.nevo.co.il/case/5172599" TargetMode="External"/><Relationship Id="rId27" Type="http://schemas.openxmlformats.org/officeDocument/2006/relationships/hyperlink" Target="http://www.nevo.co.il/case/16921206" TargetMode="External"/><Relationship Id="rId28" Type="http://schemas.openxmlformats.org/officeDocument/2006/relationships/hyperlink" Target="http://www.nevo.co.il/case/24345650" TargetMode="External"/><Relationship Id="rId29" Type="http://schemas.openxmlformats.org/officeDocument/2006/relationships/hyperlink" Target="http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2019-02-17T08:36:00Z</dcterms:created>
  <dc:creator>h3</dc:creator>
  <dc:description/>
  <cp:keywords/>
  <dc:language>en-IL</dc:language>
  <cp:lastModifiedBy>orly</cp:lastModifiedBy>
  <cp:lastPrinted>2019-02-14T09:03:00Z</cp:lastPrinted>
  <dcterms:modified xsi:type="dcterms:W3CDTF">2019-02-17T08:36:00Z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דהוד אבו סנינה;מוסטפה רומאן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25085884:3;25092029:3;22373625:2;23506710;21476340;16987351;5172599;16921206;24345650</vt:lpwstr>
  </property>
  <property fmtid="{D5CDD505-2E9C-101B-9397-08002B2CF9AE}" pid="9" name="CITY">
    <vt:lpwstr/>
  </property>
  <property fmtid="{D5CDD505-2E9C-101B-9397-08002B2CF9AE}" pid="10" name="DATE">
    <vt:lpwstr>20190214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קרא;י' אלרון</vt:lpwstr>
  </property>
  <property fmtid="{D5CDD505-2E9C-101B-9397-08002B2CF9AE}" pid="14" name="LAWLISTTMP1">
    <vt:lpwstr>70301/402.a:2;031;413:2;192:2</vt:lpwstr>
  </property>
  <property fmtid="{D5CDD505-2E9C-101B-9397-08002B2CF9AE}" pid="15" name="LAWLISTTMP2">
    <vt:lpwstr>5227/064a.b</vt:lpwstr>
  </property>
  <property fmtid="{D5CDD505-2E9C-101B-9397-08002B2CF9AE}" pid="16" name="LAWYER">
    <vt:lpwstr>הדר פרנקל;אוסמה חלבי;רמי עותמאן;ברכה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שוד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לחומרה</vt:lpwstr>
  </property>
  <property fmtid="{D5CDD505-2E9C-101B-9397-08002B2CF9AE}" pid="52" name="NOSE33">
    <vt:lpwstr>התערבות ערכאת הערעור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15019;8995;8978</vt:lpwstr>
  </property>
  <property fmtid="{D5CDD505-2E9C-101B-9397-08002B2CF9AE}" pid="60" name="PADIDATE">
    <vt:lpwstr>20190217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7519;7637</vt:lpwstr>
  </property>
  <property fmtid="{D5CDD505-2E9C-101B-9397-08002B2CF9AE}" pid="66" name="PROCYEAR">
    <vt:lpwstr>18;18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410120190214</vt:lpwstr>
  </property>
  <property fmtid="{D5CDD505-2E9C-101B-9397-08002B2CF9AE}" pid="70" name="TYPE_N_DATE">
    <vt:lpwstr>41020190214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