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754/23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רומנוב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פריבס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 w:val="24"/>
                <w:szCs w:val="24"/>
                <w:rtl w:val="true"/>
              </w:rPr>
              <w:t>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14.9.2022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13.12.2022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59401-08-20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22.2.2024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ברהום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חמודות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2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דנה פוגץ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', ""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ברצון שניהם ובשמחתם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 –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אינוס בידי בן זוג והתוויית גבולות המשפט הפלילי בחברה משתנה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עיונים במשפט מגדר ופמיניזם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501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5">
        <w:r>
          <w:rPr>
            <w:rtl w:val="true"/>
          </w:rPr>
        </w:r>
      </w:hyperlink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379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</w:t>
      </w:r>
      <w:r>
        <w:rPr>
          <w:rFonts w:ascii="Times New Roman" w:hAnsi="Times New Roman" w:cs="Times New Roman"/>
          <w:spacing w:val="0"/>
          <w:szCs w:val="26"/>
          <w:rtl w:val="true"/>
        </w:rPr>
        <w:t>מעלה לדיון שתי שאלות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מה מידת ההשפעה של חוסר אמת בחלק מהותי מעדותה של נפגעת העבירה על קביעת הממצאים העובדתיים על ידי הערכאה הדיונית ועל הביקורת הערעורית ביחס לקביעתם – זאת בפרט על רקע האמור בסעיף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פקודת הראיות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המשקל שיש לתת במסגרת הענישה לעובדה שהנאשם שהורשע בעבירת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כדוגמת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סדום או מעשה מגונה בכפייה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 את העבירה בהיותו ביחסי נישואין או זוגיות עם 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?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התערבות במימצאים עובדתיים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עבירות מין במשפחה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קורבן עבירת מין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בחינתה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מידת ההוכחה – ספק סביר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דין וגז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בגדרם הורשע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במעשה סדום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ובתקיפה בנסיבות 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ונגזר עליו עונש 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7.5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תנאי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פיצוי כספי לנפגעת העבירה בסך </w:t>
      </w:r>
      <w:r>
        <w:rPr>
          <w:rFonts w:cs="Times New Roman" w:ascii="Times New Roman" w:hAnsi="Times New Roman"/>
          <w:spacing w:val="0"/>
          <w:szCs w:val="26"/>
        </w:rPr>
        <w:t>75,000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והמתלוננת </w:t>
      </w:r>
      <w:r>
        <w:rPr>
          <w:rFonts w:ascii="Times New Roman" w:hAnsi="Times New Roman" w:cs="Times New Roman"/>
          <w:spacing w:val="0"/>
          <w:szCs w:val="26"/>
          <w:rtl w:val="true"/>
        </w:rPr>
        <w:t>היו נשואים זה לזו במשך פרק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זמן קצר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בתקופת הנישואין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ביצע במתלוננת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מספר פעמים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מין אנאלי ללא הסכמתה וכן כפה עליה </w:t>
      </w:r>
      <w:r>
        <w:rPr>
          <w:rFonts w:ascii="Times New Roman" w:hAnsi="Times New Roman" w:cs="Times New Roman"/>
          <w:spacing w:val="0"/>
          <w:szCs w:val="26"/>
          <w:rtl w:val="true"/>
        </w:rPr>
        <w:t>לבצע בו מין אוראלי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במספר הזדמנויות נוספות </w:t>
      </w:r>
      <w:r>
        <w:rPr>
          <w:rFonts w:ascii="Times New Roman" w:hAnsi="Times New Roman" w:cs="Times New Roman"/>
          <w:spacing w:val="0"/>
          <w:szCs w:val="26"/>
          <w:rtl w:val="true"/>
        </w:rPr>
        <w:t>נהג כלפיה באלימות ואיים עליה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הערעור </w:t>
      </w:r>
      <w:r>
        <w:rPr>
          <w:rFonts w:ascii="Times New Roman" w:hAnsi="Times New Roman" w:cs="Times New Roman"/>
          <w:spacing w:val="0"/>
          <w:szCs w:val="26"/>
          <w:rtl w:val="true"/>
        </w:rPr>
        <w:t>מעלה לדיון שתי שאלות נפרדות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נוגעת לדיני 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מה מידת ההשפעה של חוסר אמת בחלק מהותי מעדותה של נפגעת העבירה על קביעת הממצאים העובדתיים על ידי הערכאה הדיונית ועל הביקורת הערעורית ביחס לקביעתם – זאת בפרט על רקע האמור בסעיף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פקודת הראיות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עניינה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המשקל שיש לתת במסגרת הענישה לעובדה שהנאשם שהורשע בעבירת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כדוגמת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סדום או מעשה מגונה בכפייה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 את העבירה בהיותו ביחסי נישואין או זוגיות עם 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מדובר בנסיבה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 מקלה 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בנסיבה חסרת השפעה על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?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כשר 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קיבל את הערעור באופן חלקי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לבטל </w:t>
      </w:r>
      <w:r>
        <w:rPr>
          <w:rFonts w:ascii="Times New Roman" w:hAnsi="Times New Roman" w:cs="Times New Roman"/>
          <w:spacing w:val="0"/>
          <w:szCs w:val="26"/>
          <w:rtl w:val="true"/>
        </w:rPr>
        <w:t>מחמת הספק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הרשעת המערער במעשי סדום אוראליים ולהותיר על כנה את הרשעתו במעשי סדום אנאליים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אותם ביצע במתלוננת בכפייה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ובמעשי האלימות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 זיכוי חלקי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עונש המאסר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בפועל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 על המערער על שש שנים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שאר רכיבי גזר הדין 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התערבותה של ערכאת הערעור בממצאי עובדה של הערכאה הדיונית – אימתי</w:t>
      </w:r>
      <w:r>
        <w:rPr>
          <w:rFonts w:cs="Times New Roman" w:ascii="Times New Roman" w:hAnsi="Times New Roman"/>
          <w:spacing w:val="0"/>
          <w:szCs w:val="26"/>
          <w:rtl w:val="true"/>
        </w:rPr>
        <w:t>?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אי ההתערבות בממצאי עובדה ומהימנות אינו הרמטי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ונקבעו לו מספר חריגים והם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ממצאי הערכאה הדיונית מתבססים על שיקולים שבהגיון ובשכל ישר או על סבירות של העדות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מדובר במסקנות להבדיל מעובדות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הערכאה הדיונית התעלמה לחלוטין מראיות או לא שמה לב לפרטים מהותיים בחומר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הערכאה הדיונית התעלמה מסתירות מהותיות בעדות עליה נסמכה או מסתירות בין העדות עליה נסמכה לבין עדויות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הערכאה הדיונית אימצה גרסה מופרכת וחסרת הגיון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נפלה טעות מהותית או טעות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בולטת לעין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בהערכת המהימנות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ממצאי הערכאה הדיונית מבוססים על ראיות בכתב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תמליל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קלטת או התרשמות מחפץ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השופט שכתב את פסק הדין אינו השופט ששמע את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חלף זמן רב משמיעת הראיות ועד שנכתב פסק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לרשימה </w:t>
      </w:r>
      <w:r>
        <w:rPr>
          <w:rFonts w:ascii="Times New Roman" w:hAnsi="Times New Roman" w:cs="Times New Roman"/>
          <w:spacing w:val="0"/>
          <w:szCs w:val="26"/>
          <w:rtl w:val="true"/>
        </w:rPr>
        <w:t>זו הוסיף השופט 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נוסף המוכר בפסיקה והחשוב לענייננו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שלנו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מבחן המבט הכולל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מסד ראייתי אשר במבט כולל אינו מספק את הביטחון הדרוש להרשעת נאשמים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בכדי ש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של ערעור י</w:t>
      </w:r>
      <w:r>
        <w:rPr>
          <w:rFonts w:ascii="Times New Roman" w:hAnsi="Times New Roman" w:cs="Times New Roman"/>
          <w:spacing w:val="0"/>
          <w:szCs w:val="26"/>
          <w:rtl w:val="true"/>
        </w:rPr>
        <w:t>וכל לבחון כדבעי את ביטחונו של המסד הראייתי עליו עומדת הרשעת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השופט שטיין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את מבחן העזר הבא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מסד ראייתי ייחשב לבלתי בטוח ולבלתי מספק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פסקי דין מרשיעים אשר יינתנו על בסיסו – או בהתבסס על מסד ראייתי דומה – באופן עקבי ושיטתי בוודאות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להבדיל מספק בלתי מוחשי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ערטילאי ותאורטי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יכללו בתוכם הרשעות של חפים מפשע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פרקטי מציע השופט שטיין ל</w:t>
      </w:r>
      <w:r>
        <w:rPr>
          <w:rFonts w:ascii="Times New Roman" w:hAnsi="Times New Roman" w:cs="Times New Roman"/>
          <w:spacing w:val="0"/>
          <w:szCs w:val="26"/>
          <w:rtl w:val="true"/>
        </w:rPr>
        <w:t>חשוב על חמישה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עשרה מקרים הדומים למקרה ש</w:t>
      </w:r>
      <w:r>
        <w:rPr>
          <w:rFonts w:ascii="Times New Roman" w:hAnsi="Times New Roman" w:cs="Times New Roman"/>
          <w:spacing w:val="0"/>
          <w:szCs w:val="26"/>
          <w:rtl w:val="true"/>
        </w:rPr>
        <w:t>נדון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בהם מתעוררים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אותם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קשיים </w:t>
      </w:r>
      <w:r>
        <w:rPr>
          <w:rFonts w:ascii="Times New Roman" w:hAnsi="Times New Roman" w:cs="Times New Roman"/>
          <w:spacing w:val="0"/>
          <w:szCs w:val="26"/>
          <w:rtl w:val="true"/>
        </w:rPr>
        <w:t>ראייתים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נניח שבכל מקרה ומקרה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מחליט להרשיע את הנאשם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בסיס המסד הראייתי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ונשאל את עצמנו האם דרך זו של קבלת החלטות – הרשעה למרות הקשיים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הראייתים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מביאה בוודאות להרשעתו של חף מפשע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מבחן עזר זה מתאים במיוחד למקרים הנשלטים על ידי סעיף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פקודת הראיות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אשר מחייב את הערכאה הדיונית לנמק את ממצאי המהימנות שלה באופן מפורט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להסתפק בציון התרשמותה הסובייקטיבית מהעדים שהעידו לפניה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כללי ההתערבות ש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סקר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לעיל מורים לנו שלא להתערב בממצאי המהימנות אשר נקבעו על ידי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על בסיס התרשמותו מעדותה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בהתרשמות ישירה המסורה לידי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פקודת הראיות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חייב את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לפרט ולנמק ממצאי מהימנות אלה תוך מתן התייחסות לכל הקשיים אשר עולים מעדותה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שניים מהם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הקושי הראשון – עדות המתלוננת על האיום שלא היה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הקושי השני מצוי בדברי המתלוננת עצמה כי היא הסכימה לכך שהמערער יכניס חלק מאיבר מינו לתוך פיה 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לרצות את המערער בהאמינה כי בהיותה נשואה לו היא חייבת לספק את מאווייו המיניים שאינם מנוגדים לדת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חייב היה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לבחון את האפשרות שהמתלוננת פעלה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אנוסה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 אמונתה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כמי שנענית לדרישותיו המיניות של המערער באופן שנתן לו להאמין – בניגוד גמור לעובדות – כי היא מסכימה לקיים עמו את המגעים המיניים שדרש ממנה לקיימם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אמונה כנה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מעוותת ככל שתהא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שוללת את היסוד הנפשי הדרוש להתהוותן של עבירות אינוס לסוגיהן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העבירה של מעשה סדום בכפייה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בכל הנוגע </w:t>
      </w:r>
      <w:r>
        <w:rPr>
          <w:rFonts w:ascii="Times New Roman" w:hAnsi="Times New Roman" w:cs="Times New Roman"/>
          <w:spacing w:val="0"/>
          <w:szCs w:val="26"/>
          <w:rtl w:val="true"/>
        </w:rPr>
        <w:t>לקושי הראשון שופטי הרוב סברו כי מדובר בטעות שנבעה ממצבה הנפשי הקשה של המתלוננת ומפחדיה מהמערער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הסבר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כולו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בנוי על השערה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והשערה – טובה ככל שתהיה – אינה בגדר ראיה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ובוודאי שאינה מגיעה כדי הוכחה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שסבר שופט המיעוט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שמדובר בטעות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עסקינן בתקלת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מסירת גרסה אשר מייחסת למערער איום שלא היה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תחת מסכת עובדות שבה איומיו והמורא שהטיל על המתלוננת הם אלה שהפכו את מעשיו לפליליים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תקלה מעין זו מחייבת את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לנקוט משנה זהירות ביחס לעדות כולה בטרם יאמין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וכאשר מדובר בעדות המתלונן או המתלוננת על עבירת מין – עדות שביחס אליה נדרש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לפרט מדוע הוא ראה לנכון להסתפק בה לבדה בבואו להרשיע את הנאשם – חיוב זה חל ביתר שאת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שופטי הרוב לא ראו בקושי השני </w:t>
      </w:r>
      <w:r>
        <w:rPr>
          <w:rFonts w:ascii="Times New Roman" w:hAnsi="Times New Roman" w:cs="Times New Roman"/>
          <w:spacing w:val="0"/>
          <w:szCs w:val="26"/>
          <w:rtl w:val="true"/>
        </w:rPr>
        <w:t>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קושי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מפסק דינם עולה כי בכגון דא ניתן מבחינתם להסתפק בקביעתם החד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משמעית שעדותה של המתלוננת אמינה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שטיין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סבור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אמינות המתלוננת – בה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הוא </w:t>
      </w:r>
      <w:r>
        <w:rPr>
          <w:rFonts w:ascii="Times New Roman" w:hAnsi="Times New Roman" w:cs="Times New Roman"/>
          <w:spacing w:val="0"/>
          <w:szCs w:val="26"/>
          <w:rtl w:val="true"/>
        </w:rPr>
        <w:t>אינ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מטיל אפילו ספק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ספיקא – לחוד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ואמונותיו של המערער בעת ביצוע מעשיו לחוד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שופטי הרוב חייבים היו לשאול את עצמם מה עבר בראשו של המערער כאשר המתלוננת פעלה במסגרת הנישואין עמו כמי שחייבת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להיענות לדרישותיו המיניות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אימת שאלו אינן מנוגדות לדת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וכאשר היא נתנה את הסכמתה לכך שהמערער יכניס חלק מאיבר מינו לתוך פיה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שאלה זו מעלה את האפשרות שהמערער האמין שהמתלוננת הסכימה לקיים עמו את המגעים המיניים האוראליים שהשניים קיימו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עדותה של המתלוננת לבדה – אמינה ככל שתהיה – אינה מספיקה כדי לשלול אפשרות זו לחלוטין או לסמנה כבלתי סבירה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לעמדת השופט 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קביעתם הגורפת של שופטי הרוב אינה מספיקה כדי להבטיח את ביטחונו של המסד הראייתי עליו עומדת הרשעת המערער בכל אחת מהעבירות שיוחסו 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בהתאם למבחן העזר שהציע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לעמדת השופט 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עדות המתלוננת מעלה קושי מהותי שאין לו מענה ברור המניח את 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התרשמותה של הערכאה הדיונית מאותה עדות – חיובית ככל שתהא – לא תספיק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כגון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הדרישה לביטחון המסד הראייתי עליו תעמוד הרשעת הנאשם תסופק רק כאשר עדות המתלוננת נתמכת בראיה כלשהי מזמן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ראיה כאמור יכולה לבוא בדמותה של אמרה שהמתלוננת עצמה השמיעה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בזמן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באוזניו של עד אשר מעיד עליה במשפטו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האימות הדרוש כאן אינו חייב לבוא ממקור עצמאי כמו במקרה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בחינת </w:t>
      </w:r>
      <w:r>
        <w:rPr>
          <w:rFonts w:ascii="Times New Roman" w:hAnsi="Times New Roman" w:cs="Times New Roman"/>
          <w:spacing w:val="0"/>
          <w:szCs w:val="26"/>
          <w:rtl w:val="true"/>
        </w:rPr>
        <w:t>התקיימותה של דרישת הביטחון האמורה ביחס לכל עבירה ועבירה בה נמצא המערער 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מובילה למסקנות הבאות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 המערער במעשי סדום אנאליים ובעבירות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הרשעה זו מבוססת </w:t>
      </w:r>
      <w:r>
        <w:rPr>
          <w:rFonts w:ascii="Times New Roman" w:hAnsi="Times New Roman" w:cs="Times New Roman"/>
          <w:spacing w:val="0"/>
          <w:szCs w:val="26"/>
          <w:rtl w:val="true"/>
        </w:rPr>
        <w:t>לא רק על עדותה האמינה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גם על חשיפת מעשיו הפוגעניים של המערער אשר נעשתה על ידי המתלוננת בזמן אמת בשיחותיה עם מספר אנשים שהעידו במשפט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הרשעה זו ניצבת אפוא על מסד ראייתי בטוח אשר מקיים את דרישת ההוכחה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 המערער במעשי סדום אוראליים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שלפי הנטען כפה על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מבוססת על עדותה של המתלוננת לבדה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עדות זו עוררה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כאמור </w:t>
      </w:r>
      <w:r>
        <w:rPr>
          <w:rFonts w:ascii="Times New Roman" w:hAnsi="Times New Roman" w:cs="Times New Roman"/>
          <w:spacing w:val="0"/>
          <w:szCs w:val="26"/>
          <w:rtl w:val="true"/>
        </w:rPr>
        <w:t>שני קשיים מהותיים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היא אינה נתמכת בשום ראיה מזמן אמת שבכוחה להסיר את הקשיים הללו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מסר גרסה אחידה החל בחקירתו הראשונה במשטרה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ממנה עולה כי קיים עם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בהיותו נשוי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מין אוראלי בהסכמה או לפחות כך האמין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בידינו לקבוע כי קיים ביטחון מספק במסד הראייתי עליו עומדת הרשעת המערער במעשי סדום אוראליים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ההפך הוא הנכון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שסבר שופט המיעוט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יש </w:t>
      </w:r>
      <w:r>
        <w:rPr>
          <w:rFonts w:ascii="Times New Roman" w:hAnsi="Times New Roman" w:cs="Times New Roman"/>
          <w:spacing w:val="0"/>
          <w:szCs w:val="26"/>
          <w:rtl w:val="true"/>
        </w:rPr>
        <w:t>לזכות 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מחמת הספק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מהרשעתו במעשי סדום אוראליים – שמא אכן האמין כי מעשים אלו נעשו על ידו בהסכמת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על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קובע כי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אינוס או מעשה מגונה בכפייה שבן זוג מבצע בבת זוגו במסגרת נישואיהם אינו בגדר מעשה שמתבצע בנסיבות מקלות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מעשה כאמור מתבצע באישה חסרת הגנה ממשית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ניצול כוחני של מסגרת נישואין בלתי שוויונית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שבבסיסה עליונות ושליטה של איש על אישה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עסקינן דווקא בנסיבה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הוא גם כאשר מדובר במעשה שבוצע יותר מפעם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קל וחומר כאשר בפנינו סדרה של מעשים כאלה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מגיעים כדי שיטה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נמצא אפוא שהמערער ביצע במתלוננת מעשי סדום אנאליים בכפייה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עבירות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שגם בהן הוא נמצא 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כפה את עצמו על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ביטל את רצונה ואת אמונתה הדתית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מחק מניה וביה את 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שלה ופגע בגופה ובנפשה – הכל כדי לספק את מאווייו המיניים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במסכת של מעשי התעללות מינית אשר בלי ספק מצדיקה הטלה של עונש מאסר לתקופה ממושכת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שקבעו שופטי הרוב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 שזיכינו 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מחמת הספק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מהעבירות של מעשה סדום אוראלי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</w:t>
      </w:r>
      <w:r>
        <w:rPr>
          <w:rFonts w:ascii="Times New Roman" w:hAnsi="Times New Roman" w:cs="Times New Roman"/>
          <w:spacing w:val="0"/>
          <w:szCs w:val="26"/>
          <w:rtl w:val="true"/>
        </w:rPr>
        <w:t>לבחור בין שתי חלופות</w:t>
      </w:r>
      <w:r>
        <w:rPr>
          <w:rFonts w:cs="Times New Roman" w:ascii="Times New Roman" w:hAnsi="Times New Roman"/>
          <w:spacing w:val="0"/>
          <w:szCs w:val="26"/>
          <w:rtl w:val="true"/>
        </w:rPr>
        <w:t>: 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החזרת הדיון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כדי שזה יגזור את עונשו של המערער מחדש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מתן הקלה בעונש המאסר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השית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התלבטות הוחלט לבחור בדרך השניה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לאפשר למתלוננת להביא את הפרק העגום ורווי הסבל בחייה האישיים לסיומו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ולהעמיד את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מאסרו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 של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שש 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שאר רכיבי גזר הדין 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מסכים לאמור אך מבקש להשאיר את מבחן העזר המוצע בחוו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השופט שטיין בצריך עיון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שעה שלשיטתו </w:t>
      </w:r>
      <w:r>
        <w:rPr>
          <w:rFonts w:ascii="Times New Roman" w:hAnsi="Times New Roman" w:cs="Times New Roman"/>
          <w:spacing w:val="0"/>
          <w:szCs w:val="26"/>
          <w:rtl w:val="true"/>
        </w:rPr>
        <w:t>מבחן זה אינו נחוץ להכרע</w:t>
      </w:r>
      <w:r>
        <w:rPr>
          <w:rFonts w:ascii="Times New Roman" w:hAnsi="Times New Roman" w:cs="Times New Roman"/>
          <w:spacing w:val="0"/>
          <w:szCs w:val="26"/>
          <w:rtl w:val="true"/>
        </w:rPr>
        <w:t>ה בערעור דנא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 זה מעלה לדיון שתי שאלות נפרדות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הראשונה משאלות אלה נוגעת לדיני ראיות</w:t>
      </w:r>
      <w:r>
        <w:rPr>
          <w:rtl w:val="true"/>
        </w:rPr>
        <w:t xml:space="preserve">: </w:t>
      </w:r>
      <w:r>
        <w:rPr>
          <w:rtl w:val="true"/>
        </w:rPr>
        <w:t xml:space="preserve">מה מידת ההשפעה של חוסר אמת בחלק מהותי מעדותה של נפגעת העבירה על קביעת הממצאים העובדתיים על ידי הערכאה הדיונית ועל הביקורת הערעורית ביחס לקביעתם </w:t>
      </w:r>
      <w:r>
        <w:rPr>
          <w:rtl w:val="true"/>
        </w:rPr>
        <w:t>–</w:t>
      </w:r>
      <w:r>
        <w:rPr>
          <w:rtl w:val="true"/>
        </w:rPr>
        <w:t xml:space="preserve"> זאת בפרט על רקע האמור </w:t>
      </w:r>
      <w:hyperlink r:id="rId1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>)?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השאלה השנייה</w:t>
      </w:r>
      <w:r>
        <w:rPr>
          <w:rtl w:val="true"/>
        </w:rPr>
        <w:t xml:space="preserve">, </w:t>
      </w:r>
      <w:r>
        <w:rPr>
          <w:rtl w:val="true"/>
        </w:rPr>
        <w:t>עניינה ענישה</w:t>
      </w:r>
      <w:r>
        <w:rPr>
          <w:rtl w:val="true"/>
        </w:rPr>
        <w:t xml:space="preserve">: </w:t>
      </w:r>
      <w:r>
        <w:rPr>
          <w:rtl w:val="true"/>
        </w:rPr>
        <w:t>מהו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>המשקל שיש לתת במסגרת הענישה לעובדה שהנאשם שהורשע בעבירת מין</w:t>
      </w:r>
      <w:r>
        <w:rPr>
          <w:rtl w:val="true"/>
        </w:rPr>
        <w:t xml:space="preserve">, </w:t>
      </w:r>
      <w:r>
        <w:rPr>
          <w:rtl w:val="true"/>
        </w:rPr>
        <w:t>כדוגמת אינוס</w:t>
      </w:r>
      <w:r>
        <w:rPr>
          <w:rtl w:val="true"/>
        </w:rPr>
        <w:t xml:space="preserve">, </w:t>
      </w:r>
      <w:r>
        <w:rPr>
          <w:rtl w:val="true"/>
        </w:rPr>
        <w:t>מעשה סדום או מעשה מגונה בכפייה</w:t>
      </w:r>
      <w:r>
        <w:rPr>
          <w:rtl w:val="true"/>
        </w:rPr>
        <w:t xml:space="preserve">, </w:t>
      </w:r>
      <w:r>
        <w:rPr>
          <w:rtl w:val="true"/>
        </w:rPr>
        <w:t>ביצע את העבירה בהיותו ביחסי נישואין או זוגיות עם נפגעת העבירה</w:t>
      </w:r>
      <w:r>
        <w:rPr>
          <w:rtl w:val="true"/>
        </w:rPr>
        <w:t xml:space="preserve">? </w:t>
      </w:r>
      <w:r>
        <w:rPr>
          <w:rtl w:val="true"/>
        </w:rPr>
        <w:t>האם מדובר בנסיבה מחמירה</w:t>
      </w:r>
      <w:r>
        <w:rPr>
          <w:rtl w:val="true"/>
        </w:rPr>
        <w:t xml:space="preserve">, </w:t>
      </w:r>
      <w:r>
        <w:rPr>
          <w:rtl w:val="true"/>
        </w:rPr>
        <w:t>נסיבה מקלה או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tl w:val="true"/>
        </w:rPr>
        <w:t xml:space="preserve">, </w:t>
      </w:r>
      <w:r>
        <w:rPr>
          <w:rtl w:val="true"/>
        </w:rPr>
        <w:t>בנסיבה חסרת השפעה על העונש</w:t>
      </w:r>
      <w:r>
        <w:rPr>
          <w:rtl w:val="true"/>
        </w:rPr>
        <w:t xml:space="preserve">?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עסקינן בערעור על הכרעת הדין מיום </w:t>
      </w:r>
      <w:r>
        <w:rPr/>
        <w:t>14.9.2022</w:t>
      </w:r>
      <w:r>
        <w:rPr>
          <w:rtl w:val="true"/>
        </w:rPr>
        <w:t xml:space="preserve"> </w:t>
      </w:r>
      <w:r>
        <w:rPr>
          <w:rtl w:val="true"/>
        </w:rPr>
        <w:t xml:space="preserve">ועל גזר הדין מיום </w:t>
      </w:r>
      <w:r>
        <w:rPr/>
        <w:t>13.12.2022</w:t>
      </w:r>
      <w:r>
        <w:rPr>
          <w:rtl w:val="true"/>
        </w:rPr>
        <w:t xml:space="preserve"> </w:t>
      </w:r>
      <w:r>
        <w:rPr>
          <w:rtl w:val="true"/>
        </w:rPr>
        <w:t xml:space="preserve">אשר ניתנו על ידי בית המשפט המחוזי ירושלים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cs="Miriam"/>
          <w:b/>
          <w:b/>
          <w:spacing w:val="0"/>
          <w:szCs w:val="24"/>
          <w:rtl w:val="true"/>
        </w:rPr>
        <w:t>ר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רומנוב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ליפשיץ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פריבס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59401-08-20</w:t>
        </w:r>
      </w:hyperlink>
      <w:r>
        <w:rPr>
          <w:rtl w:val="true"/>
        </w:rPr>
        <w:t xml:space="preserve">. </w:t>
      </w:r>
      <w:r>
        <w:rPr>
          <w:rtl w:val="true"/>
        </w:rPr>
        <w:t>בגדרי פסק דין זה הורשע המערער במעשה סדום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התשל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ז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cs="FrankRuehl" w:ascii="FrankRuehl" w:hAnsi="FrankRuehl"/>
          <w:color w:val="000000"/>
          <w:sz w:val="28"/>
          <w:shd w:fill="FFFFFF" w:val="clear"/>
        </w:rPr>
        <w:t>1977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חוק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העונשין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ריבוי עבירות</w:t>
      </w:r>
      <w:r>
        <w:rPr>
          <w:rtl w:val="true"/>
        </w:rPr>
        <w:t xml:space="preserve">); </w:t>
      </w:r>
      <w:r>
        <w:rPr>
          <w:rtl w:val="true"/>
        </w:rPr>
        <w:t>ובתקיפה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). </w:t>
      </w:r>
      <w:r>
        <w:rPr>
          <w:rtl w:val="true"/>
        </w:rPr>
        <w:t xml:space="preserve">בית משפט קמא גזר על המערער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</w:t>
      </w:r>
      <w:r>
        <w:rPr>
          <w:rFonts w:ascii="Century" w:hAnsi="Century" w:cs="Century"/>
          <w:sz w:val="22"/>
          <w:sz w:val="22"/>
          <w:rtl w:val="true"/>
        </w:rPr>
        <w:t>מאסר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תנאי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למשך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ascii="Century" w:hAnsi="Century" w:cs="Century"/>
          <w:sz w:val="22"/>
          <w:sz w:val="22"/>
          <w:rtl w:val="true"/>
        </w:rPr>
        <w:t xml:space="preserve"> מיום שחרורו מהמאסר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יעבור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אחת ה</w:t>
      </w:r>
      <w:r>
        <w:rPr>
          <w:rFonts w:ascii="Century" w:hAnsi="Century" w:cs="Century"/>
          <w:sz w:val="22"/>
          <w:sz w:val="22"/>
          <w:rtl w:val="true"/>
        </w:rPr>
        <w:t>עביר</w:t>
      </w:r>
      <w:r>
        <w:rPr>
          <w:rFonts w:ascii="Century" w:hAnsi="Century" w:cs="Century"/>
          <w:sz w:val="22"/>
          <w:sz w:val="22"/>
          <w:rtl w:val="true"/>
        </w:rPr>
        <w:t xml:space="preserve">ות </w:t>
      </w:r>
      <w:r>
        <w:rPr>
          <w:rFonts w:ascii="Century" w:hAnsi="Century" w:cs="Century"/>
          <w:sz w:val="22"/>
          <w:sz w:val="22"/>
          <w:rtl w:val="true"/>
        </w:rPr>
        <w:t>בה</w:t>
      </w:r>
      <w:r>
        <w:rPr>
          <w:rFonts w:ascii="Century" w:hAnsi="Century" w:cs="Century"/>
          <w:sz w:val="22"/>
          <w:sz w:val="22"/>
          <w:rtl w:val="true"/>
        </w:rPr>
        <w:t>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הורשע</w:t>
      </w:r>
      <w:r>
        <w:rPr>
          <w:rFonts w:cs="Century" w:ascii="Century" w:hAnsi="Century"/>
          <w:sz w:val="22"/>
          <w:rtl w:val="true"/>
        </w:rPr>
        <w:t>;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 xml:space="preserve">וכן פיצוי </w:t>
      </w:r>
      <w:r>
        <w:rPr>
          <w:rFonts w:ascii="Century" w:hAnsi="Century" w:cs="Century"/>
          <w:sz w:val="22"/>
          <w:sz w:val="22"/>
          <w:rtl w:val="true"/>
        </w:rPr>
        <w:t>כספי לנפגעת העבירה</w:t>
      </w:r>
      <w:r>
        <w:rPr>
          <w:rtl w:val="true"/>
        </w:rPr>
        <w:t xml:space="preserve"> בסך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ונפגעת העבירה </w:t>
      </w:r>
      <w:r>
        <w:rPr>
          <w:rtl w:val="true"/>
        </w:rPr>
        <w:t>(</w:t>
      </w:r>
      <w:r>
        <w:rPr>
          <w:rtl w:val="true"/>
        </w:rPr>
        <w:t>שתזוהה להלן</w:t>
      </w:r>
      <w:r>
        <w:rPr>
          <w:rtl w:val="true"/>
        </w:rPr>
        <w:t xml:space="preserve">, </w:t>
      </w:r>
      <w:r>
        <w:rPr>
          <w:rtl w:val="true"/>
        </w:rPr>
        <w:t>לשם קיצור</w:t>
      </w:r>
      <w:r>
        <w:rPr>
          <w:rtl w:val="true"/>
        </w:rPr>
        <w:t xml:space="preserve">, </w:t>
      </w:r>
      <w:r>
        <w:rPr>
          <w:rtl w:val="true"/>
        </w:rPr>
        <w:t>גם כ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היו נשואים זה לזו במשך פרק</w:t>
      </w:r>
      <w:r>
        <w:rPr>
          <w:rtl w:val="true"/>
        </w:rPr>
        <w:t>-</w:t>
      </w:r>
      <w:r>
        <w:rPr>
          <w:rtl w:val="true"/>
        </w:rPr>
        <w:t>זמן קצר הרלבנטי לכתב האישום שהוגש נגד המערער בהליך קמא</w:t>
      </w:r>
      <w:r>
        <w:rPr>
          <w:rtl w:val="true"/>
        </w:rPr>
        <w:t xml:space="preserve">. </w:t>
      </w:r>
      <w:r>
        <w:rPr>
          <w:rtl w:val="true"/>
        </w:rPr>
        <w:t xml:space="preserve">הם נישאו ביום </w:t>
      </w:r>
      <w:r>
        <w:rPr/>
        <w:t>13.6.2020</w:t>
      </w:r>
      <w:r>
        <w:rPr>
          <w:rtl w:val="true"/>
        </w:rPr>
        <w:t xml:space="preserve"> </w:t>
      </w:r>
      <w:r>
        <w:rPr>
          <w:rtl w:val="true"/>
        </w:rPr>
        <w:t>ועברו להתגורר יחדיו בדירת המערער בשכונת ג</w:t>
      </w:r>
      <w:r>
        <w:rPr>
          <w:rtl w:val="true"/>
        </w:rPr>
        <w:t>'</w:t>
      </w:r>
      <w:r>
        <w:rPr>
          <w:rtl w:val="true"/>
        </w:rPr>
        <w:t>בל מוכבר שבמזרח ירושלים</w:t>
      </w:r>
      <w:r>
        <w:rPr>
          <w:rtl w:val="true"/>
        </w:rPr>
        <w:t xml:space="preserve">. </w:t>
      </w:r>
      <w:r>
        <w:rPr>
          <w:rtl w:val="true"/>
        </w:rPr>
        <w:t>בכתב האישום נטען כי מספר ימים לאחר נישואי הזוג ביקש המערער לקיים יחסי מין עם המתלוננת</w:t>
      </w:r>
      <w:r>
        <w:rPr>
          <w:rtl w:val="true"/>
        </w:rPr>
        <w:t xml:space="preserve">. </w:t>
      </w:r>
      <w:r>
        <w:rPr>
          <w:rtl w:val="true"/>
        </w:rPr>
        <w:t>המתלוננת השיבה למערער כי אינה מעוניינת לקיים עמו יחסי מין מאחר שטרם התנקתה מימי המחזור החודשי שלה</w:t>
      </w:r>
      <w:r>
        <w:rPr>
          <w:rtl w:val="true"/>
        </w:rPr>
        <w:t xml:space="preserve">. </w:t>
      </w:r>
      <w:r>
        <w:rPr>
          <w:rtl w:val="true"/>
        </w:rPr>
        <w:t>המערער הורה למתלוננת לרכון על מיטתם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ביקשה המתלוננת מהמערער שלא יעשה מעשה אסור מבחינה דתית</w:t>
      </w:r>
      <w:r>
        <w:rPr>
          <w:rtl w:val="true"/>
        </w:rPr>
        <w:t>-</w:t>
      </w:r>
      <w:r>
        <w:rPr>
          <w:rtl w:val="true"/>
        </w:rPr>
        <w:t xml:space="preserve">מוסלמית </w:t>
      </w:r>
      <w:r>
        <w:rPr>
          <w:rtl w:val="true"/>
        </w:rPr>
        <w:t>–</w:t>
      </w:r>
      <w:r>
        <w:rPr>
          <w:rtl w:val="true"/>
        </w:rPr>
        <w:t xml:space="preserve"> שכן היא חששה כי המערער מתכוון לקיים עמה יחסי מין אנאליים</w:t>
      </w:r>
      <w:r>
        <w:rPr>
          <w:rtl w:val="true"/>
        </w:rPr>
        <w:t xml:space="preserve">. </w:t>
      </w:r>
      <w:r>
        <w:rPr>
          <w:rtl w:val="true"/>
        </w:rPr>
        <w:t>המערער הבטיח למתלוננת כי לא יחדיר את איבר מינו לפי הטבעת שלה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למרות הבטחה זו</w:t>
      </w:r>
      <w:r>
        <w:rPr>
          <w:rtl w:val="true"/>
        </w:rPr>
        <w:t xml:space="preserve">, </w:t>
      </w:r>
      <w:r>
        <w:rPr>
          <w:rtl w:val="true"/>
        </w:rPr>
        <w:t>המערער מרח קרם על איבר מינו והחדירו לפי הטבעת של המתלוננת ללא הסכמתה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בחלוף מספר ימים</w:t>
      </w:r>
      <w:r>
        <w:rPr>
          <w:rtl w:val="true"/>
        </w:rPr>
        <w:t xml:space="preserve">, </w:t>
      </w:r>
      <w:r>
        <w:rPr>
          <w:rtl w:val="true"/>
        </w:rPr>
        <w:t>ביקש המערער לקיים יחסי מין אנאליים עם המתלוננת</w:t>
      </w:r>
      <w:r>
        <w:rPr>
          <w:rtl w:val="true"/>
        </w:rPr>
        <w:t xml:space="preserve">. </w:t>
      </w:r>
      <w:r>
        <w:rPr>
          <w:rtl w:val="true"/>
        </w:rPr>
        <w:t>המתלוננת סירבה לעשות כן ואמרה למערער כי היא מסכימה לקיים עמו יחסי מין וגינאליים בלבד</w:t>
      </w:r>
      <w:r>
        <w:rPr>
          <w:rtl w:val="true"/>
        </w:rPr>
        <w:t xml:space="preserve">. </w:t>
      </w:r>
      <w:r>
        <w:rPr>
          <w:rtl w:val="true"/>
        </w:rPr>
        <w:t>אמירה זו לא הותירה על המערער שום רושם</w:t>
      </w:r>
      <w:r>
        <w:rPr>
          <w:rtl w:val="true"/>
        </w:rPr>
        <w:t xml:space="preserve">. </w:t>
      </w:r>
      <w:r>
        <w:rPr>
          <w:rtl w:val="true"/>
        </w:rPr>
        <w:t>המערער הסיר בכוח את מכנסיה ואת בגדה התחתון של המתלוננת והחדיר את איבר מינו לפי הטבעת שלה ללא הסכמתה</w:t>
      </w:r>
      <w:r>
        <w:rPr>
          <w:rtl w:val="true"/>
        </w:rPr>
        <w:t xml:space="preserve">. </w:t>
      </w:r>
      <w:r>
        <w:rPr>
          <w:rtl w:val="true"/>
        </w:rPr>
        <w:t>המתלוננת ניסתה לדחוף את המערער כשזה רכן מעליה</w:t>
      </w:r>
      <w:r>
        <w:rPr>
          <w:rtl w:val="true"/>
        </w:rPr>
        <w:t xml:space="preserve">, </w:t>
      </w:r>
      <w:r>
        <w:rPr>
          <w:rtl w:val="true"/>
        </w:rPr>
        <w:t>אך זאת ללא הצלחה</w:t>
      </w:r>
      <w:r>
        <w:rPr>
          <w:rtl w:val="true"/>
        </w:rPr>
        <w:t xml:space="preserve">. </w:t>
      </w:r>
      <w:r>
        <w:rPr>
          <w:rtl w:val="true"/>
        </w:rPr>
        <w:t>בתגובה לדחיפה זו</w:t>
      </w:r>
      <w:r>
        <w:rPr>
          <w:rtl w:val="true"/>
        </w:rPr>
        <w:t xml:space="preserve">, </w:t>
      </w:r>
      <w:r>
        <w:rPr>
          <w:rtl w:val="true"/>
        </w:rPr>
        <w:t xml:space="preserve">הכה המערער את המתלוננת בראשה ובגופה </w:t>
      </w:r>
      <w:r>
        <w:rPr>
          <w:rtl w:val="true"/>
        </w:rPr>
        <w:t>–</w:t>
      </w:r>
      <w:r>
        <w:rPr>
          <w:rtl w:val="true"/>
        </w:rPr>
        <w:t xml:space="preserve"> מכות שהותירו סימן על פניה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מספר ימים לאחר מכן</w:t>
      </w:r>
      <w:r>
        <w:rPr>
          <w:rtl w:val="true"/>
        </w:rPr>
        <w:t xml:space="preserve">, </w:t>
      </w:r>
      <w:r>
        <w:rPr>
          <w:rtl w:val="true"/>
        </w:rPr>
        <w:t>ביקש המערער לקיים יחסי מין עם המתלוננת והפשיל את מכנסיה יחד עם בגדה התחתון</w:t>
      </w:r>
      <w:r>
        <w:rPr>
          <w:rtl w:val="true"/>
        </w:rPr>
        <w:t xml:space="preserve">. </w:t>
      </w:r>
      <w:r>
        <w:rPr>
          <w:rtl w:val="true"/>
        </w:rPr>
        <w:t>המערער חיכך את איבר מינו בישבנה של המתלוננת</w:t>
      </w:r>
      <w:r>
        <w:rPr>
          <w:rtl w:val="true"/>
        </w:rPr>
        <w:t xml:space="preserve">, </w:t>
      </w:r>
      <w:r>
        <w:rPr>
          <w:rtl w:val="true"/>
        </w:rPr>
        <w:t>שבתגובה ביקשה שלא יחדיר את איבר מינו לפי הטבעת שלה מכיוון שהדבר אסור מבחינה דתית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לא </w:t>
      </w:r>
      <w:r>
        <w:rPr>
          <w:rtl w:val="true"/>
        </w:rPr>
        <w:t>שעה לבקשה</w:t>
      </w:r>
      <w:r>
        <w:rPr>
          <w:rtl w:val="true"/>
        </w:rPr>
        <w:t xml:space="preserve"> זו</w:t>
      </w:r>
      <w:r>
        <w:rPr>
          <w:rtl w:val="true"/>
        </w:rPr>
        <w:t xml:space="preserve">. </w:t>
      </w:r>
      <w:r>
        <w:rPr>
          <w:rtl w:val="true"/>
        </w:rPr>
        <w:t>הוא השכיב את המתלוננת על בטנה</w:t>
      </w:r>
      <w:r>
        <w:rPr>
          <w:rtl w:val="true"/>
        </w:rPr>
        <w:t xml:space="preserve">, </w:t>
      </w:r>
      <w:r>
        <w:rPr>
          <w:rtl w:val="true"/>
        </w:rPr>
        <w:t>החדיר את איבר מינו לפי הטבעת שלה שלא בהסכמתה</w:t>
      </w:r>
      <w:r>
        <w:rPr>
          <w:rtl w:val="true"/>
        </w:rPr>
        <w:t xml:space="preserve">, </w:t>
      </w:r>
      <w:r>
        <w:rPr>
          <w:rtl w:val="true"/>
        </w:rPr>
        <w:t>עד שהגיע לפורקן</w:t>
      </w:r>
      <w:r>
        <w:rPr>
          <w:rtl w:val="true"/>
        </w:rPr>
        <w:t xml:space="preserve">, </w:t>
      </w:r>
      <w:r>
        <w:rPr>
          <w:rtl w:val="true"/>
        </w:rPr>
        <w:t>וגרם לה לדימום</w:t>
      </w:r>
      <w:r>
        <w:rPr>
          <w:rtl w:val="true"/>
        </w:rPr>
        <w:t xml:space="preserve">. </w:t>
      </w:r>
      <w:r>
        <w:rPr>
          <w:rtl w:val="true"/>
        </w:rPr>
        <w:t>המערער חזר על מעשיו אלו בחלוף מספר ימים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במועד אחר</w:t>
      </w:r>
      <w:r>
        <w:rPr>
          <w:rtl w:val="true"/>
        </w:rPr>
        <w:t xml:space="preserve">, </w:t>
      </w:r>
      <w:r>
        <w:rPr>
          <w:rtl w:val="true"/>
        </w:rPr>
        <w:t>הודיע המערער למתלוננת כי ברצונו להגיע לפורקן מיני בתוך פיה</w:t>
      </w:r>
      <w:r>
        <w:rPr>
          <w:rtl w:val="true"/>
        </w:rPr>
        <w:t xml:space="preserve">, </w:t>
      </w:r>
      <w:r>
        <w:rPr>
          <w:rtl w:val="true"/>
        </w:rPr>
        <w:t>אך זו סירבה לבצע בו מין אוראלי</w:t>
      </w:r>
      <w:r>
        <w:rPr>
          <w:rtl w:val="true"/>
        </w:rPr>
        <w:t xml:space="preserve">. </w:t>
      </w:r>
      <w:r>
        <w:rPr>
          <w:rtl w:val="true"/>
        </w:rPr>
        <w:t>המערער הגיב לכך בצעקות ואמר למתלוננת כי אינה רשאית לסרב לו וכי הוא לא התחתן עמה כדי להסתכל עליה</w:t>
      </w:r>
      <w:r>
        <w:rPr>
          <w:rtl w:val="true"/>
        </w:rPr>
        <w:t xml:space="preserve">. </w:t>
      </w:r>
      <w:r>
        <w:rPr>
          <w:rtl w:val="true"/>
        </w:rPr>
        <w:t>המערער החדיר בכוח את איבר מינו לפיה של המתלוננת והגיע לפורקן בפיה</w:t>
      </w:r>
      <w:r>
        <w:rPr>
          <w:rtl w:val="true"/>
        </w:rPr>
        <w:t xml:space="preserve">. </w:t>
      </w:r>
      <w:r>
        <w:rPr>
          <w:rtl w:val="true"/>
        </w:rPr>
        <w:t>מספר דקות לאחר מכן הקיאה המתלוננת</w:t>
      </w:r>
      <w:r>
        <w:rPr>
          <w:rtl w:val="true"/>
        </w:rPr>
        <w:t xml:space="preserve">. </w:t>
      </w:r>
      <w:r>
        <w:rPr>
          <w:rtl w:val="true"/>
        </w:rPr>
        <w:t>בשלושה מועדים נוספים הכריח המערער את המתלוננת לבצע בו מין אוראלי שלא בהסכמתה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מספר ימים לפני יום </w:t>
      </w:r>
      <w:r>
        <w:rPr/>
        <w:t>21.8.2020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יום מעצרו של המערער </w:t>
      </w:r>
      <w:r>
        <w:rPr>
          <w:rtl w:val="true"/>
        </w:rPr>
        <w:t>–</w:t>
      </w:r>
      <w:r>
        <w:rPr>
          <w:rtl w:val="true"/>
        </w:rPr>
        <w:t xml:space="preserve"> ביקש המערער מהמתלוננת לקיים עמו יחסי מין והפשיל את חצאיתה ותחתוניה</w:t>
      </w:r>
      <w:r>
        <w:rPr>
          <w:rtl w:val="true"/>
        </w:rPr>
        <w:t xml:space="preserve">. </w:t>
      </w:r>
      <w:r>
        <w:rPr>
          <w:rtl w:val="true"/>
        </w:rPr>
        <w:t>המערער חיכך את איבר מינו בישבנה של המתלוננת</w:t>
      </w:r>
      <w:r>
        <w:rPr>
          <w:rtl w:val="true"/>
        </w:rPr>
        <w:t xml:space="preserve">, </w:t>
      </w:r>
      <w:r>
        <w:rPr>
          <w:rtl w:val="true"/>
        </w:rPr>
        <w:t>אשר ביקשה ממנו שלא יקיים עמה מין אנאלי מכיוון שהדבר אסור מבחינה דתית וגורם למחלות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סטר המערער בפניה של המתלוננת</w:t>
      </w:r>
      <w:r>
        <w:rPr>
          <w:rtl w:val="true"/>
        </w:rPr>
        <w:t xml:space="preserve">, </w:t>
      </w:r>
      <w:r>
        <w:rPr>
          <w:rtl w:val="true"/>
        </w:rPr>
        <w:t>תפס אותה בכתפיים</w:t>
      </w:r>
      <w:r>
        <w:rPr>
          <w:rtl w:val="true"/>
        </w:rPr>
        <w:t xml:space="preserve">, </w:t>
      </w:r>
      <w:r>
        <w:rPr>
          <w:rtl w:val="true"/>
        </w:rPr>
        <w:t xml:space="preserve">השכיבה על הבטן והחדיר את איבר מינו לפי הטבעת שלה שלא בהסכמתה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למרות בכיה ואמירותיה כי הדבר אסור</w:t>
      </w:r>
      <w:r>
        <w:rPr>
          <w:rtl w:val="true"/>
        </w:rPr>
        <w:t xml:space="preserve">. </w:t>
      </w:r>
      <w:r>
        <w:rPr>
          <w:rtl w:val="true"/>
        </w:rPr>
        <w:t>המערער דרש מהמתלוננת לשתוק כדי שלא ישמעו את בכיה והמשיך במעשיו עד שהגיע לפורקן בתוך פי הטבעת שלה</w:t>
      </w:r>
      <w:r>
        <w:rPr>
          <w:rtl w:val="true"/>
        </w:rPr>
        <w:t xml:space="preserve">. </w:t>
      </w:r>
      <w:r>
        <w:rPr>
          <w:rtl w:val="true"/>
        </w:rPr>
        <w:t>המערער ביצע במתלוננת מין אנאלי לפחות בחמש הזדמנויות נוספות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במקביל לאלימות המינית שהפעיל המערער כלפי המתלוננת</w:t>
      </w:r>
      <w:r>
        <w:rPr>
          <w:rtl w:val="true"/>
        </w:rPr>
        <w:t xml:space="preserve">, </w:t>
      </w:r>
      <w:r>
        <w:rPr>
          <w:rtl w:val="true"/>
        </w:rPr>
        <w:t>הוא החל לעקוב אחר שיחותיה עם אנשים אחרים ואיים שייקח ממנה את מכשיר הטלפון שלה</w:t>
      </w:r>
      <w:r>
        <w:rPr>
          <w:rtl w:val="true"/>
        </w:rPr>
        <w:t xml:space="preserve">. </w:t>
      </w:r>
      <w:r>
        <w:rPr>
          <w:rtl w:val="true"/>
        </w:rPr>
        <w:t>במספר הזדמנויות נוספות תקף המערער את המתלוננת</w:t>
      </w:r>
      <w:r>
        <w:rPr>
          <w:rtl w:val="true"/>
        </w:rPr>
        <w:t xml:space="preserve">: </w:t>
      </w:r>
      <w:r>
        <w:rPr>
          <w:rtl w:val="true"/>
        </w:rPr>
        <w:t>הוא סטר על ראשה ועל פניה ומשך בשערותיה</w:t>
      </w:r>
      <w:r>
        <w:rPr>
          <w:rtl w:val="true"/>
        </w:rPr>
        <w:t xml:space="preserve">. </w:t>
      </w:r>
      <w:r>
        <w:rPr>
          <w:rtl w:val="true"/>
        </w:rPr>
        <w:t>המערער איים על המתלוננת כי אם תחשוף את מעשיו הוא יכה אותה ואף יהרגהּ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בעקבות כל אלה</w:t>
      </w:r>
      <w:r>
        <w:rPr>
          <w:rtl w:val="true"/>
        </w:rPr>
        <w:t xml:space="preserve">, </w:t>
      </w:r>
      <w:r>
        <w:rPr>
          <w:rtl w:val="true"/>
        </w:rPr>
        <w:t>נישואי המערער למתלוננת עלו על שרטון ופורקו כחודשיים אחרי שהחלו</w:t>
      </w:r>
      <w:r>
        <w:rPr>
          <w:rtl w:val="true"/>
        </w:rPr>
        <w:t xml:space="preserve">. </w:t>
      </w:r>
      <w:r>
        <w:rPr>
          <w:rtl w:val="true"/>
        </w:rPr>
        <w:t>השניים התגרשו תוך כדי ההליך הפלילי שהתנהל בפני בית משפט קמא ולפני מתן גזר הדין בעניינו של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כפר במיוחס לו בכתב האישום</w:t>
      </w:r>
      <w:r>
        <w:rPr>
          <w:rtl w:val="true"/>
        </w:rPr>
        <w:t xml:space="preserve">. </w:t>
      </w:r>
      <w:r>
        <w:rPr>
          <w:rtl w:val="true"/>
        </w:rPr>
        <w:t>בעקבות כפירתו זו</w:t>
      </w:r>
      <w:r>
        <w:rPr>
          <w:rtl w:val="true"/>
        </w:rPr>
        <w:t xml:space="preserve">, </w:t>
      </w:r>
      <w:r>
        <w:rPr>
          <w:rtl w:val="true"/>
        </w:rPr>
        <w:t>בית משפט קמא קיים הוכחות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ההוכחות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הראיה המרכזית שהובילה להרשעת המערער היא עדות המתלוננת</w:t>
      </w:r>
      <w:r>
        <w:rPr>
          <w:rtl w:val="true"/>
        </w:rPr>
        <w:t xml:space="preserve">. </w:t>
      </w:r>
      <w:r>
        <w:rPr>
          <w:rtl w:val="true"/>
        </w:rPr>
        <w:t>בעדותה זו</w:t>
      </w:r>
      <w:r>
        <w:rPr>
          <w:rtl w:val="true"/>
        </w:rPr>
        <w:t xml:space="preserve">, </w:t>
      </w:r>
      <w:r>
        <w:rPr>
          <w:rtl w:val="true"/>
        </w:rPr>
        <w:t>סיפרה המתלוננת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כי לאחר חתונתם של השניים ביקש המערער לקיים עמה יחסי מין</w:t>
      </w:r>
      <w:r>
        <w:rPr>
          <w:rtl w:val="true"/>
        </w:rPr>
        <w:t xml:space="preserve">, </w:t>
      </w:r>
      <w:r>
        <w:rPr>
          <w:rtl w:val="true"/>
        </w:rPr>
        <w:t>אך היא סירבה מכיוון שהיתה בתקופת המחזור</w:t>
      </w:r>
      <w:r>
        <w:rPr>
          <w:rtl w:val="true"/>
        </w:rPr>
        <w:t xml:space="preserve">. </w:t>
      </w:r>
      <w:r>
        <w:rPr>
          <w:rtl w:val="true"/>
        </w:rPr>
        <w:t>אחרי ויכוח בין השניים</w:t>
      </w:r>
      <w:r>
        <w:rPr>
          <w:rtl w:val="true"/>
        </w:rPr>
        <w:t xml:space="preserve">, </w:t>
      </w:r>
      <w:r>
        <w:rPr>
          <w:rtl w:val="true"/>
        </w:rPr>
        <w:t>ביקש המערער להגיע לפורקן מיני על רגלה של המתלוננת</w:t>
      </w:r>
      <w:r>
        <w:rPr>
          <w:rtl w:val="true"/>
        </w:rPr>
        <w:t xml:space="preserve">, </w:t>
      </w:r>
      <w:r>
        <w:rPr>
          <w:rtl w:val="true"/>
        </w:rPr>
        <w:t>אשר נענתה לבקשתו</w:t>
      </w:r>
      <w:r>
        <w:rPr>
          <w:rtl w:val="true"/>
        </w:rPr>
        <w:t xml:space="preserve">. </w:t>
      </w:r>
      <w:r>
        <w:rPr>
          <w:rtl w:val="true"/>
        </w:rPr>
        <w:t>המתלוננת טענה כי לא ציינה את האירוע בחקירותיה במשטרה או בפרקליטות מכיוון ששכחה מקיומו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המתלוננת תיארה בעדותה מקרים בהם קיימה עם המערער יחסי מין וגינאליים בהסכמתה</w:t>
      </w:r>
      <w:r>
        <w:rPr>
          <w:rtl w:val="true"/>
        </w:rPr>
        <w:t xml:space="preserve">. </w:t>
      </w:r>
      <w:r>
        <w:rPr>
          <w:rtl w:val="true"/>
        </w:rPr>
        <w:t>בהתאם לעדותה</w:t>
      </w:r>
      <w:r>
        <w:rPr>
          <w:rtl w:val="true"/>
        </w:rPr>
        <w:t xml:space="preserve">, </w:t>
      </w:r>
      <w:r>
        <w:rPr>
          <w:rtl w:val="true"/>
        </w:rPr>
        <w:t>השניים נהגו לקיים יחסי מין וגינאליים מדי יום או יומיים</w:t>
      </w:r>
      <w:r>
        <w:rPr>
          <w:rtl w:val="true"/>
        </w:rPr>
        <w:t xml:space="preserve">. </w:t>
      </w:r>
      <w:r>
        <w:rPr>
          <w:rtl w:val="true"/>
        </w:rPr>
        <w:t>המתלוננת העידה כי לעתים היתה מעוניינת בקיום היחסים הללו ולעתים לא רצתה לקיימם מאחר שאלו הסבו לה כאב</w:t>
      </w:r>
      <w:r>
        <w:rPr>
          <w:rtl w:val="true"/>
        </w:rPr>
        <w:t xml:space="preserve">. </w:t>
      </w:r>
      <w:r>
        <w:rPr>
          <w:rtl w:val="true"/>
        </w:rPr>
        <w:t>לפי דבריה</w:t>
      </w:r>
      <w:r>
        <w:rPr>
          <w:rtl w:val="true"/>
        </w:rPr>
        <w:t xml:space="preserve">, </w:t>
      </w:r>
      <w:r>
        <w:rPr>
          <w:rtl w:val="true"/>
        </w:rPr>
        <w:t>במקרים בהם היא לא רצתה לקיים יחסי מין וסיפרה על כך למערער</w:t>
      </w:r>
      <w:r>
        <w:rPr>
          <w:rtl w:val="true"/>
        </w:rPr>
        <w:t xml:space="preserve">, </w:t>
      </w:r>
      <w:r>
        <w:rPr>
          <w:rtl w:val="true"/>
        </w:rPr>
        <w:t>המערער נהג לומר לה בתגובה</w:t>
      </w:r>
      <w:r>
        <w:rPr>
          <w:rtl w:val="true"/>
        </w:rPr>
        <w:t>: "</w:t>
      </w:r>
      <w:r>
        <w:rPr>
          <w:rtl w:val="true"/>
        </w:rPr>
        <w:t>בשביל מה התחתנתי אתך</w:t>
      </w:r>
      <w:r>
        <w:rPr>
          <w:rtl w:val="true"/>
        </w:rPr>
        <w:t xml:space="preserve">, </w:t>
      </w:r>
      <w:r>
        <w:rPr>
          <w:rtl w:val="true"/>
        </w:rPr>
        <w:t>ואסור לך להגיד לי לא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 מסרה המתלוננת בעדותה כי המערער ביצע בה מין אנאלי</w:t>
      </w:r>
      <w:r>
        <w:rPr>
          <w:rtl w:val="true"/>
        </w:rPr>
        <w:t xml:space="preserve">, </w:t>
      </w:r>
      <w:r>
        <w:rPr>
          <w:rtl w:val="true"/>
        </w:rPr>
        <w:t>שלא בהסכמתה</w:t>
      </w:r>
      <w:r>
        <w:rPr>
          <w:rtl w:val="true"/>
        </w:rPr>
        <w:t xml:space="preserve">, </w:t>
      </w:r>
      <w:r>
        <w:rPr>
          <w:rtl w:val="true"/>
        </w:rPr>
        <w:t>למעלה משבע פעמים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בכל אותם פעמים</w:t>
      </w:r>
      <w:r>
        <w:rPr>
          <w:rtl w:val="true"/>
        </w:rPr>
        <w:t xml:space="preserve">, </w:t>
      </w:r>
      <w:r>
        <w:rPr>
          <w:rtl w:val="true"/>
        </w:rPr>
        <w:t>המערער כפה עליה מין אנאלי למרות הפצרותיה כי אינה מעוניינת בכך בגלל הכאב הרב שמעשיו גרמו לה ומפאת האיסור הדתי על מעשים אלו</w:t>
      </w:r>
      <w:r>
        <w:rPr>
          <w:rtl w:val="true"/>
        </w:rPr>
        <w:t xml:space="preserve">. </w:t>
      </w:r>
      <w:r>
        <w:rPr>
          <w:rtl w:val="true"/>
        </w:rPr>
        <w:t>המתלוננת תיארה בעדותה כי בחלק מהמקרים הללו המערער הכחיש כי החדיר את איבר מינו אל תוך פי הטבעת שלה וטען כי החדירו אל איבר מינה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נהג להגיד לה כי אינה מבדילה בין חדירה אנאלית לבין חדירה וגינאלית </w:t>
      </w:r>
      <w:r>
        <w:rPr>
          <w:rtl w:val="true"/>
        </w:rPr>
        <w:t>–</w:t>
      </w:r>
      <w:r>
        <w:rPr>
          <w:rtl w:val="true"/>
        </w:rPr>
        <w:t xml:space="preserve"> למרות שהיא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היתה ונשארה בטוחה בכך שהמערער החדיר את איבר מינו לפי הטבעת שלה</w:t>
      </w:r>
      <w:r>
        <w:rPr>
          <w:rtl w:val="true"/>
        </w:rPr>
        <w:t xml:space="preserve">. </w:t>
      </w:r>
      <w:r>
        <w:rPr>
          <w:rtl w:val="true"/>
        </w:rPr>
        <w:t>המתלוננת סיפרה לבית המשפט כי בחלק מהמקרים הללו המערער השכיבה בכוח על המיטה והכה אותה כאשר התנגדה למעשיו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המערער גם אסר עליה לספר לאיש על המעשים שביצע בגופה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מסרה המתלוננת בעדותה בפני בית משפט קמא</w:t>
      </w:r>
      <w:r>
        <w:rPr>
          <w:rtl w:val="true"/>
        </w:rPr>
        <w:t xml:space="preserve">, </w:t>
      </w:r>
      <w:r>
        <w:rPr>
          <w:rtl w:val="true"/>
        </w:rPr>
        <w:t>כי המערער הכה אותה במספר מקרים במהלך ויכוחים שפרצו בין השניים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בחלק מהמקרים הללו המערער איים כי במידה ותספר על האלימות שהפעיל כלפיה</w:t>
      </w:r>
      <w:r>
        <w:rPr>
          <w:rtl w:val="true"/>
        </w:rPr>
        <w:t xml:space="preserve">, </w:t>
      </w:r>
      <w:r>
        <w:rPr>
          <w:rtl w:val="true"/>
        </w:rPr>
        <w:t>הוא יכה אותה ואת הוריה</w:t>
      </w:r>
      <w:r>
        <w:rPr>
          <w:rtl w:val="true"/>
        </w:rPr>
        <w:t xml:space="preserve">. </w:t>
      </w:r>
      <w:r>
        <w:rPr>
          <w:rtl w:val="true"/>
        </w:rPr>
        <w:t>בקשר לאחד האירועים הללו</w:t>
      </w:r>
      <w:r>
        <w:rPr>
          <w:rtl w:val="true"/>
        </w:rPr>
        <w:t xml:space="preserve">, </w:t>
      </w:r>
      <w:r>
        <w:rPr>
          <w:rtl w:val="true"/>
        </w:rPr>
        <w:t>טענה המתלוננת בעדותה כי שכחה לספר עליו בהודעה שמסרה למשטרה</w:t>
      </w:r>
      <w:r>
        <w:rPr>
          <w:rtl w:val="true"/>
        </w:rPr>
        <w:t xml:space="preserve">. </w:t>
      </w:r>
      <w:r>
        <w:rPr>
          <w:rtl w:val="true"/>
        </w:rPr>
        <w:t>המתלוננת העידה כי חשה כאבים באוזנה בעקבות אחד ממעשי האלימות שהמערער הפעיל כלפיה</w:t>
      </w:r>
      <w:r>
        <w:rPr>
          <w:rtl w:val="true"/>
        </w:rPr>
        <w:t xml:space="preserve">, </w:t>
      </w:r>
      <w:r>
        <w:rPr>
          <w:rtl w:val="true"/>
        </w:rPr>
        <w:t>וכתוצאה מכך הלה לקח אותה לביקור אצל רופא</w:t>
      </w:r>
      <w:r>
        <w:rPr>
          <w:rtl w:val="true"/>
        </w:rPr>
        <w:t xml:space="preserve">. </w:t>
      </w:r>
      <w:r>
        <w:rPr>
          <w:rtl w:val="true"/>
        </w:rPr>
        <w:t>במהלך עדותה של המתלוננת</w:t>
      </w:r>
      <w:r>
        <w:rPr>
          <w:rtl w:val="true"/>
        </w:rPr>
        <w:t xml:space="preserve">, </w:t>
      </w:r>
      <w:r>
        <w:rPr>
          <w:rtl w:val="true"/>
        </w:rPr>
        <w:t>הוצג לבית המשפט צילום המתעד את אוזנה אשר צולמה בסמיכות זמנים לאחד ממעשי התקיפה של המערער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הוגשה לבית המשפט הקלטה בה נשמע המערער אומר כי אין גבר שלא מרביץ לאשתו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המתלוננת הוסיפה וסיפרה בעדותה כי המערער נהג לאיים עליה כי אם יכנס למאסר הוא ישלח אנשים להורגה וכי הוא ישבור לה את הראש</w:t>
      </w:r>
      <w:r>
        <w:rPr>
          <w:rtl w:val="true"/>
        </w:rPr>
        <w:t xml:space="preserve">. </w:t>
      </w:r>
      <w:r>
        <w:rPr>
          <w:rtl w:val="true"/>
        </w:rPr>
        <w:t>כמו כן תיארה המתלוננת בעדותה כיצד ראתה אדם שעקב אחריה אחרי מעצרו של המערער וסיפרה כי המערער אמר לה</w:t>
      </w:r>
      <w:r>
        <w:rPr>
          <w:rtl w:val="true"/>
        </w:rPr>
        <w:t xml:space="preserve">, </w:t>
      </w:r>
      <w:r>
        <w:rPr>
          <w:rtl w:val="true"/>
        </w:rPr>
        <w:t>באחת השיחות שניהל עמה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אצלנו אם מישהי פונה למשטרה אנחנו הורגים אותה וזורקים אותה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המתלוננת העידה גם כי חוותה לפחות חמישה אירועים בהם המערער הכריחהּ לבצע בו מין אוראלי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המערער נהג להגיד כי הוא מעוניין להגיע לפורקן מיני בתוך פיה</w:t>
      </w:r>
      <w:r>
        <w:rPr>
          <w:rtl w:val="true"/>
        </w:rPr>
        <w:t xml:space="preserve">; </w:t>
      </w:r>
      <w:r>
        <w:rPr>
          <w:rtl w:val="true"/>
        </w:rPr>
        <w:t>וכאשר היתה מסרבת להיענות לדרישה זו</w:t>
      </w:r>
      <w:r>
        <w:rPr>
          <w:rtl w:val="true"/>
        </w:rPr>
        <w:t xml:space="preserve">, </w:t>
      </w:r>
      <w:r>
        <w:rPr>
          <w:rtl w:val="true"/>
        </w:rPr>
        <w:t>היה מודיע לה כי אינה יכולה לסרב לו</w:t>
      </w:r>
      <w:r>
        <w:rPr>
          <w:rtl w:val="true"/>
        </w:rPr>
        <w:t xml:space="preserve">. </w:t>
      </w:r>
      <w:r>
        <w:rPr>
          <w:rtl w:val="true"/>
        </w:rPr>
        <w:t>בכל המקרים הללו</w:t>
      </w:r>
      <w:r>
        <w:rPr>
          <w:rtl w:val="true"/>
        </w:rPr>
        <w:t xml:space="preserve">, </w:t>
      </w:r>
      <w:r>
        <w:rPr>
          <w:rtl w:val="true"/>
        </w:rPr>
        <w:t>המערער אחז בראשה של המתלוננת והכניס את איבר מינו לתוך פיה</w:t>
      </w:r>
      <w:r>
        <w:rPr>
          <w:rtl w:val="true"/>
        </w:rPr>
        <w:t xml:space="preserve">, </w:t>
      </w:r>
      <w:r>
        <w:rPr>
          <w:rtl w:val="true"/>
        </w:rPr>
        <w:t>שלא בהסכמתה</w:t>
      </w:r>
      <w:r>
        <w:rPr>
          <w:rtl w:val="true"/>
        </w:rPr>
        <w:t xml:space="preserve">, </w:t>
      </w:r>
      <w:r>
        <w:rPr>
          <w:rtl w:val="true"/>
        </w:rPr>
        <w:t>עד להגעתו לפורקן מיני</w:t>
      </w:r>
      <w:r>
        <w:rPr>
          <w:rtl w:val="true"/>
        </w:rPr>
        <w:t xml:space="preserve">. </w:t>
      </w:r>
      <w:r>
        <w:rPr>
          <w:rtl w:val="true"/>
        </w:rPr>
        <w:t>בחלק מאירועים אלה</w:t>
      </w:r>
      <w:r>
        <w:rPr>
          <w:rtl w:val="true"/>
        </w:rPr>
        <w:t xml:space="preserve">, </w:t>
      </w:r>
      <w:r>
        <w:rPr>
          <w:rtl w:val="true"/>
        </w:rPr>
        <w:t>המתלוננת הקיאה אחרי שהמערער ביצע בה את זממו</w:t>
      </w:r>
      <w:r>
        <w:rPr>
          <w:rtl w:val="true"/>
        </w:rPr>
        <w:t xml:space="preserve">. </w:t>
      </w:r>
      <w:r>
        <w:rPr>
          <w:rtl w:val="true"/>
        </w:rPr>
        <w:t>המתלוננת טענה כי לא סיפרה על האירועים האלה מאחר שהתביישה ומשום שאין מדובר במעשה אסור מבחינה דתית</w:t>
      </w:r>
      <w:r>
        <w:rPr>
          <w:rtl w:val="true"/>
        </w:rPr>
        <w:t xml:space="preserve">. </w:t>
      </w:r>
      <w:r>
        <w:rPr>
          <w:rtl w:val="true"/>
        </w:rPr>
        <w:t>בחקירתה הנגדית סיפרה המתלוננת כי בכל הפעמים שרצה המערער שתבצע בו מין אוראלי</w:t>
      </w:r>
      <w:r>
        <w:rPr>
          <w:rtl w:val="true"/>
        </w:rPr>
        <w:t xml:space="preserve">, </w:t>
      </w:r>
      <w:r>
        <w:rPr>
          <w:rtl w:val="true"/>
        </w:rPr>
        <w:t>היא הסכימה לכך שהמערער יכניס חלק קטן מאיבר מינו לפיה</w:t>
      </w:r>
      <w:r>
        <w:rPr>
          <w:rtl w:val="true"/>
        </w:rPr>
        <w:t xml:space="preserve">, </w:t>
      </w:r>
      <w:r>
        <w:rPr>
          <w:rtl w:val="true"/>
        </w:rPr>
        <w:t>אולם לאחר מכן המערער היה מכניס את כל איבר מינו לתוך פיה שלא בהסכמתה ובכוח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המתלוננת סיפרה בעדותה כי שיתפה אנשים שונים אודות חלק מהאירועים הטראומטיים שחוותה ביחסיה עם המערער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המתלוננת העידה כי שאלה את אמה האם מותר למערער לבצע בה מין אנאלי</w:t>
      </w:r>
      <w:r>
        <w:rPr>
          <w:rtl w:val="true"/>
        </w:rPr>
        <w:t xml:space="preserve">. </w:t>
      </w:r>
      <w:r>
        <w:rPr>
          <w:rtl w:val="true"/>
        </w:rPr>
        <w:t>לאחר שהשיבה האם בשלילה</w:t>
      </w:r>
      <w:r>
        <w:rPr>
          <w:rtl w:val="true"/>
        </w:rPr>
        <w:t xml:space="preserve">, </w:t>
      </w:r>
      <w:r>
        <w:rPr>
          <w:rtl w:val="true"/>
        </w:rPr>
        <w:t>סיפרה לה המתלוננת כי המערער עשה כן פעמים רבות</w:t>
      </w:r>
      <w:r>
        <w:rPr>
          <w:rtl w:val="true"/>
        </w:rPr>
        <w:t xml:space="preserve">. </w:t>
      </w:r>
      <w:r>
        <w:rPr>
          <w:rtl w:val="true"/>
        </w:rPr>
        <w:t>בעקבות שיחה זו</w:t>
      </w:r>
      <w:r>
        <w:rPr>
          <w:rtl w:val="true"/>
        </w:rPr>
        <w:t xml:space="preserve">, </w:t>
      </w:r>
      <w:r>
        <w:rPr>
          <w:rtl w:val="true"/>
        </w:rPr>
        <w:t>אמה של המתלוננת שלחה לה סרטון בו שייח</w:t>
      </w:r>
      <w:r>
        <w:rPr>
          <w:rtl w:val="true"/>
        </w:rPr>
        <w:t xml:space="preserve">' </w:t>
      </w:r>
      <w:r>
        <w:rPr>
          <w:rtl w:val="true"/>
        </w:rPr>
        <w:t>מסביר על הנזק שנגרם ממין אנאלי והמתלוננת העבירה את הסרטון למערער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אביו של המערער יצר עמו קשר וסיפר לו כי אביה של המתלוננת ביקש ממנו לוודא שהמערער לא יבצע מעשים אסורים מבחינה דתית בבתו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הגיעו הוריה של המתלוננת לביתם של בני הזוג במטרה לשוחח עם המערער</w:t>
      </w:r>
      <w:r>
        <w:rPr>
          <w:rtl w:val="true"/>
        </w:rPr>
        <w:t xml:space="preserve">. </w:t>
      </w:r>
      <w:r>
        <w:rPr>
          <w:rtl w:val="true"/>
        </w:rPr>
        <w:t>בשיחה זו</w:t>
      </w:r>
      <w:r>
        <w:rPr>
          <w:rtl w:val="true"/>
        </w:rPr>
        <w:t xml:space="preserve">, </w:t>
      </w:r>
      <w:r>
        <w:rPr>
          <w:rtl w:val="true"/>
        </w:rPr>
        <w:t>הודה המערער בפני הוריה של המתלוננת כי ביצע בה מין אנאלי במקרה בודד מחמת בטעות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אמה של המתלוננת העידה בבית משפט קמא ואישרה את הדברים</w:t>
      </w:r>
      <w:r>
        <w:rPr>
          <w:rtl w:val="true"/>
        </w:rPr>
        <w:t xml:space="preserve">. </w:t>
      </w:r>
      <w:r>
        <w:rPr>
          <w:rtl w:val="true"/>
        </w:rPr>
        <w:t xml:space="preserve">לצד תכתובות ביישומון </w:t>
      </w:r>
      <w:r>
        <w:rPr>
          <w:rtl w:val="true"/>
        </w:rPr>
        <w:t>"</w:t>
      </w:r>
      <w:r>
        <w:rPr>
          <w:rtl w:val="true"/>
        </w:rPr>
        <w:t>ווטסאפ</w:t>
      </w:r>
      <w:r>
        <w:rPr>
          <w:rtl w:val="true"/>
        </w:rPr>
        <w:t xml:space="preserve">" </w:t>
      </w:r>
      <w:r>
        <w:rPr>
          <w:rtl w:val="true"/>
        </w:rPr>
        <w:t>אשר הוחלפו בין המתלוננת לאמה</w:t>
      </w:r>
      <w:r>
        <w:rPr>
          <w:rtl w:val="true"/>
        </w:rPr>
        <w:t xml:space="preserve">, </w:t>
      </w:r>
      <w:r>
        <w:rPr>
          <w:rtl w:val="true"/>
        </w:rPr>
        <w:t>ואשר הוצגו בפני בית המשפט קמא</w:t>
      </w:r>
      <w:r>
        <w:rPr>
          <w:rtl w:val="true"/>
        </w:rPr>
        <w:t xml:space="preserve">, </w:t>
      </w:r>
      <w:r>
        <w:rPr>
          <w:rtl w:val="true"/>
        </w:rPr>
        <w:t>העידה האם על מקרים בהם ראתה סימני אלימות על בתה</w:t>
      </w:r>
      <w:r>
        <w:rPr>
          <w:rtl w:val="true"/>
        </w:rPr>
        <w:t xml:space="preserve">. </w:t>
      </w:r>
      <w:r>
        <w:rPr>
          <w:rtl w:val="true"/>
        </w:rPr>
        <w:t>אביה של המתלוננת העיד אף הוא ואישר את דברי רעייתו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הודעת טקסט והודעה מוקלטת ששלח אביה של המתלוננת לאביו של המערער הוגשו לבית המשפט</w:t>
      </w:r>
      <w:r>
        <w:rPr>
          <w:rtl w:val="true"/>
        </w:rPr>
        <w:t xml:space="preserve">. </w:t>
      </w:r>
      <w:r>
        <w:rPr>
          <w:rtl w:val="true"/>
        </w:rPr>
        <w:t>אביה של המתלוננת גם מסר לבית המשפט</w:t>
      </w:r>
      <w:r>
        <w:rPr>
          <w:rtl w:val="true"/>
        </w:rPr>
        <w:t xml:space="preserve">, </w:t>
      </w:r>
      <w:r>
        <w:rPr>
          <w:rtl w:val="true"/>
        </w:rPr>
        <w:t>במסגרת עדותו</w:t>
      </w:r>
      <w:r>
        <w:rPr>
          <w:rtl w:val="true"/>
        </w:rPr>
        <w:t xml:space="preserve">, </w:t>
      </w:r>
      <w:r>
        <w:rPr>
          <w:rtl w:val="true"/>
        </w:rPr>
        <w:t>כי אחרי שהגיע</w:t>
      </w:r>
      <w:r>
        <w:rPr>
          <w:rtl w:val="true"/>
        </w:rPr>
        <w:t xml:space="preserve">, </w:t>
      </w:r>
      <w:r>
        <w:rPr>
          <w:rtl w:val="true"/>
        </w:rPr>
        <w:t>יחד עם רעייתו</w:t>
      </w:r>
      <w:r>
        <w:rPr>
          <w:rtl w:val="true"/>
        </w:rPr>
        <w:t xml:space="preserve">, </w:t>
      </w:r>
      <w:r>
        <w:rPr>
          <w:rtl w:val="true"/>
        </w:rPr>
        <w:t>לבית בו התגוררה המתלוננת עם המערער</w:t>
      </w:r>
      <w:r>
        <w:rPr>
          <w:rtl w:val="true"/>
        </w:rPr>
        <w:t xml:space="preserve">, </w:t>
      </w:r>
      <w:r>
        <w:rPr>
          <w:rtl w:val="true"/>
        </w:rPr>
        <w:t>פרץ עימות בינו לבין המערער על רקע האלימות שהלה הפעיל כלפי בתו</w:t>
      </w:r>
      <w:r>
        <w:rPr>
          <w:rtl w:val="true"/>
        </w:rPr>
        <w:t xml:space="preserve">, </w:t>
      </w:r>
      <w:r>
        <w:rPr>
          <w:rtl w:val="true"/>
        </w:rPr>
        <w:t>ובפרט בשל העובדה שאלימות זו כללה מעשים מיניים אסורים מבחינה דתית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המתלוננת העידה כי בין האנשים אותם שיתפה במה שעולל לה המערער נכללו</w:t>
      </w:r>
      <w:r>
        <w:rPr>
          <w:rtl w:val="true"/>
        </w:rPr>
        <w:t xml:space="preserve">, </w:t>
      </w:r>
      <w:r>
        <w:rPr>
          <w:rtl w:val="true"/>
        </w:rPr>
        <w:t>בנוסף להוריה</w:t>
      </w:r>
      <w:r>
        <w:rPr>
          <w:rtl w:val="true"/>
        </w:rPr>
        <w:t xml:space="preserve">, </w:t>
      </w:r>
      <w:r>
        <w:rPr>
          <w:rtl w:val="true"/>
        </w:rPr>
        <w:t xml:space="preserve">בנות משפחתו של המערער </w:t>
      </w:r>
      <w:r>
        <w:rPr>
          <w:rtl w:val="true"/>
        </w:rPr>
        <w:t>–</w:t>
      </w:r>
      <w:r>
        <w:rPr>
          <w:rtl w:val="true"/>
        </w:rPr>
        <w:t xml:space="preserve"> אמו ואחיותיו</w:t>
      </w:r>
      <w:r>
        <w:rPr>
          <w:rtl w:val="true"/>
        </w:rPr>
        <w:t xml:space="preserve">. </w:t>
      </w:r>
      <w:r>
        <w:rPr>
          <w:rtl w:val="true"/>
        </w:rPr>
        <w:t>בנות משפחתו של המערער אמרו לה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כי מדובר במעשים אסורים וכי סביר להניח שהמערער לא מודע להיותם אסורים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הבהירו לה כי הן לא יתערבו במערכת היחסים בין השניים</w:t>
      </w:r>
      <w:r>
        <w:rPr>
          <w:rtl w:val="true"/>
        </w:rPr>
        <w:t xml:space="preserve">. </w:t>
      </w:r>
      <w:r>
        <w:rPr>
          <w:rtl w:val="true"/>
        </w:rPr>
        <w:t>גם מהשיחה בין המתלוננת לבין אמה עולה כי המתלוננת שיתפה את אמו של המערער ואת אחיותיו בכך שהמערער מבצע בה מין אנאלי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העידה המתלוננת כי סיפרה לחברתה</w:t>
      </w:r>
      <w:r>
        <w:rPr>
          <w:rFonts w:ascii="Century" w:hAnsi="Century" w:cs="Century"/>
          <w:sz w:val="22"/>
          <w:sz w:val="22"/>
          <w:rtl w:val="true"/>
        </w:rPr>
        <w:t xml:space="preserve"> ס</w:t>
      </w:r>
      <w:r>
        <w:rPr>
          <w:rFonts w:cs="Century" w:ascii="Century" w:hAnsi="Century"/>
          <w:sz w:val="22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שהמערער מכה אותה ונוהג לבצע בה מין אנאלי שלא בהסכמתה</w:t>
      </w:r>
      <w:r>
        <w:rPr>
          <w:rtl w:val="true"/>
        </w:rPr>
        <w:t xml:space="preserve">. </w:t>
      </w:r>
      <w:r>
        <w:rPr>
          <w:rtl w:val="true"/>
        </w:rPr>
        <w:t>הדברים אומתו בעדותה של ס</w:t>
      </w:r>
      <w:r>
        <w:rPr>
          <w:rtl w:val="true"/>
        </w:rPr>
        <w:t xml:space="preserve">' </w:t>
      </w:r>
      <w:r>
        <w:rPr>
          <w:rtl w:val="true"/>
        </w:rPr>
        <w:t>בבית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וכן על ידי תיעוד שיחות שהשתיים ניהלו באמצעות יישומון </w:t>
      </w:r>
      <w:r>
        <w:rPr>
          <w:rtl w:val="true"/>
        </w:rPr>
        <w:t>"</w:t>
      </w:r>
      <w:r>
        <w:rPr>
          <w:rtl w:val="true"/>
        </w:rPr>
        <w:t>מסנג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". </w:t>
      </w:r>
      <w:r>
        <w:rPr>
          <w:rtl w:val="true"/>
        </w:rPr>
        <w:t>תיעוד זה הוגש כמוצג לבית המשפט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בגופה של המתלוננת</w:t>
      </w:r>
      <w:r>
        <w:rPr>
          <w:rtl w:val="true"/>
        </w:rPr>
        <w:t xml:space="preserve">, </w:t>
      </w:r>
      <w:r>
        <w:rPr>
          <w:rtl w:val="true"/>
        </w:rPr>
        <w:t>לא נמצאו עקבות של מין אנאלי או סימני חבלה טרייה או ישנה</w:t>
      </w:r>
      <w:r>
        <w:rPr>
          <w:rtl w:val="true"/>
        </w:rPr>
        <w:t xml:space="preserve">. </w:t>
      </w:r>
      <w:r>
        <w:rPr>
          <w:rtl w:val="true"/>
        </w:rPr>
        <w:t>ממצא זה הוסבר בעדותו של ד</w:t>
      </w:r>
      <w:r>
        <w:rPr>
          <w:rtl w:val="true"/>
        </w:rPr>
        <w:t>"</w:t>
      </w:r>
      <w:r>
        <w:rPr>
          <w:rtl w:val="true"/>
        </w:rPr>
        <w:t>ר ריקרדו נחמן מהמכון לרפואה משפטית</w:t>
      </w:r>
      <w:r>
        <w:rPr>
          <w:rtl w:val="true"/>
        </w:rPr>
        <w:t xml:space="preserve">. </w:t>
      </w:r>
      <w:r>
        <w:rPr>
          <w:rtl w:val="true"/>
        </w:rPr>
        <w:t>לדברי ד</w:t>
      </w:r>
      <w:r>
        <w:rPr>
          <w:rtl w:val="true"/>
        </w:rPr>
        <w:t>"</w:t>
      </w:r>
      <w:r>
        <w:rPr>
          <w:rtl w:val="true"/>
        </w:rPr>
        <w:t>ר נחמן</w:t>
      </w:r>
      <w:r>
        <w:rPr>
          <w:rtl w:val="true"/>
        </w:rPr>
        <w:t xml:space="preserve">, </w:t>
      </w:r>
      <w:r>
        <w:rPr>
          <w:rtl w:val="true"/>
        </w:rPr>
        <w:t>חדירתו של איבר מין זכרי לפי הטבעת לא תמיד גורמת נזק או פגיעה</w:t>
      </w:r>
      <w:r>
        <w:rPr>
          <w:rtl w:val="true"/>
        </w:rPr>
        <w:t xml:space="preserve">; </w:t>
      </w:r>
      <w:r>
        <w:rPr>
          <w:rtl w:val="true"/>
        </w:rPr>
        <w:t>וקורה לא אחת שהנזק אשר נגרם על ידי חדירה כאמור מתרפא במהרה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בחקירתה הנגדית</w:t>
      </w:r>
      <w:r>
        <w:rPr>
          <w:rtl w:val="true"/>
        </w:rPr>
        <w:t xml:space="preserve">, </w:t>
      </w:r>
      <w:r>
        <w:rPr>
          <w:rtl w:val="true"/>
        </w:rPr>
        <w:t xml:space="preserve">נשאלה המתלוננת על האירוע שאירע ביום </w:t>
      </w:r>
      <w:r>
        <w:rPr/>
        <w:t>27.6.2021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פגשה במערער ברחוב והלה נהג כלפיה באופן מאיים</w:t>
      </w:r>
      <w:r>
        <w:rPr>
          <w:rtl w:val="true"/>
        </w:rPr>
        <w:t xml:space="preserve">. </w:t>
      </w:r>
      <w:r>
        <w:rPr>
          <w:rtl w:val="true"/>
        </w:rPr>
        <w:t xml:space="preserve">אירוע משמעותי זה ייקרא להלן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שבאותו יום</w:t>
      </w:r>
      <w:r>
        <w:rPr>
          <w:rtl w:val="true"/>
        </w:rPr>
        <w:t xml:space="preserve">, </w:t>
      </w:r>
      <w:r>
        <w:rPr/>
        <w:t>27.6.2021</w:t>
      </w:r>
      <w:r>
        <w:rPr>
          <w:rtl w:val="true"/>
        </w:rPr>
        <w:t xml:space="preserve">, </w:t>
      </w:r>
      <w:r>
        <w:rPr>
          <w:rtl w:val="true"/>
        </w:rPr>
        <w:t>המערער שהה במעצר מאחורי סורג ובריח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לפי דברי המתלוננת ביחס לאותו אירוע</w:t>
      </w:r>
      <w:r>
        <w:rPr>
          <w:rtl w:val="true"/>
        </w:rPr>
        <w:t xml:space="preserve">, </w:t>
      </w:r>
      <w:r>
        <w:rPr>
          <w:rtl w:val="true"/>
        </w:rPr>
        <w:t>בדרכה למכללת סכנין הגיח מולה רכב הדומה לרכבו של המערער</w:t>
      </w:r>
      <w:r>
        <w:rPr>
          <w:rtl w:val="true"/>
        </w:rPr>
        <w:t xml:space="preserve">. </w:t>
      </w:r>
      <w:r>
        <w:rPr>
          <w:rtl w:val="true"/>
        </w:rPr>
        <w:t>הרכב נסע אחריה והאיש שבתוכו</w:t>
      </w:r>
      <w:r>
        <w:rPr>
          <w:rtl w:val="true"/>
        </w:rPr>
        <w:t xml:space="preserve">, </w:t>
      </w:r>
      <w:r>
        <w:rPr>
          <w:rtl w:val="true"/>
        </w:rPr>
        <w:t>אותו זיהתה המתלוננת כמערער</w:t>
      </w:r>
      <w:r>
        <w:rPr>
          <w:rtl w:val="true"/>
        </w:rPr>
        <w:t xml:space="preserve">, </w:t>
      </w:r>
      <w:r>
        <w:rPr>
          <w:rtl w:val="true"/>
        </w:rPr>
        <w:t>קרא לה להיכנס לרכב</w:t>
      </w:r>
      <w:r>
        <w:rPr>
          <w:rtl w:val="true"/>
        </w:rPr>
        <w:t xml:space="preserve">. </w:t>
      </w:r>
      <w:r>
        <w:rPr>
          <w:rtl w:val="true"/>
        </w:rPr>
        <w:t xml:space="preserve">כמו כן מסרה המתלוננת בעדותה כי במהלך חודש אפריל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 xml:space="preserve">קיבלה שיחת טלפון מהמשטרה בה נודע לה כי המערער צפוי להשתחרר ממעצר ביום </w:t>
      </w:r>
      <w:r>
        <w:rPr/>
        <w:t>21.6.2021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דבר שגרם לה לחוש פחד רב</w:t>
      </w:r>
      <w:r>
        <w:rPr>
          <w:rtl w:val="true"/>
        </w:rPr>
        <w:t xml:space="preserve">. </w:t>
      </w:r>
      <w:r>
        <w:rPr>
          <w:rtl w:val="true"/>
        </w:rPr>
        <w:t>המתלוננת הוסיפה כי היא אינה יודעת אם אכן פגשה במערער ברחוב או שמא באדם אחר</w:t>
      </w:r>
      <w:r>
        <w:rPr>
          <w:rtl w:val="true"/>
        </w:rPr>
        <w:t xml:space="preserve">, </w:t>
      </w:r>
      <w:r>
        <w:rPr>
          <w:rtl w:val="true"/>
        </w:rPr>
        <w:t>אך עמדה על כך שבזמן אמת היתה משוכנעת שמדובר במערער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בבית משפט קמא נשמעה גם עדותו של המערער</w:t>
      </w:r>
      <w:r>
        <w:rPr>
          <w:rtl w:val="true"/>
        </w:rPr>
        <w:t xml:space="preserve">. </w:t>
      </w:r>
      <w:r>
        <w:rPr>
          <w:rtl w:val="true"/>
        </w:rPr>
        <w:t>לדברי המערער</w:t>
      </w:r>
      <w:r>
        <w:rPr>
          <w:rtl w:val="true"/>
        </w:rPr>
        <w:t xml:space="preserve">, </w:t>
      </w:r>
      <w:r>
        <w:rPr>
          <w:rtl w:val="true"/>
        </w:rPr>
        <w:t>הוא מעולם לא בא במגע מיני עם המתלוננת שלא בהסכמתה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פירט בעדותו כי המתלוננת אינה בגדר </w:t>
      </w:r>
      <w:r>
        <w:rPr>
          <w:rtl w:val="true"/>
        </w:rPr>
        <w:t>"</w:t>
      </w:r>
      <w:r>
        <w:rPr>
          <w:rtl w:val="true"/>
        </w:rPr>
        <w:t>נפגעת העבירה</w:t>
      </w:r>
      <w:r>
        <w:rPr>
          <w:rtl w:val="true"/>
        </w:rPr>
        <w:t xml:space="preserve">", </w:t>
      </w:r>
      <w:r>
        <w:rPr>
          <w:rtl w:val="true"/>
        </w:rPr>
        <w:t>שכן היא מעולם לא סירבה לקיים עמו יחסי מין ולעתים אף היתה יוזמת יחסים אלו בעצמה</w:t>
      </w:r>
      <w:r>
        <w:rPr>
          <w:rtl w:val="true"/>
        </w:rPr>
        <w:t xml:space="preserve">. </w:t>
      </w:r>
      <w:r>
        <w:rPr>
          <w:rtl w:val="true"/>
        </w:rPr>
        <w:t>לדברי המערער</w:t>
      </w:r>
      <w:r>
        <w:rPr>
          <w:rtl w:val="true"/>
        </w:rPr>
        <w:t xml:space="preserve">, </w:t>
      </w:r>
      <w:r>
        <w:rPr>
          <w:rtl w:val="true"/>
        </w:rPr>
        <w:t>הוא ידע שמין אנאלי אסור מבחינה דתית וטען שמגעיו המיניים עם המתלוננת מעולם לא כללו מין אנאלי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הוסיף וציין בעדותו כי בשלב מסוים הוא החל לחשוש שהמתלוננת אינה יודעת להבדיל בין חדירה אנאלית לווגינאלית </w:t>
      </w:r>
      <w:r>
        <w:rPr>
          <w:rtl w:val="true"/>
        </w:rPr>
        <w:t>–</w:t>
      </w:r>
      <w:r>
        <w:rPr>
          <w:rtl w:val="true"/>
        </w:rPr>
        <w:t xml:space="preserve"> וכך גם הסביר להוריה כשאלה ביררו מולו את הסוגיה</w:t>
      </w:r>
      <w:r>
        <w:rPr>
          <w:rtl w:val="true"/>
        </w:rPr>
        <w:t xml:space="preserve">. </w:t>
      </w:r>
      <w:r>
        <w:rPr>
          <w:rtl w:val="true"/>
        </w:rPr>
        <w:t>המערער אישר כי המתלוננת ביצעה בו מין אוראלי במספר הזדמנויות</w:t>
      </w:r>
      <w:r>
        <w:rPr>
          <w:rtl w:val="true"/>
        </w:rPr>
        <w:t xml:space="preserve">, </w:t>
      </w:r>
      <w:r>
        <w:rPr>
          <w:rtl w:val="true"/>
        </w:rPr>
        <w:t>אך טען כי הדבר נעשה בהסכמתה המלאה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הכחיש לחלוטין את טענותיה של המתלוננת באשר לאלימות שהפעיל כלפיה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המתלוננת ניסתה להרגיזו ולהביאו למצב אלים</w:t>
      </w:r>
      <w:r>
        <w:rPr>
          <w:rtl w:val="true"/>
        </w:rPr>
        <w:t xml:space="preserve">, </w:t>
      </w:r>
      <w:r>
        <w:rPr>
          <w:rtl w:val="true"/>
        </w:rPr>
        <w:t>אך הוא לעולם לא הפעיל כלפיה אלימות פיזית</w:t>
      </w:r>
      <w:r>
        <w:rPr>
          <w:rtl w:val="true"/>
        </w:rPr>
        <w:t xml:space="preserve">. </w:t>
      </w:r>
      <w:r>
        <w:rPr>
          <w:rtl w:val="true"/>
        </w:rPr>
        <w:t>המערער אישר שבאחד מאירועי האלימות</w:t>
      </w:r>
      <w:r>
        <w:rPr>
          <w:rtl w:val="true"/>
        </w:rPr>
        <w:t xml:space="preserve">, </w:t>
      </w:r>
      <w:r>
        <w:rPr>
          <w:rtl w:val="true"/>
        </w:rPr>
        <w:t>עליהם העידה המתלוננת</w:t>
      </w:r>
      <w:r>
        <w:rPr>
          <w:rtl w:val="true"/>
        </w:rPr>
        <w:t xml:space="preserve">, </w:t>
      </w:r>
      <w:r>
        <w:rPr>
          <w:rtl w:val="true"/>
        </w:rPr>
        <w:t>הוא דרש ממנה לדעת מי התקשר אליה</w:t>
      </w:r>
      <w:r>
        <w:rPr>
          <w:rtl w:val="true"/>
        </w:rPr>
        <w:t xml:space="preserve">, </w:t>
      </w:r>
      <w:r>
        <w:rPr>
          <w:rtl w:val="true"/>
        </w:rPr>
        <w:t>אך לטענתו האירוע לא התפתח להפעלת אלימות מצדו</w:t>
      </w:r>
      <w:r>
        <w:rPr>
          <w:rtl w:val="true"/>
        </w:rPr>
        <w:t xml:space="preserve">. </w:t>
      </w:r>
      <w:r>
        <w:rPr>
          <w:rtl w:val="true"/>
        </w:rPr>
        <w:t xml:space="preserve">בנוגע להקלטה בה נשמע המערער אומר כי אין גבר שלא מרביץ לאשתו </w:t>
      </w:r>
      <w:r>
        <w:rPr>
          <w:rtl w:val="true"/>
        </w:rPr>
        <w:t>–</w:t>
      </w:r>
      <w:r>
        <w:rPr>
          <w:rtl w:val="true"/>
        </w:rPr>
        <w:t xml:space="preserve"> טען המערער כי התכוון לומר שאין גבר שמרביץ לאשתו ללא סיבה</w:t>
      </w:r>
      <w:r>
        <w:rPr>
          <w:rtl w:val="true"/>
        </w:rPr>
        <w:t xml:space="preserve">; </w:t>
      </w:r>
      <w:r>
        <w:rPr>
          <w:rtl w:val="true"/>
        </w:rPr>
        <w:t>והוסיף כי הוא לא היה מפעיל כל אלימות כלפי המתלוננת אף בהתקיים סיבה לכך</w:t>
      </w:r>
      <w:r>
        <w:rPr>
          <w:rtl w:val="true"/>
        </w:rPr>
        <w:t xml:space="preserve">, </w:t>
      </w:r>
      <w:r>
        <w:rPr>
          <w:rtl w:val="true"/>
        </w:rPr>
        <w:t>אלא היה מגרשהּ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בני משפחתו של המערער העידו אף הם</w:t>
      </w:r>
      <w:r>
        <w:rPr>
          <w:rtl w:val="true"/>
        </w:rPr>
        <w:t xml:space="preserve">. </w:t>
      </w:r>
      <w:r>
        <w:rPr>
          <w:rtl w:val="true"/>
        </w:rPr>
        <w:t>דודתו של המערער העידה כי המתלוננת לא שיתפה אותה בכך שהמערער מכה אותה</w:t>
      </w:r>
      <w:r>
        <w:rPr>
          <w:rtl w:val="true"/>
        </w:rPr>
        <w:t xml:space="preserve">, </w:t>
      </w:r>
      <w:r>
        <w:rPr>
          <w:rtl w:val="true"/>
        </w:rPr>
        <w:t>ושאילו היתה המתלוננת משתפת אותה בכך</w:t>
      </w:r>
      <w:r>
        <w:rPr>
          <w:rtl w:val="true"/>
        </w:rPr>
        <w:t xml:space="preserve">, </w:t>
      </w:r>
      <w:r>
        <w:rPr>
          <w:rtl w:val="true"/>
        </w:rPr>
        <w:t>היתה משיבה לה שזה עניין פרטי ולא היתה מתערבת</w:t>
      </w:r>
      <w:r>
        <w:rPr>
          <w:rtl w:val="true"/>
        </w:rPr>
        <w:t xml:space="preserve">. </w:t>
      </w:r>
      <w:r>
        <w:rPr>
          <w:rtl w:val="true"/>
        </w:rPr>
        <w:t>אביו של המערער העיד כי אביה של המתלוננת פנה אליו ואמר לו כי ביחסים בין בני הזוג התעוררו בעיות הקשורות ליחסי מין אנאליים</w:t>
      </w:r>
      <w:r>
        <w:rPr>
          <w:rtl w:val="true"/>
        </w:rPr>
        <w:t xml:space="preserve">. </w:t>
      </w:r>
      <w:r>
        <w:rPr>
          <w:rtl w:val="true"/>
        </w:rPr>
        <w:t>אמו של המערער העידה כי היא אינה יודעת שיחסי מין אנאליים אסורים מבחינה דתית וכי אינה יודעת על יחסי מין אנאליים ומקרי אלימות שקרו בין המערער למתלוננת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אחיותיו של המערער מסרו בעדותן כי המתלוננת מעולם לא העלתה בפניהן טענות לפיהן המערער מפעיל כלפיה אלימות מינית ופיזית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משפט קמא נתן אמון מלא בעדותה של המתלוננת ודחה את עדותו של המערער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בכפוף למחלוקת שנתגלעה בין שופטי הרוב</w:t>
      </w:r>
      <w:r>
        <w:rPr>
          <w:rtl w:val="true"/>
        </w:rPr>
        <w:t xml:space="preserve">, </w:t>
      </w:r>
      <w:r>
        <w:rPr>
          <w:rtl w:val="true"/>
        </w:rPr>
        <w:t xml:space="preserve">סגן הנשיא </w:t>
      </w:r>
      <w:r>
        <w:rPr>
          <w:rFonts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 והשופטת </w:t>
      </w:r>
      <w:r>
        <w:rPr>
          <w:rFonts w:cs="Miriam"/>
          <w:b/>
          <w:b/>
          <w:spacing w:val="0"/>
          <w:szCs w:val="24"/>
          <w:rtl w:val="true"/>
        </w:rPr>
        <w:t>ליפשיץ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פריבס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הרוב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לבין שופט המיעוט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cs="Miriam"/>
          <w:b/>
          <w:b/>
          <w:spacing w:val="0"/>
          <w:szCs w:val="24"/>
          <w:rtl w:val="true"/>
        </w:rPr>
        <w:t>רומנוב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המיעוט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שופטי הרוב סברו כי מספר גורמים מבססים את מהימנות גרסתה של המתלוננת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המתלוננת נמנעה מהפרזות ביחס למעשי המערער ותיארה בעדותה את יחסי המין שהשניים קיימו בהסכמה</w:t>
      </w:r>
      <w:r>
        <w:rPr>
          <w:rtl w:val="true"/>
        </w:rPr>
        <w:t xml:space="preserve">. </w:t>
      </w:r>
      <w:r>
        <w:rPr>
          <w:rtl w:val="true"/>
        </w:rPr>
        <w:t>כאשר המתלוננת לא זכרה פרטים מסוימים</w:t>
      </w:r>
      <w:r>
        <w:rPr>
          <w:rtl w:val="true"/>
        </w:rPr>
        <w:t xml:space="preserve">, </w:t>
      </w:r>
      <w:r>
        <w:rPr>
          <w:rtl w:val="true"/>
        </w:rPr>
        <w:t>היא לא הסתירה זאת</w:t>
      </w:r>
      <w:r>
        <w:rPr>
          <w:rtl w:val="true"/>
        </w:rPr>
        <w:t xml:space="preserve">. </w:t>
      </w:r>
      <w:r>
        <w:rPr>
          <w:rtl w:val="true"/>
        </w:rPr>
        <w:t xml:space="preserve">המתלוננת גם נמנעה מלכלול בתלונתה נגד המערער את יחסי המין שהשניים קיימו אחרי שהיא הסכימה לקיימם בחוסר רצון </w:t>
      </w:r>
      <w:r>
        <w:rPr>
          <w:rtl w:val="true"/>
        </w:rPr>
        <w:t>–</w:t>
      </w:r>
      <w:r>
        <w:rPr>
          <w:rtl w:val="true"/>
        </w:rPr>
        <w:t xml:space="preserve"> מאחר שסברה שאסור לה לסרב למערער בהיותה נשואה לו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עדותה של המתלוננת באשר לאירועים במהלכם ביצע בה המערער מין אנאלי ללא הסכמתה היתה מפורטת ועקבית</w:t>
      </w:r>
      <w:r>
        <w:rPr>
          <w:rtl w:val="true"/>
        </w:rPr>
        <w:t xml:space="preserve">. </w:t>
      </w:r>
      <w:r>
        <w:rPr>
          <w:rtl w:val="true"/>
        </w:rPr>
        <w:t xml:space="preserve">המתלוננת הבהירה בעדותה כי הבחינה בבירור בין המקרים בהם החדיר המערער את איבר מינו לאיבר מינה </w:t>
      </w:r>
      <w:r>
        <w:rPr>
          <w:rtl w:val="true"/>
        </w:rPr>
        <w:t>–</w:t>
      </w:r>
      <w:r>
        <w:rPr>
          <w:rtl w:val="true"/>
        </w:rPr>
        <w:t xml:space="preserve"> מגעים מיניים שככלל היו מקובלים עליה </w:t>
      </w:r>
      <w:r>
        <w:rPr>
          <w:rtl w:val="true"/>
        </w:rPr>
        <w:t>–</w:t>
      </w:r>
      <w:r>
        <w:rPr>
          <w:rtl w:val="true"/>
        </w:rPr>
        <w:t xml:space="preserve"> לבין מקרים אחרים בהם החדיר המערער את איבר מינו לפי הטבעת שלה</w:t>
      </w:r>
      <w:r>
        <w:rPr>
          <w:rtl w:val="true"/>
        </w:rPr>
        <w:t xml:space="preserve">. </w:t>
      </w:r>
      <w:r>
        <w:rPr>
          <w:rtl w:val="true"/>
        </w:rPr>
        <w:t>בהתייחסה למקרים מהסוג האחרון</w:t>
      </w:r>
      <w:r>
        <w:rPr>
          <w:rtl w:val="true"/>
        </w:rPr>
        <w:t xml:space="preserve">, </w:t>
      </w:r>
      <w:r>
        <w:rPr>
          <w:rtl w:val="true"/>
        </w:rPr>
        <w:t>שיתפה המתלוננת את בית המשפט בנוגע לכאבים שחוותה וסיפרה כי המין האנאלי שהמערער כפה עליה אף גרם לה לדמם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למין האוראלי</w:t>
      </w:r>
      <w:r>
        <w:rPr>
          <w:rtl w:val="true"/>
        </w:rPr>
        <w:t xml:space="preserve">, </w:t>
      </w:r>
      <w:r>
        <w:rPr>
          <w:rtl w:val="true"/>
        </w:rPr>
        <w:t xml:space="preserve">שלדברי המתלוננת בוצע בה ללא הסכמתה </w:t>
      </w:r>
      <w:r>
        <w:rPr>
          <w:rtl w:val="true"/>
        </w:rPr>
        <w:t>–</w:t>
      </w:r>
      <w:r>
        <w:rPr>
          <w:rtl w:val="true"/>
        </w:rPr>
        <w:t xml:space="preserve"> המתלוננת העידה כי בעקבות הפצרות המערער היא הסכימה לפתוח מעט את פיה כדי שהלה יכניס לתוכו חלק קטן מאיבר מינו</w:t>
      </w:r>
      <w:r>
        <w:rPr>
          <w:rtl w:val="true"/>
        </w:rPr>
        <w:t xml:space="preserve">, </w:t>
      </w:r>
      <w:r>
        <w:rPr>
          <w:rtl w:val="true"/>
        </w:rPr>
        <w:t>אולם המערער הכניס לפיה</w:t>
      </w:r>
      <w:r>
        <w:rPr>
          <w:rtl w:val="true"/>
        </w:rPr>
        <w:t xml:space="preserve">,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את מלוא איבר מינו עד אשר הגיע לפורקן בתוך פיה</w:t>
      </w:r>
      <w:r>
        <w:rPr>
          <w:rtl w:val="true"/>
        </w:rPr>
        <w:t xml:space="preserve">. </w:t>
      </w:r>
      <w:r>
        <w:rPr>
          <w:rtl w:val="true"/>
        </w:rPr>
        <w:t>שופטי הרוב קבעו בהקשר זה כי עדותה של המתלוננת היתה אותנטית וכי ניכר היה שהיא מנסה לדייק בעדותה ולמסור לבית המשפט דברי אמת לאמיתה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למעשי האלימות והאיומים בהם נקט המערער כלפי המתלוננת</w:t>
      </w:r>
      <w:r>
        <w:rPr>
          <w:rtl w:val="true"/>
        </w:rPr>
        <w:t xml:space="preserve">, </w:t>
      </w:r>
      <w:r>
        <w:rPr>
          <w:rtl w:val="true"/>
        </w:rPr>
        <w:t>נקבע כי התמונה שצילמה המתלוננת אחרי אחד מאירועי האלימות והקלטתו של אירוע אלים אחר תומכות במהימנות גרסתה</w:t>
      </w:r>
      <w:r>
        <w:rPr>
          <w:rtl w:val="true"/>
        </w:rPr>
        <w:t xml:space="preserve">. </w:t>
      </w:r>
      <w:r>
        <w:rPr>
          <w:rtl w:val="true"/>
        </w:rPr>
        <w:t>תימוכין נוספים לגרסתה של המתלוננת נמצאו בעדויות אשר נמסרו על ידי ס</w:t>
      </w:r>
      <w:r>
        <w:rPr>
          <w:rtl w:val="true"/>
        </w:rPr>
        <w:t xml:space="preserve">' </w:t>
      </w:r>
      <w:r>
        <w:rPr>
          <w:rtl w:val="true"/>
        </w:rPr>
        <w:t>והוריה של המתלוננת</w:t>
      </w:r>
      <w:r>
        <w:rPr>
          <w:rtl w:val="true"/>
        </w:rPr>
        <w:t xml:space="preserve">, </w:t>
      </w:r>
      <w:r>
        <w:rPr>
          <w:rtl w:val="true"/>
        </w:rPr>
        <w:t>וכן בתכתובות שהמתלוננת ניהלה עם אמה ועם ס</w:t>
      </w:r>
      <w:r>
        <w:rPr>
          <w:rtl w:val="true"/>
        </w:rPr>
        <w:t xml:space="preserve">'.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אמה של המתלוננת העידה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 לעתים ראתה סימני אלימות על גופה של בתה והציגה בעדותה את המפגש בינה לבין המערער בו הודה כי ביצע בבתה מין אנאלי בטעות</w:t>
      </w:r>
      <w:r>
        <w:rPr>
          <w:rtl w:val="true"/>
        </w:rPr>
        <w:t xml:space="preserve">. </w:t>
      </w:r>
      <w:r>
        <w:rPr>
          <w:rtl w:val="true"/>
        </w:rPr>
        <w:t>אביה של המתלוננת העיד אף הוא וסיפר בעדותו כי פנה לאבי המערער בבקשה שידבר עם בנו בעניין המין האנאלי</w:t>
      </w:r>
      <w:r>
        <w:rPr>
          <w:rtl w:val="true"/>
        </w:rPr>
        <w:t xml:space="preserve">, </w:t>
      </w:r>
      <w:r>
        <w:rPr>
          <w:rtl w:val="true"/>
        </w:rPr>
        <w:t>שאינו מקובל על בתו ומנוגד לדת</w:t>
      </w:r>
      <w:r>
        <w:rPr>
          <w:rtl w:val="true"/>
        </w:rPr>
        <w:t xml:space="preserve">. </w:t>
      </w:r>
      <w:r>
        <w:rPr>
          <w:rtl w:val="true"/>
        </w:rPr>
        <w:t xml:space="preserve">תכתובת שנוהלה בין האבות </w:t>
      </w:r>
      <w:r>
        <w:rPr>
          <w:rtl w:val="true"/>
        </w:rPr>
        <w:t>–</w:t>
      </w:r>
      <w:r>
        <w:rPr>
          <w:rtl w:val="true"/>
        </w:rPr>
        <w:t xml:space="preserve"> ממנה עולה כי אביה של המתלוננת הטיח באבי המערער שמדובר במעשים אסורים</w:t>
      </w:r>
      <w:r>
        <w:rPr>
          <w:rtl w:val="true"/>
        </w:rPr>
        <w:t xml:space="preserve">, </w:t>
      </w:r>
      <w:r>
        <w:rPr>
          <w:rtl w:val="true"/>
        </w:rPr>
        <w:t xml:space="preserve">וכי אבי המערער לא היה משלים עם מצב בו מעשים כאלה היו מבוצעים בבנותיו </w:t>
      </w:r>
      <w:r>
        <w:rPr>
          <w:rtl w:val="true"/>
        </w:rPr>
        <w:t>–</w:t>
      </w:r>
      <w:r>
        <w:rPr>
          <w:rtl w:val="true"/>
        </w:rPr>
        <w:t xml:space="preserve"> אף היא הוצגה לבית המשפט במהלך עדותו</w:t>
      </w:r>
      <w:r>
        <w:rPr>
          <w:rtl w:val="true"/>
        </w:rPr>
        <w:t xml:space="preserve">. </w:t>
      </w:r>
      <w:r>
        <w:rPr>
          <w:rtl w:val="true"/>
        </w:rPr>
        <w:t>שופטי הרוב נסמכו על כל אלה בהכרעת הדין שכתבו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שופטי הרוב מצאו תימוכין למהימנות גרסתה של המתלוננת גם במצבה הנפשי הרעוע</w:t>
      </w:r>
      <w:r>
        <w:rPr>
          <w:rtl w:val="true"/>
        </w:rPr>
        <w:t xml:space="preserve">, </w:t>
      </w:r>
      <w:r>
        <w:rPr>
          <w:rtl w:val="true"/>
        </w:rPr>
        <w:t>עליו העידו הוריה וחברתה ס</w:t>
      </w:r>
      <w:r>
        <w:rPr>
          <w:rtl w:val="true"/>
        </w:rPr>
        <w:t xml:space="preserve">'.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שופטי הרוב התייחסו בהכרעת הדין גם לאיום שלא היה</w:t>
      </w:r>
      <w:r>
        <w:rPr>
          <w:rtl w:val="true"/>
        </w:rPr>
        <w:t xml:space="preserve">: </w:t>
      </w:r>
      <w:r>
        <w:rPr>
          <w:rtl w:val="true"/>
        </w:rPr>
        <w:t>מפגש</w:t>
      </w:r>
      <w:r>
        <w:rPr>
          <w:rtl w:val="true"/>
        </w:rPr>
        <w:t>-</w:t>
      </w:r>
      <w:r>
        <w:rPr>
          <w:rtl w:val="true"/>
        </w:rPr>
        <w:t>רחוב מדומה עם המערער</w:t>
      </w:r>
      <w:r>
        <w:rPr>
          <w:rtl w:val="true"/>
        </w:rPr>
        <w:t xml:space="preserve">, </w:t>
      </w:r>
      <w:r>
        <w:rPr>
          <w:rtl w:val="true"/>
        </w:rPr>
        <w:t>עליו העידה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אשר לא התקיים במציאות מאחר שהמערער היה עצור במועד </w:t>
      </w:r>
      <w:r>
        <w:rPr>
          <w:rtl w:val="true"/>
        </w:rPr>
        <w:t>"</w:t>
      </w:r>
      <w:r>
        <w:rPr>
          <w:rtl w:val="true"/>
        </w:rPr>
        <w:t>המפגש</w:t>
      </w:r>
      <w:r>
        <w:rPr>
          <w:rtl w:val="true"/>
        </w:rPr>
        <w:t xml:space="preserve">". </w:t>
      </w:r>
      <w:r>
        <w:rPr>
          <w:rtl w:val="true"/>
        </w:rPr>
        <w:t>שופטי הרוב קבעו כי מדובר בטעות כנה</w:t>
      </w:r>
      <w:r>
        <w:rPr>
          <w:rtl w:val="true"/>
        </w:rPr>
        <w:t xml:space="preserve">, </w:t>
      </w:r>
      <w:r>
        <w:rPr>
          <w:rtl w:val="true"/>
        </w:rPr>
        <w:t>אותה ניתן להבין על רקע מצבה הנפשי הרעוע של המתלוננת והמורא שהטיל עליה המערער</w:t>
      </w:r>
      <w:r>
        <w:rPr>
          <w:rtl w:val="true"/>
        </w:rPr>
        <w:t xml:space="preserve">. </w:t>
      </w:r>
      <w:r>
        <w:rPr>
          <w:rtl w:val="true"/>
        </w:rPr>
        <w:t>שופטי הרוב סברו כי טעות זו אינה גורעת ממהימנות גרסתה של המתלוננת</w:t>
      </w:r>
      <w:r>
        <w:rPr>
          <w:rtl w:val="true"/>
        </w:rPr>
        <w:t xml:space="preserve">, </w:t>
      </w:r>
      <w:r>
        <w:rPr>
          <w:rtl w:val="true"/>
        </w:rPr>
        <w:t>בהינתן ההסבר שנתנה בחקירתה הנגדית</w:t>
      </w:r>
      <w:r>
        <w:rPr>
          <w:rtl w:val="true"/>
        </w:rPr>
        <w:t xml:space="preserve">, </w:t>
      </w:r>
      <w:r>
        <w:rPr>
          <w:rtl w:val="true"/>
        </w:rPr>
        <w:t>לפיו היא לא התמקדה במבטה בפניו של הנהג אותו זיהתה בטעות כמערער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לעדותו של המערער</w:t>
      </w:r>
      <w:r>
        <w:rPr>
          <w:rtl w:val="true"/>
        </w:rPr>
        <w:t xml:space="preserve">, </w:t>
      </w:r>
      <w:r>
        <w:rPr>
          <w:rtl w:val="true"/>
        </w:rPr>
        <w:t>שופטי הרוב קבעו כי זו נעדרה אחידות</w:t>
      </w:r>
      <w:r>
        <w:rPr>
          <w:rtl w:val="true"/>
        </w:rPr>
        <w:t xml:space="preserve">, </w:t>
      </w:r>
      <w:r>
        <w:rPr>
          <w:rtl w:val="true"/>
        </w:rPr>
        <w:t>היתה לפרקים בלתי ברורה</w:t>
      </w:r>
      <w:r>
        <w:rPr>
          <w:rtl w:val="true"/>
        </w:rPr>
        <w:t xml:space="preserve">, </w:t>
      </w:r>
      <w:r>
        <w:rPr>
          <w:rtl w:val="true"/>
        </w:rPr>
        <w:t>בחלקה אף חסרת הגיון</w:t>
      </w:r>
      <w:r>
        <w:rPr>
          <w:rtl w:val="true"/>
        </w:rPr>
        <w:t xml:space="preserve">, </w:t>
      </w:r>
      <w:r>
        <w:rPr>
          <w:rtl w:val="true"/>
        </w:rPr>
        <w:t>ובלט בה ניסיון להשחיר את פניה של המתלוננת</w:t>
      </w:r>
      <w:r>
        <w:rPr>
          <w:rtl w:val="true"/>
        </w:rPr>
        <w:t xml:space="preserve">. </w:t>
      </w:r>
      <w:r>
        <w:rPr>
          <w:rtl w:val="true"/>
        </w:rPr>
        <w:t>כל אלה פגמו באמינות גרסתו של המערער בעיניהם של שופטי הרוב</w:t>
      </w:r>
      <w:r>
        <w:rPr>
          <w:rtl w:val="true"/>
        </w:rPr>
        <w:t xml:space="preserve">. </w:t>
      </w:r>
      <w:r>
        <w:rPr>
          <w:rtl w:val="true"/>
        </w:rPr>
        <w:t>שופטי הרוב גם לקחו בחשבון את העובדה שהמערער אישר בעדותו חלקים מגרסתה של המתלוננת והודה כי איים עליה</w:t>
      </w:r>
      <w:r>
        <w:rPr>
          <w:rtl w:val="true"/>
        </w:rPr>
        <w:t xml:space="preserve">; </w:t>
      </w:r>
      <w:r>
        <w:rPr>
          <w:rtl w:val="true"/>
        </w:rPr>
        <w:t>כי היא התלוננה באוזני אביה בנוגע למעשיו</w:t>
      </w:r>
      <w:r>
        <w:rPr>
          <w:rtl w:val="true"/>
        </w:rPr>
        <w:t xml:space="preserve">; </w:t>
      </w:r>
      <w:r>
        <w:rPr>
          <w:rtl w:val="true"/>
        </w:rPr>
        <w:t>וכי הוריה של המתלוננת באו לביתם של בני הזוג על</w:t>
      </w:r>
      <w:r>
        <w:rPr>
          <w:rtl w:val="true"/>
        </w:rPr>
        <w:t>-</w:t>
      </w:r>
      <w:r>
        <w:rPr>
          <w:rtl w:val="true"/>
        </w:rPr>
        <w:t>מנת לברר אתו את מעשיו המיניים ואת פשרם</w:t>
      </w:r>
      <w:r>
        <w:rPr>
          <w:rtl w:val="true"/>
        </w:rPr>
        <w:t xml:space="preserve">. </w:t>
      </w:r>
      <w:r>
        <w:rPr>
          <w:rtl w:val="true"/>
        </w:rPr>
        <w:t>עובדה זו</w:t>
      </w:r>
      <w:r>
        <w:rPr>
          <w:rtl w:val="true"/>
        </w:rPr>
        <w:t xml:space="preserve">, </w:t>
      </w:r>
      <w:r>
        <w:rPr>
          <w:rtl w:val="true"/>
        </w:rPr>
        <w:t>אף היא שימשה חיזוק לאמינותה של המתלוננת בעיניהם של שופטי הרוב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שופטי הרוב הרשיעו את המערער בכלל המעשים אשר יוחסו לו בכתב האישום אחרי שמצאו את עדותה של המתלוננת אמינה מעבר לספק סביר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שופט המיעוט נתן משקל משמעותי יותר לקושי שעלה ביחס לאמינות עדותה של המתלוננת</w:t>
      </w:r>
      <w:r>
        <w:rPr>
          <w:rtl w:val="true"/>
        </w:rPr>
        <w:t xml:space="preserve">, </w:t>
      </w:r>
      <w:r>
        <w:rPr>
          <w:rtl w:val="true"/>
        </w:rPr>
        <w:t>שכאמור מסרה גרסה על האיום שלא היה</w:t>
      </w:r>
      <w:r>
        <w:rPr>
          <w:rtl w:val="true"/>
        </w:rPr>
        <w:t xml:space="preserve">. </w:t>
      </w:r>
      <w:r>
        <w:rPr>
          <w:rtl w:val="true"/>
        </w:rPr>
        <w:t xml:space="preserve">שופט המיעוט אף התחשב בכך שהמתלוננת העידה כי בשבעה או בשמונה מקרים שונים היא חשה שאנשים מטעמו של המערער עוקבים אחריה </w:t>
      </w:r>
      <w:r>
        <w:rPr>
          <w:rtl w:val="true"/>
        </w:rPr>
        <w:t>–</w:t>
      </w:r>
      <w:r>
        <w:rPr>
          <w:rtl w:val="true"/>
        </w:rPr>
        <w:t xml:space="preserve"> זאת מבלי שתחושה כאמור תעוגן בראיה אובייקטיבית כלשהי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בדומה לשופטי הרוב</w:t>
      </w:r>
      <w:r>
        <w:rPr>
          <w:rtl w:val="true"/>
        </w:rPr>
        <w:t xml:space="preserve">, </w:t>
      </w:r>
      <w:r>
        <w:rPr>
          <w:rtl w:val="true"/>
        </w:rPr>
        <w:t>שופט המיעוט ייחס את הקשיים הללו למצוקתה הנפשית של המתלוננת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הוא העלה תהייה האם ניתן במצב שכזה לבסס את הרשעת המערער על עדותה של המתלוננת לבדה</w:t>
      </w:r>
      <w:r>
        <w:rPr>
          <w:rtl w:val="true"/>
        </w:rPr>
        <w:t xml:space="preserve">. </w:t>
      </w:r>
      <w:r>
        <w:rPr>
          <w:rtl w:val="true"/>
        </w:rPr>
        <w:t xml:space="preserve">בכל הקשור לאירועים בהם ביצע המערער במתלוננת מין אנאלי והאירועים בהם הוא נהג כלפיה באלימות </w:t>
      </w:r>
      <w:r>
        <w:rPr>
          <w:rtl w:val="true"/>
        </w:rPr>
        <w:t>–</w:t>
      </w:r>
      <w:r>
        <w:rPr>
          <w:rtl w:val="true"/>
        </w:rPr>
        <w:t xml:space="preserve"> עדות המתלוננת לא היתה בגדר עדות יחידה</w:t>
      </w:r>
      <w:r>
        <w:rPr>
          <w:rtl w:val="true"/>
        </w:rPr>
        <w:t xml:space="preserve">. </w:t>
      </w:r>
      <w:r>
        <w:rPr>
          <w:rtl w:val="true"/>
        </w:rPr>
        <w:t>עדות זאת נתמכה בראיות מזמן אמת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tl w:val="true"/>
        </w:rPr>
        <w:t xml:space="preserve">: </w:t>
      </w:r>
      <w:r>
        <w:rPr>
          <w:rtl w:val="true"/>
        </w:rPr>
        <w:t>התלונה על כך שהמערער כפה על המתלוננת מין אנאלי</w:t>
      </w:r>
      <w:r>
        <w:rPr>
          <w:rtl w:val="true"/>
        </w:rPr>
        <w:t xml:space="preserve">, </w:t>
      </w:r>
      <w:r>
        <w:rPr>
          <w:rtl w:val="true"/>
        </w:rPr>
        <w:t>שהמתלוננת השמיעה בפני הוריה</w:t>
      </w:r>
      <w:r>
        <w:rPr>
          <w:rtl w:val="true"/>
        </w:rPr>
        <w:t xml:space="preserve">; </w:t>
      </w:r>
      <w:r>
        <w:rPr>
          <w:rtl w:val="true"/>
        </w:rPr>
        <w:t>המפגש של הוריה עם המערער בו תלונה זו נדונה</w:t>
      </w:r>
      <w:r>
        <w:rPr>
          <w:rtl w:val="true"/>
        </w:rPr>
        <w:t xml:space="preserve">; </w:t>
      </w:r>
      <w:r>
        <w:rPr>
          <w:rtl w:val="true"/>
        </w:rPr>
        <w:t>שיחת אביה של המתלוננת עם אבי המערער באותו נושא ממש</w:t>
      </w:r>
      <w:r>
        <w:rPr>
          <w:rtl w:val="true"/>
        </w:rPr>
        <w:t xml:space="preserve">; </w:t>
      </w:r>
      <w:r>
        <w:rPr>
          <w:rtl w:val="true"/>
        </w:rPr>
        <w:t>התכתבות המתלוננת עם חברתה ס</w:t>
      </w:r>
      <w:r>
        <w:rPr>
          <w:rtl w:val="true"/>
        </w:rPr>
        <w:t xml:space="preserve">'; </w:t>
      </w:r>
      <w:r>
        <w:rPr>
          <w:rtl w:val="true"/>
        </w:rPr>
        <w:t>וכן התמונה שהמתלוננת צילמה ואשר תיעדה את הפגיעה באוזנה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פירוק קשר הנישואין בין המערער למתלוננת</w:t>
      </w:r>
      <w:r>
        <w:rPr>
          <w:rtl w:val="true"/>
        </w:rPr>
        <w:t xml:space="preserve">, </w:t>
      </w:r>
      <w:r>
        <w:rPr>
          <w:rtl w:val="true"/>
        </w:rPr>
        <w:t>אף הוא מתיישב היטב עם גרסתה</w:t>
      </w:r>
      <w:r>
        <w:rPr>
          <w:rtl w:val="true"/>
        </w:rPr>
        <w:t xml:space="preserve">. </w:t>
      </w: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>הצטרף שופט המיעוט לקביעותיהם של שופטי הרוב בכל הנוגע להרשעת המערער בעבירות שהלה ביצע במתלוננת באירועי המין האנאלי ובאירועי האלימות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כך הוא בנוגע לתלונתה של המתלוננת כי המערער הכריחהּ לבצע בו מין אוראלי</w:t>
      </w:r>
      <w:r>
        <w:rPr>
          <w:rtl w:val="true"/>
        </w:rPr>
        <w:t xml:space="preserve">, </w:t>
      </w:r>
      <w:r>
        <w:rPr>
          <w:rtl w:val="true"/>
        </w:rPr>
        <w:t>שהיתה אמינה על שופטי הרוב למרות שלא נתמכה בראיות חיצוניות</w:t>
      </w:r>
      <w:r>
        <w:rPr>
          <w:rtl w:val="true"/>
        </w:rPr>
        <w:t xml:space="preserve">. </w:t>
      </w:r>
      <w:r>
        <w:rPr>
          <w:rtl w:val="true"/>
        </w:rPr>
        <w:t>שופט המיעוט עמד על כך שהמתלוננת כלל לא הזכירה את המין האוראלי כאשר סיפרה לאמה</w:t>
      </w:r>
      <w:r>
        <w:rPr>
          <w:rtl w:val="true"/>
        </w:rPr>
        <w:t xml:space="preserve">, </w:t>
      </w:r>
      <w:r>
        <w:rPr>
          <w:rtl w:val="true"/>
        </w:rPr>
        <w:t>לאביה ולס</w:t>
      </w:r>
      <w:r>
        <w:rPr>
          <w:rtl w:val="true"/>
        </w:rPr>
        <w:t xml:space="preserve">' </w:t>
      </w:r>
      <w:r>
        <w:rPr>
          <w:rtl w:val="true"/>
        </w:rPr>
        <w:t>כי המערער מכה אותה וכופה עליה מין אנאלי</w:t>
      </w:r>
      <w:r>
        <w:rPr>
          <w:rtl w:val="true"/>
        </w:rPr>
        <w:t xml:space="preserve">. </w:t>
      </w:r>
      <w:r>
        <w:rPr>
          <w:rtl w:val="true"/>
        </w:rPr>
        <w:t>המתלוננת אף נמנעה מלציין את המין האוראלי שהמערער הכריחהּ לבצע בו בהודעתה הראשונה במשטרה</w:t>
      </w:r>
      <w:r>
        <w:rPr>
          <w:rtl w:val="true"/>
        </w:rPr>
        <w:t xml:space="preserve">, </w:t>
      </w:r>
      <w:r>
        <w:rPr>
          <w:rtl w:val="true"/>
        </w:rPr>
        <w:t>וציינה זאת רק בהודעתה השנייה</w:t>
      </w:r>
      <w:r>
        <w:rPr>
          <w:rtl w:val="true"/>
        </w:rPr>
        <w:t xml:space="preserve">. </w:t>
      </w:r>
      <w:r>
        <w:rPr>
          <w:rtl w:val="true"/>
        </w:rPr>
        <w:t>בראיון שנערך בפרקליטות לקראת עדותה</w:t>
      </w:r>
      <w:r>
        <w:rPr>
          <w:rtl w:val="true"/>
        </w:rPr>
        <w:t xml:space="preserve">, </w:t>
      </w:r>
      <w:r>
        <w:rPr>
          <w:rtl w:val="true"/>
        </w:rPr>
        <w:t>המתלוננת לא מסרה כל גרסה הקשורה במין אוראלי בכפייה</w:t>
      </w:r>
      <w:r>
        <w:rPr>
          <w:rtl w:val="true"/>
        </w:rPr>
        <w:t xml:space="preserve">, </w:t>
      </w:r>
      <w:r>
        <w:rPr>
          <w:rtl w:val="true"/>
        </w:rPr>
        <w:t>והתמקדה רק במין האנאלי שהמערער כפה עליה ובאלימות שהלה הפעיל כלפיה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אין חולק על כך שהמתלוננת הסכימה לכך שהמערער יכניס חלק קטן מאיבו מינו אל תוך פיה </w:t>
      </w:r>
      <w:r>
        <w:rPr>
          <w:rtl w:val="true"/>
        </w:rPr>
        <w:t>–</w:t>
      </w:r>
      <w:r>
        <w:rPr>
          <w:rtl w:val="true"/>
        </w:rPr>
        <w:t xml:space="preserve"> כפי שעולה מעדותה שלה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סבר שופט המיעוט כי מן הדין לזכות את המערער</w:t>
      </w:r>
      <w:r>
        <w:rPr>
          <w:rtl w:val="true"/>
        </w:rPr>
        <w:t xml:space="preserve">, </w:t>
      </w:r>
      <w:r>
        <w:rPr>
          <w:rtl w:val="true"/>
        </w:rPr>
        <w:t>מחמת הספק</w:t>
      </w:r>
      <w:r>
        <w:rPr>
          <w:rtl w:val="true"/>
        </w:rPr>
        <w:t xml:space="preserve">, </w:t>
      </w:r>
      <w:r>
        <w:rPr>
          <w:rtl w:val="true"/>
        </w:rPr>
        <w:t>מהעבירות הקשורות למעשי המין האוראלי במתלוננת</w:t>
      </w:r>
      <w:r>
        <w:rPr>
          <w:rtl w:val="true"/>
        </w:rPr>
        <w:t xml:space="preserve">, </w:t>
      </w:r>
      <w:r>
        <w:rPr>
          <w:rtl w:val="true"/>
        </w:rPr>
        <w:t>אשר יוחסו לו בכתב 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שופטי הרוב עמדו בגזר דינם על הערכים המוגנים בהם פגע המערער כאשר ביצע את המעשים בהם הורשע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: </w:t>
      </w:r>
      <w:r>
        <w:rPr>
          <w:rtl w:val="true"/>
        </w:rPr>
        <w:t>הגנה על גופו של אדם</w:t>
      </w:r>
      <w:r>
        <w:rPr>
          <w:rtl w:val="true"/>
        </w:rPr>
        <w:t xml:space="preserve">, </w:t>
      </w:r>
      <w:r>
        <w:rPr>
          <w:rtl w:val="true"/>
        </w:rPr>
        <w:t>כבודו</w:t>
      </w:r>
      <w:r>
        <w:rPr>
          <w:rtl w:val="true"/>
        </w:rPr>
        <w:t xml:space="preserve">, </w:t>
      </w:r>
      <w:r>
        <w:rPr>
          <w:rtl w:val="true"/>
        </w:rPr>
        <w:t>האוטונומיה שלו</w:t>
      </w:r>
      <w:r>
        <w:rPr>
          <w:rtl w:val="true"/>
        </w:rPr>
        <w:t xml:space="preserve">, </w:t>
      </w:r>
      <w:r>
        <w:rPr>
          <w:rtl w:val="true"/>
        </w:rPr>
        <w:t>פרטיותו ושלמות נפשו</w:t>
      </w:r>
      <w:r>
        <w:rPr>
          <w:rtl w:val="true"/>
        </w:rPr>
        <w:t xml:space="preserve">, </w:t>
      </w:r>
      <w:r>
        <w:rPr>
          <w:rtl w:val="true"/>
        </w:rPr>
        <w:t>וכן הגנה על ביטחונו האישי של אדם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הטעימו שופטי הרוב כי כאשר מעשים פוגעניים כדוגמת אלה שבוצעו על ידי המערער מתרחשים בתוך התא המשפחתי</w:t>
      </w:r>
      <w:r>
        <w:rPr>
          <w:rtl w:val="true"/>
        </w:rPr>
        <w:t xml:space="preserve">, </w:t>
      </w:r>
      <w:r>
        <w:rPr>
          <w:rtl w:val="true"/>
        </w:rPr>
        <w:t>מתווספת אליהם פגיעה נפשית מוגברת במתלוננת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מאחר שבית המשפחה </w:t>
      </w:r>
      <w:r>
        <w:rPr>
          <w:rtl w:val="true"/>
        </w:rPr>
        <w:t>–</w:t>
      </w:r>
      <w:r>
        <w:rPr>
          <w:rtl w:val="true"/>
        </w:rPr>
        <w:t xml:space="preserve"> בו המתלוננת אמורה להרגיש שלווה</w:t>
      </w:r>
      <w:r>
        <w:rPr>
          <w:rtl w:val="true"/>
        </w:rPr>
        <w:t xml:space="preserve">, </w:t>
      </w:r>
      <w:r>
        <w:rPr>
          <w:rtl w:val="true"/>
        </w:rPr>
        <w:t xml:space="preserve">ביטחון ורוגע </w:t>
      </w:r>
      <w:r>
        <w:rPr>
          <w:rtl w:val="true"/>
        </w:rPr>
        <w:t>–</w:t>
      </w:r>
      <w:r>
        <w:rPr>
          <w:rtl w:val="true"/>
        </w:rPr>
        <w:t xml:space="preserve"> הופך לזירת קרב בה היא מוצאת את עצמה כקורבן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 צויין על ידי שופטי הרוב כי המערער התעלם לחלוטין מרצונותיה של המתלוננת</w:t>
      </w:r>
      <w:r>
        <w:rPr>
          <w:rtl w:val="true"/>
        </w:rPr>
        <w:t xml:space="preserve">, </w:t>
      </w:r>
      <w:r>
        <w:rPr>
          <w:rtl w:val="true"/>
        </w:rPr>
        <w:t>אשר הבהירה לו כי אינה מעוניינת במעשיו</w:t>
      </w:r>
      <w:r>
        <w:rPr>
          <w:rtl w:val="true"/>
        </w:rPr>
        <w:t xml:space="preserve">, </w:t>
      </w:r>
      <w:r>
        <w:rPr>
          <w:rtl w:val="true"/>
        </w:rPr>
        <w:t>לא היסס לפגוע בגופה ובנפשה</w:t>
      </w:r>
      <w:r>
        <w:rPr>
          <w:rtl w:val="true"/>
        </w:rPr>
        <w:t xml:space="preserve">, </w:t>
      </w:r>
      <w:r>
        <w:rPr>
          <w:rtl w:val="true"/>
        </w:rPr>
        <w:t>ועשה את אשר עשה כאשר הוא ממוקד אך ורק בעצמו ובסיפוק מאוויי</w:t>
      </w:r>
      <w:r>
        <w:rPr>
          <w:rtl w:val="true"/>
        </w:rPr>
        <w:t>ו</w:t>
      </w:r>
      <w:r>
        <w:rPr>
          <w:rtl w:val="true"/>
        </w:rPr>
        <w:t xml:space="preserve"> המיניים</w:t>
      </w:r>
      <w:r>
        <w:rPr>
          <w:rtl w:val="true"/>
        </w:rPr>
        <w:t xml:space="preserve">. </w:t>
      </w:r>
      <w:r>
        <w:rPr>
          <w:rtl w:val="true"/>
        </w:rPr>
        <w:t>המערער ניצל לרעה את יחסי האמון ואת קרבתו למתלוננת וביצע בה את זממו בכפייה</w:t>
      </w:r>
      <w:r>
        <w:rPr>
          <w:rtl w:val="true"/>
        </w:rPr>
        <w:t xml:space="preserve">. </w:t>
      </w:r>
      <w:r>
        <w:rPr>
          <w:rtl w:val="true"/>
        </w:rPr>
        <w:t>בחלק מהמקרים הגדיל המערער לעשות והכה את המתלוננת בעת שביצע בה עבירות מין</w:t>
      </w:r>
      <w:r>
        <w:rPr>
          <w:rtl w:val="true"/>
        </w:rPr>
        <w:t xml:space="preserve">. </w:t>
      </w:r>
      <w:r>
        <w:rPr>
          <w:rtl w:val="true"/>
        </w:rPr>
        <w:t>מתסקיר המתלוננת עלתה תמונת נזק עגומה אצל המתלוננת ובני משפחתה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שופטי הרוב גם הדגישו בגזר הדין את הצורך להציב נורמה ברורה וחד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tl w:val="true"/>
        </w:rPr>
        <w:t xml:space="preserve">, </w:t>
      </w:r>
      <w:r>
        <w:rPr>
          <w:rtl w:val="true"/>
        </w:rPr>
        <w:t>לפיה אדם המבצע עבירות מין ואלימות בבת זוגו צריך לשלם מחיר משמעותי על מעשיו</w:t>
      </w:r>
      <w:r>
        <w:rPr>
          <w:rtl w:val="true"/>
        </w:rPr>
        <w:t xml:space="preserve">. </w:t>
      </w: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>לאור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ובהתחשב בעמדת המדינה כי יש לראות בכלל המעשים הפוגעניים שבוצעו על ידי המערער אירוע אחד לצרכי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קבעו שופטי הרוב כי מתחם העונש ההולם בעניינו של המערער יעמוד על </w:t>
      </w:r>
      <w:r>
        <w:rPr/>
        <w:t>13-7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שופטי הרוב זקפו לזכותו של המערער את עברו נטול ההרשעות</w:t>
      </w:r>
      <w:r>
        <w:rPr>
          <w:rtl w:val="true"/>
        </w:rPr>
        <w:t xml:space="preserve">. </w:t>
      </w:r>
      <w:r>
        <w:rPr>
          <w:rtl w:val="true"/>
        </w:rPr>
        <w:t>לחובת המערער</w:t>
      </w:r>
      <w:r>
        <w:rPr>
          <w:rtl w:val="true"/>
        </w:rPr>
        <w:t xml:space="preserve">, </w:t>
      </w:r>
      <w:r>
        <w:rPr>
          <w:rtl w:val="true"/>
        </w:rPr>
        <w:t>לצד חומרתם היתרה של מעשיו</w:t>
      </w:r>
      <w:r>
        <w:rPr>
          <w:rtl w:val="true"/>
        </w:rPr>
        <w:t xml:space="preserve">, </w:t>
      </w:r>
      <w:r>
        <w:rPr>
          <w:rtl w:val="true"/>
        </w:rPr>
        <w:t>נזקפה העובדה שהלה אינו מביע צער או חרטה על מעשים אלו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בסיס מכלול השיקולים</w:t>
      </w:r>
      <w:r>
        <w:rPr>
          <w:rtl w:val="true"/>
        </w:rPr>
        <w:t xml:space="preserve">, </w:t>
      </w:r>
      <w:r>
        <w:rPr>
          <w:rtl w:val="true"/>
        </w:rPr>
        <w:t>שופטי הרוב גזרו על המערער את העונשים המפורטים לעיל</w:t>
      </w:r>
      <w:r>
        <w:rPr>
          <w:rtl w:val="true"/>
        </w:rPr>
        <w:t xml:space="preserve">, </w:t>
      </w:r>
      <w:r>
        <w:rPr>
          <w:rtl w:val="true"/>
        </w:rPr>
        <w:t>שעיקרם שבע וחצי שנות מאסר מאחורי סורג ובריח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שופט המיעוט הדגיש כי גזר דינו מבוסס על ממצאיהם של שופטי הרוב</w:t>
      </w:r>
      <w:r>
        <w:rPr>
          <w:rtl w:val="true"/>
        </w:rPr>
        <w:t xml:space="preserve">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הוא סבר כי יש לגזור על המערער עונש מופחת</w:t>
      </w:r>
      <w:r>
        <w:rPr>
          <w:rtl w:val="true"/>
        </w:rPr>
        <w:t xml:space="preserve">, </w:t>
      </w:r>
      <w:r>
        <w:rPr>
          <w:rtl w:val="true"/>
        </w:rPr>
        <w:t>הדומה לזה שאושר 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2261/21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24.10.2022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בפסק דין זה</w:t>
      </w:r>
      <w:r>
        <w:rPr>
          <w:rtl w:val="true"/>
        </w:rPr>
        <w:t xml:space="preserve">, </w:t>
      </w:r>
      <w:r>
        <w:rPr>
          <w:rtl w:val="true"/>
        </w:rPr>
        <w:t xml:space="preserve">דחה בית משפט זה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שטייניץ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כשר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את </w:t>
      </w:r>
      <w:r>
        <w:rPr>
          <w:rtl w:val="true"/>
        </w:rPr>
        <w:t>ערעורו של המערער דשם אשר הורשע בביצועם של אינוס</w:t>
      </w:r>
      <w:r>
        <w:rPr>
          <w:rtl w:val="true"/>
        </w:rPr>
        <w:t xml:space="preserve">, </w:t>
      </w:r>
      <w:r>
        <w:rPr>
          <w:rtl w:val="true"/>
        </w:rPr>
        <w:t xml:space="preserve">מעשה סדום ומעשה אלימות באשתו </w:t>
      </w:r>
      <w:r>
        <w:rPr>
          <w:rtl w:val="true"/>
        </w:rPr>
        <w:t>–</w:t>
      </w:r>
      <w:r>
        <w:rPr>
          <w:rtl w:val="true"/>
        </w:rPr>
        <w:t xml:space="preserve"> בשני אירועים שונים </w:t>
      </w:r>
      <w:r>
        <w:rPr>
          <w:rtl w:val="true"/>
        </w:rPr>
        <w:t>–</w:t>
      </w:r>
      <w:r>
        <w:rPr>
          <w:rtl w:val="true"/>
        </w:rPr>
        <w:t xml:space="preserve"> ונדון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 xml:space="preserve">. </w:t>
      </w:r>
      <w:r>
        <w:rPr>
          <w:rtl w:val="true"/>
        </w:rPr>
        <w:t>שופט המיעוט סבר כי לאור האמור בפסק דין זה</w:t>
      </w:r>
      <w:r>
        <w:rPr>
          <w:rtl w:val="true"/>
        </w:rPr>
        <w:t xml:space="preserve">, </w:t>
      </w:r>
      <w:r>
        <w:rPr>
          <w:rtl w:val="true"/>
        </w:rPr>
        <w:t xml:space="preserve">מתחם הענישה הנכון למקרה שלפנינו נע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ובהתחשב בנזק החמור שנגרם למתלוננת</w:t>
      </w:r>
      <w:r>
        <w:rPr>
          <w:rtl w:val="true"/>
        </w:rPr>
        <w:t xml:space="preserve">, </w:t>
      </w:r>
      <w:r>
        <w:rPr>
          <w:rtl w:val="true"/>
        </w:rPr>
        <w:t xml:space="preserve">סבר שופט המיעוט כי יש להעמיד את עונשו של המערער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>לצד העונשים הנלווים אשר נקבעו על ידי שופטי הרוב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חוזר על גרסת החפות שלו וטוען כי לא התקיימו בינו לבין המתלוננת יחסי מין אנאליים</w:t>
      </w:r>
      <w:r>
        <w:rPr>
          <w:rtl w:val="true"/>
        </w:rPr>
        <w:t xml:space="preserve">, </w:t>
      </w:r>
      <w:r>
        <w:rPr>
          <w:rtl w:val="true"/>
        </w:rPr>
        <w:t>וכי כל יתר המגעים המיניים שהשניים קיימו קוימו בהסכמתה המלאה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מצביע המערער על מה שהוא מתאר כתהיות וסתירות אשר עולות בקשר לעדותה של המתלוננת ומתוך העדות עצמה וכן על האיום שלא היה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כל אלה פוגמים במהימנות עדותה של המתלוננת </w:t>
      </w:r>
      <w:r>
        <w:rPr>
          <w:rtl w:val="true"/>
        </w:rPr>
        <w:t>–</w:t>
      </w:r>
      <w:r>
        <w:rPr>
          <w:rtl w:val="true"/>
        </w:rPr>
        <w:t xml:space="preserve"> שלאמיתו של דבר לא נפגעה משום עבירה </w:t>
      </w:r>
      <w:r>
        <w:rPr>
          <w:rtl w:val="true"/>
        </w:rPr>
        <w:t>–</w:t>
      </w:r>
      <w:r>
        <w:rPr>
          <w:rtl w:val="true"/>
        </w:rPr>
        <w:t xml:space="preserve"> באופן שלא ניתן להשתית על עדות זו שום ממצא עובדתי לחובתו</w:t>
      </w:r>
      <w:r>
        <w:rPr>
          <w:rtl w:val="true"/>
        </w:rPr>
        <w:t xml:space="preserve">. </w:t>
      </w:r>
      <w:r>
        <w:rPr>
          <w:rtl w:val="true"/>
        </w:rPr>
        <w:t>המערער מוסיף וטוען כי עדות זו ושאר הראיות שהובאו לחובתו אינן מגיעות כדי הוכחה מעבר לספק סביר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 טוען המערער כי חלק מהראיות אשר נזקפו לחובתו על ידי בית משפט קמא לא היו קבילות והסבו לו עיוות דין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טוען המערער כי ד</w:t>
      </w:r>
      <w:r>
        <w:rPr>
          <w:rtl w:val="true"/>
        </w:rPr>
        <w:t>"</w:t>
      </w:r>
      <w:r>
        <w:rPr>
          <w:rtl w:val="true"/>
        </w:rPr>
        <w:t>ר ריקרדו נחמן אישר בעדותו שאילו המתלוננת היתה מגיעה אליו לבדיקת פי הטבעת מיד אחרי תלונתה</w:t>
      </w:r>
      <w:r>
        <w:rPr>
          <w:rtl w:val="true"/>
        </w:rPr>
        <w:t xml:space="preserve">, </w:t>
      </w:r>
      <w:r>
        <w:rPr>
          <w:rtl w:val="true"/>
        </w:rPr>
        <w:t>הסיכוי לאמת או להפריך את תלונתה היה גבוה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, </w:t>
      </w:r>
      <w:r>
        <w:rPr>
          <w:rtl w:val="true"/>
        </w:rPr>
        <w:t>סבור המערער כי לפנינו מחדל חקירה שצריך להוביל לזיכויו בדין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 xml:space="preserve">מבקש המערער כי נקצר את תקופת מאסרו באופן משמעותי בהתחשב באמור בדעת המיעוט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וכן בכך שעסקינן בעבירות מין אשר בוצעו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 xml:space="preserve">במסגרת נישואיו של המערער למתלוננת </w:t>
      </w:r>
      <w:r>
        <w:rPr>
          <w:rtl w:val="true"/>
        </w:rPr>
        <w:t>–</w:t>
      </w:r>
      <w:r>
        <w:rPr>
          <w:rtl w:val="true"/>
        </w:rPr>
        <w:t xml:space="preserve"> מסגרת שכללה מגעים מיניים רבים שקוימו בהסכמה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 סומכת את ידיה על פסק דינם של שופטי הרוב</w:t>
      </w:r>
      <w:r>
        <w:rPr>
          <w:rtl w:val="true"/>
        </w:rPr>
        <w:t xml:space="preserve">, </w:t>
      </w:r>
      <w:r>
        <w:rPr>
          <w:rtl w:val="true"/>
        </w:rPr>
        <w:t xml:space="preserve">השופטים </w:t>
      </w:r>
      <w:r>
        <w:rPr>
          <w:rFonts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 ו</w:t>
      </w:r>
      <w:r>
        <w:rPr>
          <w:rFonts w:cs="Miriam"/>
          <w:b/>
          <w:b/>
          <w:spacing w:val="0"/>
          <w:szCs w:val="24"/>
          <w:rtl w:val="true"/>
        </w:rPr>
        <w:t>ליפשיץ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פריבס</w:t>
      </w:r>
      <w:r>
        <w:rPr>
          <w:rtl w:val="true"/>
        </w:rPr>
        <w:t xml:space="preserve">, </w:t>
      </w:r>
      <w:r>
        <w:rPr>
          <w:rtl w:val="true"/>
        </w:rPr>
        <w:t>ועל נימוקיהם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מהטעמים שיפורטו להלן</w:t>
      </w:r>
      <w:r>
        <w:rPr>
          <w:rtl w:val="true"/>
        </w:rPr>
        <w:t xml:space="preserve">, </w:t>
      </w:r>
      <w:r>
        <w:rPr>
          <w:rtl w:val="true"/>
        </w:rPr>
        <w:t>אציע לחבריי לקבל את הערעור באופן חלקי</w:t>
      </w:r>
      <w:r>
        <w:rPr>
          <w:rtl w:val="true"/>
        </w:rPr>
        <w:t xml:space="preserve">, </w:t>
      </w:r>
      <w:r>
        <w:rPr>
          <w:rtl w:val="true"/>
        </w:rPr>
        <w:t>לבטל</w:t>
      </w:r>
      <w:r>
        <w:rPr>
          <w:rtl w:val="true"/>
        </w:rPr>
        <w:t xml:space="preserve">, </w:t>
      </w:r>
      <w:r>
        <w:rPr>
          <w:rtl w:val="true"/>
        </w:rPr>
        <w:t>מחמת הספק</w:t>
      </w:r>
      <w:r>
        <w:rPr>
          <w:rtl w:val="true"/>
        </w:rPr>
        <w:t xml:space="preserve">, </w:t>
      </w:r>
      <w:r>
        <w:rPr>
          <w:rtl w:val="true"/>
        </w:rPr>
        <w:t>את הרשעת המערער במעשי סדום אוראליים ולהותיר על כנה את הרשעתו במעשי סדום אנאליים</w:t>
      </w:r>
      <w:r>
        <w:rPr>
          <w:rtl w:val="true"/>
        </w:rPr>
        <w:t xml:space="preserve">, </w:t>
      </w:r>
      <w:r>
        <w:rPr>
          <w:rtl w:val="true"/>
        </w:rPr>
        <w:t>אותם ביצע במתלוננת בכפייה</w:t>
      </w:r>
      <w:r>
        <w:rPr>
          <w:rtl w:val="true"/>
        </w:rPr>
        <w:t xml:space="preserve">, </w:t>
      </w:r>
      <w:r>
        <w:rPr>
          <w:rtl w:val="true"/>
        </w:rPr>
        <w:t>ובמעשי האלימות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בעקבות זיכוי חלקי זה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לחבריי להעמיד את עונש המאסר שהושת על המערער לריצוי בפועל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כל יתר חלקיו של גזר הדין קמא יישארו על 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התערבותה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בממצאי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אימתי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בפתח הדברים</w:t>
      </w:r>
      <w:r>
        <w:rPr>
          <w:rtl w:val="true"/>
        </w:rPr>
        <w:t xml:space="preserve">, </w:t>
      </w:r>
      <w:r>
        <w:rPr>
          <w:rtl w:val="true"/>
        </w:rPr>
        <w:t>אחזור על הכללים אשר חלים על ערעורים פליליים שמכוונים את חציהם על ממצאי עובדה ומהימנות שנקבעו על ידי הערכאה הדיונית</w:t>
      </w:r>
      <w:r>
        <w:rPr>
          <w:rtl w:val="true"/>
        </w:rPr>
        <w:t xml:space="preserve">. </w:t>
      </w:r>
      <w:r>
        <w:rPr>
          <w:rtl w:val="true"/>
        </w:rPr>
        <w:t xml:space="preserve">כללים אלה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ההתערבות</w:t>
      </w:r>
      <w:r>
        <w:rPr>
          <w:rtl w:val="true"/>
        </w:rPr>
        <w:t xml:space="preserve">) </w:t>
      </w:r>
      <w:r>
        <w:rPr>
          <w:rtl w:val="true"/>
        </w:rPr>
        <w:t>סוכמו על ידי 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8794/20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</w:t>
      </w:r>
      <w:r>
        <w:rPr/>
        <w:t>5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8794/20</w:t>
        </w:r>
      </w:hyperlink>
      <w:r>
        <w:rPr>
          <w:rtl w:val="true"/>
        </w:rPr>
        <w:t xml:space="preserve">)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בפועלו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מתמקד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והראייתי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הפרוצדורה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והדרישות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tl w:val="true"/>
        </w:rPr>
        <w:t>-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בהישענו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שלצדן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ממוסריהן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</w:t>
      </w:r>
      <w:r>
        <w:rPr>
          <w:rtl w:val="true"/>
        </w:rPr>
        <w:t>.</w:t>
      </w:r>
      <w:r>
        <w:rPr>
          <w:rtl w:val="true"/>
        </w:rPr>
        <w:t>].</w:t>
      </w:r>
      <w:r>
        <w:rPr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;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שאומר</w:t>
      </w:r>
      <w:r>
        <w:rPr>
          <w:rtl w:val="true"/>
        </w:rPr>
        <w:t xml:space="preserve">,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רשימת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לשינויים</w:t>
      </w:r>
      <w:r>
        <w:rPr>
          <w:rtl w:val="true"/>
        </w:rPr>
        <w:t xml:space="preserve">, </w:t>
      </w:r>
      <w:r>
        <w:rPr>
          <w:rtl w:val="true"/>
        </w:rPr>
        <w:t>לתוספות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ולעדכונים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. </w:t>
      </w:r>
      <w:r>
        <w:rPr>
          <w:rtl w:val="true"/>
        </w:rPr>
        <w:t>עיקריה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13.10.2021</w:t>
      </w:r>
      <w:r>
        <w:rPr>
          <w:rtl w:val="true"/>
        </w:rPr>
        <w:t xml:space="preserve">), </w:t>
      </w:r>
      <w:r>
        <w:rPr>
          <w:rtl w:val="true"/>
        </w:rPr>
        <w:t>בזו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הרמטי</w:t>
      </w:r>
      <w:r>
        <w:rPr>
          <w:rtl w:val="true"/>
        </w:rPr>
        <w:t xml:space="preserve">, </w:t>
      </w:r>
      <w:r>
        <w:rPr>
          <w:rtl w:val="true"/>
        </w:rPr>
        <w:t>ונקבעו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[...], </w:t>
      </w:r>
      <w:r>
        <w:rPr>
          <w:rtl w:val="true"/>
        </w:rPr>
        <w:t>והם</w:t>
      </w:r>
      <w:r>
        <w:rPr>
          <w:rtl w:val="true"/>
        </w:rPr>
        <w:t xml:space="preserve">: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מעובדות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הגיון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" </w:t>
      </w:r>
      <w:r>
        <w:rPr>
          <w:rtl w:val="true"/>
        </w:rPr>
        <w:t>בהערכת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תמליל</w:t>
      </w:r>
      <w:r>
        <w:rPr>
          <w:rtl w:val="true"/>
        </w:rPr>
        <w:t xml:space="preserve">, </w:t>
      </w:r>
      <w:r>
        <w:rPr>
          <w:rtl w:val="true"/>
        </w:rPr>
        <w:t>קלטת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מחפץ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."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37-35</w:t>
      </w:r>
      <w:r>
        <w:rPr>
          <w:rtl w:val="true"/>
        </w:rPr>
        <w:t xml:space="preserve">; </w:t>
      </w:r>
      <w:r>
        <w:rPr>
          <w:rtl w:val="true"/>
        </w:rPr>
        <w:t>הציטוטים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לרשימה שהציג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כרשימת מקרי התערבות רחבה</w:t>
      </w:r>
      <w:r>
        <w:rPr>
          <w:rtl w:val="true"/>
        </w:rPr>
        <w:t xml:space="preserve">, </w:t>
      </w:r>
      <w:r>
        <w:rPr>
          <w:rtl w:val="true"/>
        </w:rPr>
        <w:t>אך בלתי ממצה</w:t>
      </w:r>
      <w:r>
        <w:rPr>
          <w:rtl w:val="true"/>
        </w:rPr>
        <w:t xml:space="preserve">, </w:t>
      </w:r>
      <w:r>
        <w:rPr>
          <w:rtl w:val="true"/>
        </w:rPr>
        <w:t>הוספתי מקרה נוסף המוכר בפסיקה והחשוב לענייננו</w:t>
      </w:r>
      <w:r>
        <w:rPr>
          <w:rtl w:val="true"/>
        </w:rPr>
        <w:t>-</w:t>
      </w:r>
      <w:r>
        <w:rPr>
          <w:rtl w:val="true"/>
        </w:rPr>
        <w:t>שלנו</w:t>
      </w:r>
      <w:r>
        <w:rPr>
          <w:rtl w:val="true"/>
        </w:rPr>
        <w:t>:</w:t>
      </w:r>
    </w:p>
    <w:p>
      <w:pPr>
        <w:pStyle w:val="Ruller4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במבט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כולל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190/82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מרקוס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225</w:t>
      </w:r>
      <w:r>
        <w:rPr>
          <w:rtl w:val="true"/>
        </w:rPr>
        <w:t xml:space="preserve">, </w:t>
      </w:r>
      <w:r>
        <w:rPr/>
        <w:t>237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 xml:space="preserve">); </w:t>
      </w:r>
      <w:r>
        <w:rPr>
          <w:rtl w:val="true"/>
        </w:rPr>
        <w:t>ואלה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ומסובכת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שלערעור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בעיצומן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רעותה</w:t>
      </w:r>
      <w:r>
        <w:rPr>
          <w:rtl w:val="true"/>
        </w:rPr>
        <w:t xml:space="preserve">, </w:t>
      </w:r>
      <w:r>
        <w:rPr>
          <w:rtl w:val="true"/>
        </w:rPr>
        <w:t>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;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שסגולה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שלפניו</w:t>
      </w:r>
      <w:r>
        <w:rPr>
          <w:rtl w:val="true"/>
        </w:rPr>
        <w:t xml:space="preserve">, </w:t>
      </w:r>
      <w:r>
        <w:rPr>
          <w:rtl w:val="true"/>
        </w:rPr>
        <w:t>לראיית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היער</w:t>
      </w:r>
      <w:r>
        <w:rPr>
          <w:rtl w:val="true"/>
        </w:rPr>
        <w:t xml:space="preserve">, </w:t>
      </w:r>
      <w:r>
        <w:rPr>
          <w:rtl w:val="true"/>
        </w:rPr>
        <w:t>כשאינו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עציו</w:t>
      </w:r>
      <w:r>
        <w:rPr>
          <w:rtl w:val="true"/>
        </w:rPr>
        <w:t>."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ההדגשה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בהקשר זה הבהרתי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), </w:t>
      </w:r>
      <w:r>
        <w:rPr>
          <w:rtl w:val="true"/>
        </w:rPr>
        <w:t xml:space="preserve">כי </w:t>
      </w:r>
      <w:r>
        <w:rPr>
          <w:rtl w:val="true"/>
        </w:rPr>
        <w:t>הדרך</w:t>
      </w:r>
      <w:r>
        <w:rPr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המסד</w:t>
      </w:r>
      <w:r>
        <w:rPr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 </w:t>
      </w:r>
      <w:r>
        <w:rPr>
          <w:rtl w:val="true"/>
        </w:rPr>
        <w:t>במבט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הותוותה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543/79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1980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 xml:space="preserve">דבריו הבאים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נאמרו ביחס לניתוח של ראיות נסיבתיות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כפי שהוסבר על די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כוחם של דברים אלו יפה לכל </w:t>
      </w:r>
      <w:r>
        <w:rPr>
          <w:rtl w:val="true"/>
        </w:rPr>
        <w:t>ניתוח של ראיות באשר הוא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ומקצתן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מסכמת</w:t>
      </w:r>
      <w:r>
        <w:rPr>
          <w:rtl w:val="true"/>
        </w:rPr>
        <w:t xml:space="preserve">: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מכולם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במקובץ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המצטבר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היפותזה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. [...]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tl w:val="true"/>
        </w:rPr>
        <w:t xml:space="preserve">, </w:t>
      </w:r>
      <w:r>
        <w:rPr>
          <w:rtl w:val="true"/>
        </w:rPr>
        <w:t>גוברת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שאשמה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."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נגר</w:t>
      </w:r>
      <w:r>
        <w:rPr>
          <w:rtl w:val="true"/>
        </w:rPr>
        <w:t xml:space="preserve">, 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142-141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בכדי שנוכל לבחון כדבעי את ביטחונו של המסד הראייתי עליו עומדת הרשעת הנאשם</w:t>
      </w:r>
      <w:r>
        <w:rPr>
          <w:rtl w:val="true"/>
        </w:rPr>
        <w:t xml:space="preserve">, </w:t>
      </w:r>
      <w:r>
        <w:rPr>
          <w:rtl w:val="true"/>
        </w:rPr>
        <w:t>הצעתי את מבחן העזר הבא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מרשיעים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יינתנו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בהתבסס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ושיטתי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בוודאות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יכללו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מסד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ומובנה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, </w:t>
      </w:r>
      <w:r>
        <w:rPr>
          <w:rtl w:val="true"/>
        </w:rPr>
        <w:t>ערטילאי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ותאורטי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ידינו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ומובנה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תאורטי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הנורמלי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8794/20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ההדגשה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.). </w:t>
      </w:r>
      <w:r>
        <w:rPr>
          <w:rFonts w:ascii="Century" w:hAnsi="Century" w:cs="Century"/>
          <w:rtl w:val="true"/>
        </w:rPr>
        <w:t>כמו כן ראו</w:t>
      </w:r>
      <w:r>
        <w:rPr>
          <w:rFonts w:cs="Century" w:ascii="Century" w:hAnsi="Century"/>
          <w:rtl w:val="true"/>
        </w:rPr>
        <w:t xml:space="preserve">: 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2921/18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בצלאל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27.10.2019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בצלאל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מבחן עזר זה מונע נרמול של הרשעות שווא והפיכתן לתוצאה מקובלת בגדרי ההליך הפלילי</w:t>
      </w:r>
      <w:r>
        <w:rPr>
          <w:rtl w:val="true"/>
        </w:rPr>
        <w:t xml:space="preserve">, </w:t>
      </w:r>
      <w:r>
        <w:rPr>
          <w:rtl w:val="true"/>
        </w:rPr>
        <w:t>בשעה שאלו חייבות להישאר בגדר תאונה מקרית נדירה</w:t>
      </w:r>
      <w:r>
        <w:rPr>
          <w:rtl w:val="true"/>
        </w:rPr>
        <w:t xml:space="preserve">, </w:t>
      </w:r>
      <w:r>
        <w:rPr>
          <w:rtl w:val="true"/>
        </w:rPr>
        <w:t xml:space="preserve">אם כי בלתי נמנעת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cs="Times New Roman" w:ascii="Times New Roman" w:hAnsi="Times New Roman"/>
          <w:smallCaps/>
        </w:rPr>
        <w:t>Alex Stein, Foundations of Evidence Law</w:t>
      </w:r>
      <w:r>
        <w:rPr>
          <w:rFonts w:cs="Times New Roman" w:ascii="Times New Roman" w:hAnsi="Times New Roman"/>
        </w:rPr>
        <w:t xml:space="preserve"> 172-178 (Oxford U.P., 2005)</w:t>
      </w:r>
      <w:r>
        <w:rPr>
          <w:rtl w:val="true"/>
        </w:rPr>
        <w:t xml:space="preserve">)).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 xml:space="preserve">חומר הראיות שהובא נגד הנאשם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בצלאל</w:t>
      </w:r>
      <w:r>
        <w:rPr>
          <w:rtl w:val="true"/>
        </w:rPr>
        <w:t xml:space="preserve"> הראה כי הנאשם</w:t>
      </w:r>
      <w:r>
        <w:rPr>
          <w:rtl w:val="true"/>
        </w:rPr>
        <w:t xml:space="preserve">, </w:t>
      </w:r>
      <w:r>
        <w:rPr>
          <w:rtl w:val="true"/>
        </w:rPr>
        <w:t>אביב בצלאל</w:t>
      </w:r>
      <w:r>
        <w:rPr>
          <w:rtl w:val="true"/>
        </w:rPr>
        <w:t xml:space="preserve">, </w:t>
      </w:r>
      <w:r>
        <w:rPr>
          <w:rtl w:val="true"/>
        </w:rPr>
        <w:t>היה חבר בארגון אוהדיה של קבוצת כדורגל בית</w:t>
      </w:r>
      <w:r>
        <w:rPr>
          <w:rtl w:val="true"/>
        </w:rPr>
        <w:t>"</w:t>
      </w:r>
      <w:r>
        <w:rPr>
          <w:rtl w:val="true"/>
        </w:rPr>
        <w:t>ר ירושלים אשר נקרא לה</w:t>
      </w:r>
      <w:r>
        <w:rPr>
          <w:rtl w:val="true"/>
        </w:rPr>
        <w:t>-</w:t>
      </w:r>
      <w:r>
        <w:rPr>
          <w:rtl w:val="true"/>
        </w:rPr>
        <w:t>פמיליה</w:t>
      </w:r>
      <w:r>
        <w:rPr>
          <w:rtl w:val="true"/>
        </w:rPr>
        <w:t xml:space="preserve">; </w:t>
      </w:r>
      <w:r>
        <w:rPr>
          <w:rtl w:val="true"/>
        </w:rPr>
        <w:t>כי חלק מחברי הארגון</w:t>
      </w:r>
      <w:r>
        <w:rPr>
          <w:rtl w:val="true"/>
        </w:rPr>
        <w:t xml:space="preserve">, </w:t>
      </w:r>
      <w:r>
        <w:rPr>
          <w:rtl w:val="true"/>
        </w:rPr>
        <w:t>כולל הנאשם</w:t>
      </w:r>
      <w:r>
        <w:rPr>
          <w:rtl w:val="true"/>
        </w:rPr>
        <w:t xml:space="preserve">, </w:t>
      </w:r>
      <w:r>
        <w:rPr>
          <w:rtl w:val="true"/>
        </w:rPr>
        <w:t>קשרו קשר לתקוף את אוהדיה של קבוצת כדורגל אחרת במקום שהוסכם עליו בין הקושרים</w:t>
      </w:r>
      <w:r>
        <w:rPr>
          <w:rtl w:val="true"/>
        </w:rPr>
        <w:t xml:space="preserve">; </w:t>
      </w:r>
      <w:r>
        <w:rPr>
          <w:rtl w:val="true"/>
        </w:rPr>
        <w:t>כי הנאשם הגיע לאותו מקום על</w:t>
      </w:r>
      <w:r>
        <w:rPr>
          <w:rtl w:val="true"/>
        </w:rPr>
        <w:t>-</w:t>
      </w:r>
      <w:r>
        <w:rPr>
          <w:rtl w:val="true"/>
        </w:rPr>
        <w:t>מנת להשתתף בתקיפה</w:t>
      </w:r>
      <w:r>
        <w:rPr>
          <w:rtl w:val="true"/>
        </w:rPr>
        <w:t xml:space="preserve">; </w:t>
      </w:r>
      <w:r>
        <w:rPr>
          <w:rtl w:val="true"/>
        </w:rPr>
        <w:t>כי רוב</w:t>
      </w:r>
      <w:r>
        <w:rPr>
          <w:rtl w:val="true"/>
        </w:rPr>
        <w:t>-</w:t>
      </w:r>
      <w:r>
        <w:rPr>
          <w:rtl w:val="true"/>
        </w:rPr>
        <w:t>רובם של אנשי לה</w:t>
      </w:r>
      <w:r>
        <w:rPr>
          <w:rtl w:val="true"/>
        </w:rPr>
        <w:t>-</w:t>
      </w:r>
      <w:r>
        <w:rPr>
          <w:rtl w:val="true"/>
        </w:rPr>
        <w:t>פמיליה השתתפו בתקיפה</w:t>
      </w:r>
      <w:r>
        <w:rPr>
          <w:rtl w:val="true"/>
        </w:rPr>
        <w:t xml:space="preserve">; </w:t>
      </w:r>
      <w:r>
        <w:rPr>
          <w:rtl w:val="true"/>
        </w:rPr>
        <w:t>כי מספר קטן של אנשי לה</w:t>
      </w:r>
      <w:r>
        <w:rPr>
          <w:rtl w:val="true"/>
        </w:rPr>
        <w:t>-</w:t>
      </w:r>
      <w:r>
        <w:rPr>
          <w:rtl w:val="true"/>
        </w:rPr>
        <w:t>פמיליה</w:t>
      </w:r>
      <w:r>
        <w:rPr>
          <w:rtl w:val="true"/>
        </w:rPr>
        <w:t xml:space="preserve">, </w:t>
      </w:r>
      <w:r>
        <w:rPr>
          <w:rtl w:val="true"/>
        </w:rPr>
        <w:t>אשר נוכחו במקום</w:t>
      </w:r>
      <w:r>
        <w:rPr>
          <w:rtl w:val="true"/>
        </w:rPr>
        <w:t xml:space="preserve">, </w:t>
      </w:r>
      <w:r>
        <w:rPr>
          <w:rtl w:val="true"/>
        </w:rPr>
        <w:t>לא נטלו חלק בתקיפה</w:t>
      </w:r>
      <w:r>
        <w:rPr>
          <w:rtl w:val="true"/>
        </w:rPr>
        <w:t xml:space="preserve">; </w:t>
      </w:r>
      <w:r>
        <w:rPr>
          <w:rtl w:val="true"/>
        </w:rPr>
        <w:t>וכי הנאשם לא זוהה באופן פוזיטיבי כאחד התוקפים</w:t>
      </w:r>
      <w:r>
        <w:rPr>
          <w:rtl w:val="true"/>
        </w:rPr>
        <w:t xml:space="preserve">. </w:t>
      </w:r>
      <w:r>
        <w:rPr>
          <w:rtl w:val="true"/>
        </w:rPr>
        <w:t xml:space="preserve">מסד ראייתי זה אינו מקיים את דרישת הביטחון בהרשעה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מאחר שאם נרשיע כל נאשם ונאשם על בסיסו של מסד ראייתי זה</w:t>
      </w:r>
      <w:r>
        <w:rPr>
          <w:rtl w:val="true"/>
        </w:rPr>
        <w:t xml:space="preserve">, </w:t>
      </w:r>
      <w:r>
        <w:rPr>
          <w:rtl w:val="true"/>
        </w:rPr>
        <w:t>נמצא את עצמנו</w:t>
      </w:r>
      <w:r>
        <w:rPr>
          <w:rtl w:val="true"/>
        </w:rPr>
        <w:t xml:space="preserve">, </w:t>
      </w:r>
      <w:r>
        <w:rPr>
          <w:rtl w:val="true"/>
        </w:rPr>
        <w:t>בוודאות</w:t>
      </w:r>
      <w:r>
        <w:rPr>
          <w:rtl w:val="true"/>
        </w:rPr>
        <w:t xml:space="preserve">, </w:t>
      </w:r>
      <w:r>
        <w:rPr>
          <w:rtl w:val="true"/>
        </w:rPr>
        <w:t>מרשיעים חפים מפשע</w:t>
      </w:r>
      <w:r>
        <w:rPr>
          <w:rtl w:val="true"/>
        </w:rPr>
        <w:t xml:space="preserve">. </w:t>
      </w:r>
      <w:r>
        <w:rPr>
          <w:rtl w:val="true"/>
        </w:rPr>
        <w:t>מסיבה זו</w:t>
      </w:r>
      <w:r>
        <w:rPr>
          <w:rtl w:val="true"/>
        </w:rPr>
        <w:t xml:space="preserve">, </w:t>
      </w:r>
      <w:r>
        <w:rPr>
          <w:rtl w:val="true"/>
        </w:rPr>
        <w:t>המערער אביב בצלאל נמצא על ידינו</w:t>
      </w:r>
      <w:r>
        <w:rPr>
          <w:rtl w:val="true"/>
        </w:rPr>
        <w:t xml:space="preserve">, </w:t>
      </w:r>
      <w:r>
        <w:rPr>
          <w:rtl w:val="true"/>
        </w:rPr>
        <w:t>ברוב דעות</w:t>
      </w:r>
      <w:r>
        <w:rPr>
          <w:rtl w:val="true"/>
        </w:rPr>
        <w:t xml:space="preserve">, </w:t>
      </w:r>
      <w:r>
        <w:rPr>
          <w:rtl w:val="true"/>
        </w:rPr>
        <w:t>לא אשם במעשה התקיפה והורשע אך ורק בקשירת קשר לביצוע פשע</w:t>
      </w:r>
      <w:r>
        <w:rPr>
          <w:rtl w:val="true"/>
        </w:rPr>
        <w:t xml:space="preserve">.   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מבחן</w:t>
      </w:r>
      <w:r>
        <w:rPr>
          <w:rtl w:val="true"/>
        </w:rPr>
        <w:t>-</w:t>
      </w:r>
      <w:r>
        <w:rPr>
          <w:rtl w:val="true"/>
        </w:rPr>
        <w:t xml:space="preserve">עזר זה מתאים במיוחד למקרים הנשלטים על ידי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אשר מחייב את הערכאה הדיונית לנמק את ממצאי המהימנות שלה באופן מפורט</w:t>
      </w:r>
      <w:r>
        <w:rPr>
          <w:rtl w:val="true"/>
        </w:rPr>
        <w:t xml:space="preserve">, </w:t>
      </w:r>
      <w:r>
        <w:rPr>
          <w:rtl w:val="true"/>
        </w:rPr>
        <w:t xml:space="preserve">מבלי להסתפק בציון התרשמותה הסובייקטיבית מהעדים שהעידו לפניה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8794/20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לפסק דיני</w:t>
      </w:r>
      <w:r>
        <w:rPr>
          <w:rtl w:val="true"/>
        </w:rPr>
        <w:t xml:space="preserve">). </w:t>
      </w:r>
      <w:r>
        <w:rPr>
          <w:rtl w:val="true"/>
        </w:rPr>
        <w:t>אוסיף ואציין כי חבריי להרכב שנתן את פסק הדין ב</w:t>
      </w:r>
      <w:hyperlink r:id="rId3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8794/20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לא חלקו על סיכום כללי ההתערבות אשר נעשה על ידי</w:t>
      </w:r>
      <w:r>
        <w:rPr>
          <w:rtl w:val="true"/>
        </w:rPr>
        <w:t xml:space="preserve">, </w:t>
      </w:r>
      <w:r>
        <w:rPr>
          <w:rtl w:val="true"/>
        </w:rPr>
        <w:t>אולם לא הסכימו עם האופן בו יישמתי את הכללים הללו באותו מקרה ספציפי ועם התוצאה אליה הגעתי</w:t>
      </w:r>
      <w:r>
        <w:rPr>
          <w:rtl w:val="true"/>
        </w:rPr>
        <w:t xml:space="preserve">: </w:t>
      </w:r>
      <w:r>
        <w:rPr>
          <w:rtl w:val="true"/>
        </w:rPr>
        <w:t>זיכוי המערער דשם מחמת הספק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בטרם אכנס לניתוח הראיות עליהן מבוססת הרשעתו של המערער</w:t>
      </w:r>
      <w:r>
        <w:rPr>
          <w:rtl w:val="true"/>
        </w:rPr>
        <w:t xml:space="preserve">, </w:t>
      </w:r>
      <w:r>
        <w:rPr>
          <w:rtl w:val="true"/>
        </w:rPr>
        <w:t>אסיר מסדר יומנוּ את הטענה שהועלתה בהודעת הערעור ושנשמעה בחצי</w:t>
      </w:r>
      <w:r>
        <w:rPr>
          <w:rtl w:val="true"/>
        </w:rPr>
        <w:t>-</w:t>
      </w:r>
      <w:r>
        <w:rPr>
          <w:rtl w:val="true"/>
        </w:rPr>
        <w:t>פה במהלך הדיון אשר התקיים לפנינו</w:t>
      </w:r>
      <w:r>
        <w:rPr>
          <w:rtl w:val="true"/>
        </w:rPr>
        <w:t xml:space="preserve">, </w:t>
      </w:r>
      <w:r>
        <w:rPr>
          <w:rtl w:val="true"/>
        </w:rPr>
        <w:t>לפיה ראיות אלו כוללות בתוכן ראיות שאינן קבילות</w:t>
      </w:r>
      <w:r>
        <w:rPr>
          <w:rtl w:val="true"/>
        </w:rPr>
        <w:t xml:space="preserve">. </w:t>
      </w:r>
      <w:r>
        <w:rPr>
          <w:rtl w:val="true"/>
        </w:rPr>
        <w:t>טענה זו לוקה בחוסר פירוט</w:t>
      </w:r>
      <w:r>
        <w:rPr>
          <w:rtl w:val="true"/>
        </w:rPr>
        <w:t xml:space="preserve">, </w:t>
      </w:r>
      <w:r>
        <w:rPr>
          <w:rtl w:val="true"/>
        </w:rPr>
        <w:t>וככל שעלה בידי להבינה</w:t>
      </w:r>
      <w:r>
        <w:rPr>
          <w:rtl w:val="true"/>
        </w:rPr>
        <w:t xml:space="preserve">, </w:t>
      </w:r>
      <w:r>
        <w:rPr>
          <w:rtl w:val="true"/>
        </w:rPr>
        <w:t>היא מכוונת לדברים אשר נאמרו מחוץ לכותלי בית המשפט בשיחות שקיימה המתלוננת עם חברתה ס</w:t>
      </w:r>
      <w:r>
        <w:rPr>
          <w:rtl w:val="true"/>
        </w:rPr>
        <w:t xml:space="preserve">', </w:t>
      </w:r>
      <w:r>
        <w:rPr>
          <w:rtl w:val="true"/>
        </w:rPr>
        <w:t>עם בני משפחתה ועם בני משפחת המערער</w:t>
      </w:r>
      <w:r>
        <w:rPr>
          <w:rtl w:val="true"/>
        </w:rPr>
        <w:t xml:space="preserve">, </w:t>
      </w:r>
      <w:r>
        <w:rPr>
          <w:rtl w:val="true"/>
        </w:rPr>
        <w:t>וכן לדברים אשר הוחלפו בין בני משפחתה של המתלוננת לבין המערער בזמן שבני משפחה אלה ביקרו בדירה בה התגוררו המערער והמתלוננת בעודם נשואים זה לזו</w:t>
      </w:r>
      <w:r>
        <w:rPr>
          <w:rtl w:val="true"/>
        </w:rPr>
        <w:t xml:space="preserve">. </w:t>
      </w:r>
      <w:r>
        <w:rPr>
          <w:rtl w:val="true"/>
        </w:rPr>
        <w:t>דברים אלה שימשו את בית משפט קמא כראיות על עצם העובדה שהמתלוננת התלוננה בזמן אמת על כך שהמערער כפה עליה מין אנאלי ונהג כלפיה באלימות</w:t>
      </w:r>
      <w:r>
        <w:rPr>
          <w:rtl w:val="true"/>
        </w:rPr>
        <w:t xml:space="preserve">, </w:t>
      </w:r>
      <w:r>
        <w:rPr>
          <w:rtl w:val="true"/>
        </w:rPr>
        <w:t>ולא כאמרות</w:t>
      </w:r>
      <w:r>
        <w:rPr>
          <w:rtl w:val="true"/>
        </w:rPr>
        <w:t>-</w:t>
      </w:r>
      <w:r>
        <w:rPr>
          <w:rtl w:val="true"/>
        </w:rPr>
        <w:t>חוץ שבאות להוכיח את אמיתות תוכנן</w:t>
      </w:r>
      <w:r>
        <w:rPr>
          <w:rtl w:val="true"/>
        </w:rPr>
        <w:t xml:space="preserve">. </w:t>
      </w:r>
      <w:r>
        <w:rPr>
          <w:rtl w:val="true"/>
        </w:rPr>
        <w:t xml:space="preserve">מדובר אפוא בראיות קבילות ולא בעדויות מפי השמועה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יניב ואקי </w:t>
      </w:r>
      <w:hyperlink r:id="rId3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rtl w:val="true"/>
        </w:rPr>
        <w:t xml:space="preserve"> כרך 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/>
        <w:t>157-15</w:t>
      </w:r>
      <w:r>
        <w:rPr/>
        <w:t>6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tl w:val="true"/>
        </w:rPr>
        <w:t xml:space="preserve">)). </w:t>
      </w:r>
      <w:r>
        <w:rPr>
          <w:rtl w:val="true"/>
        </w:rPr>
        <w:t>לא זו אף זו</w:t>
      </w:r>
      <w:r>
        <w:rPr>
          <w:rtl w:val="true"/>
        </w:rPr>
        <w:t xml:space="preserve">: </w:t>
      </w:r>
      <w:r>
        <w:rPr>
          <w:rtl w:val="true"/>
        </w:rPr>
        <w:t>הדברים שהמערער השמיע באוזניהם של הורי המתלוננת במענה לתלונתם כי הלה מבצע בבתם מעשי סדום</w:t>
      </w:r>
      <w:r>
        <w:rPr>
          <w:rtl w:val="true"/>
        </w:rPr>
        <w:t xml:space="preserve">, </w:t>
      </w:r>
      <w:r>
        <w:rPr>
          <w:rtl w:val="true"/>
        </w:rPr>
        <w:t xml:space="preserve">קבילים נגדו גם כראיה לאמיתות תוכנה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 אסיר מסדר היום את טענת המערער בדבר מחדל חקירה</w:t>
      </w:r>
      <w:r>
        <w:rPr>
          <w:rtl w:val="true"/>
        </w:rPr>
        <w:t xml:space="preserve">: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מתן הזדמנות לד</w:t>
      </w:r>
      <w:r>
        <w:rPr>
          <w:rtl w:val="true"/>
        </w:rPr>
        <w:t>"</w:t>
      </w:r>
      <w:r>
        <w:rPr>
          <w:rtl w:val="true"/>
        </w:rPr>
        <w:t>ר ריקרדו נחמן לבדוק את פי הטבעת של המתלוננת מיד אחרי תלונתה</w:t>
      </w:r>
      <w:r>
        <w:rPr>
          <w:rtl w:val="true"/>
        </w:rPr>
        <w:t xml:space="preserve">. </w:t>
      </w:r>
      <w:r>
        <w:rPr>
          <w:rtl w:val="true"/>
        </w:rPr>
        <w:t>בעניינן של טענות כגון זו</w:t>
      </w:r>
      <w:r>
        <w:rPr>
          <w:rtl w:val="true"/>
        </w:rPr>
        <w:t xml:space="preserve">, </w:t>
      </w:r>
      <w:r>
        <w:rPr>
          <w:rtl w:val="true"/>
        </w:rPr>
        <w:t>הזדמן לי לומר דברים אלה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" </w:t>
      </w:r>
      <w:r>
        <w:rPr>
          <w:rtl w:val="true"/>
        </w:rPr>
        <w:t>נהנות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מפופולריות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במשפטנו</w:t>
      </w:r>
      <w:r>
        <w:rPr>
          <w:rtl w:val="true"/>
        </w:rPr>
        <w:t xml:space="preserve">. </w:t>
      </w:r>
      <w:r>
        <w:rPr>
          <w:rtl w:val="true"/>
        </w:rPr>
        <w:t>התדירות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מעמידתן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tl w:val="true"/>
        </w:rPr>
        <w:t xml:space="preserve">"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התדיינות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נזרקת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"</w:t>
      </w:r>
      <w:r>
        <w:rPr>
          <w:rtl w:val="true"/>
        </w:rPr>
        <w:t xml:space="preserve"> [...].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כבקשתך</w:t>
      </w:r>
      <w:r>
        <w:rPr>
          <w:rtl w:val="true"/>
        </w:rPr>
        <w:t xml:space="preserve">" </w:t>
      </w:r>
      <w:r>
        <w:rPr>
          <w:rtl w:val="true"/>
        </w:rPr>
        <w:t xml:space="preserve">[...] </w:t>
      </w:r>
      <w:r>
        <w:rPr>
          <w:rtl w:val="true"/>
        </w:rPr>
        <w:t>ל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מכלכלת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החקירתיים</w:t>
      </w:r>
      <w:r>
        <w:rPr>
          <w:rtl w:val="true"/>
        </w:rPr>
        <w:t>.</w:t>
      </w:r>
      <w:r>
        <w:rPr>
          <w:rtl w:val="true"/>
        </w:rPr>
        <w:t xml:space="preserve"> [...] </w:t>
      </w:r>
      <w:r>
        <w:rPr>
          <w:rtl w:val="true"/>
        </w:rPr>
        <w:t>מ</w:t>
      </w:r>
      <w:r>
        <w:rPr>
          <w:rtl w:val="true"/>
        </w:rPr>
        <w:t>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שעיקרם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נקיטת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7758/04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אלקאדר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19.7.2007</w:t>
      </w:r>
      <w:r>
        <w:rPr>
          <w:rtl w:val="true"/>
        </w:rPr>
        <w:t>))</w:t>
      </w:r>
      <w:r>
        <w:rPr>
          <w:rtl w:val="true"/>
        </w:rPr>
        <w:t>".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</w:t>
      </w:r>
      <w:r>
        <w:rPr/>
        <w:t>4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מהציטוטים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נחמן</w:t>
      </w:r>
      <w:r>
        <w:rPr>
          <w:rtl w:val="true"/>
        </w:rPr>
        <w:t xml:space="preserve">,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שהתלוננה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אנאלי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איחור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לצדה</w:t>
      </w:r>
      <w:r>
        <w:rPr>
          <w:rtl w:val="true"/>
        </w:rPr>
        <w:t xml:space="preserve">,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הראייתי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כללי ההתערבות שסקרתי לעיל מורים לנו שלא להתערב בממצאי המהימנות אשר נקבעו על ידי בית משפט קמא על בסיס התרשמותו מעדותה של המתלוננת</w:t>
      </w:r>
      <w:r>
        <w:rPr>
          <w:rtl w:val="true"/>
        </w:rPr>
        <w:t xml:space="preserve">. </w:t>
      </w:r>
      <w:r>
        <w:rPr>
          <w:rtl w:val="true"/>
        </w:rPr>
        <w:t>מדובר בהתרשמות ישירה המסורה לידי הערכאה הדיונית</w:t>
      </w:r>
      <w:r>
        <w:rPr>
          <w:rtl w:val="true"/>
        </w:rPr>
        <w:t xml:space="preserve">, </w:t>
      </w:r>
      <w:r>
        <w:rPr>
          <w:rtl w:val="true"/>
        </w:rPr>
        <w:t>ולא לנו</w:t>
      </w:r>
      <w:r>
        <w:rPr>
          <w:rtl w:val="true"/>
        </w:rPr>
        <w:t xml:space="preserve">. </w:t>
      </w:r>
      <w:r>
        <w:rPr>
          <w:rtl w:val="true"/>
        </w:rPr>
        <w:t>יחד עם כך</w:t>
      </w:r>
      <w:r>
        <w:rPr>
          <w:rtl w:val="true"/>
        </w:rPr>
        <w:t xml:space="preserve">,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חייב את בית משפט קמא לפרט ולנמק ממצאי מהימנות אלה תוך מתן התייחסות לכל הקשיים אשר עולים מעדותה של המתלוננת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tl w:val="true"/>
        </w:rPr>
        <w:t xml:space="preserve">, </w:t>
      </w:r>
      <w:r>
        <w:rPr/>
        <w:t>426-425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hyperlink r:id="rId4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8794/20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</w:t>
      </w:r>
      <w:r>
        <w:rPr>
          <w:rtl w:val="true"/>
        </w:rPr>
        <w:t xml:space="preserve">אות </w:t>
      </w:r>
      <w:r>
        <w:rPr/>
        <w:t>45-44</w:t>
      </w:r>
      <w:r>
        <w:rPr>
          <w:rtl w:val="true"/>
        </w:rPr>
        <w:t xml:space="preserve"> </w:t>
      </w:r>
      <w:r>
        <w:rPr>
          <w:rtl w:val="true"/>
        </w:rPr>
        <w:t>לפסק דיני</w:t>
      </w:r>
      <w:r>
        <w:rPr>
          <w:rtl w:val="true"/>
        </w:rPr>
        <w:t xml:space="preserve">).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חייב היה בית משפט קמא לבחון את משמעותם של שני קשיים אשר עלו ביחס לעדות זו ואת השלכותיהם על הכרעת הדין</w:t>
      </w:r>
      <w:r>
        <w:rPr>
          <w:rtl w:val="true"/>
        </w:rPr>
        <w:t xml:space="preserve">, </w:t>
      </w:r>
      <w:r>
        <w:rPr>
          <w:rtl w:val="true"/>
        </w:rPr>
        <w:t>אם ישנן</w:t>
      </w:r>
      <w:r>
        <w:rPr>
          <w:rtl w:val="true"/>
        </w:rPr>
        <w:t xml:space="preserve">. </w:t>
      </w:r>
      <w:r>
        <w:rPr>
          <w:rtl w:val="true"/>
        </w:rPr>
        <w:t xml:space="preserve">הקושי הראשון </w:t>
      </w:r>
      <w:r>
        <w:rPr>
          <w:rtl w:val="true"/>
        </w:rPr>
        <w:t>–</w:t>
      </w:r>
      <w:r>
        <w:rPr>
          <w:rtl w:val="true"/>
        </w:rPr>
        <w:t xml:space="preserve"> עדות המתלוננת על האיום שלא היה </w:t>
      </w:r>
      <w:r>
        <w:rPr>
          <w:rtl w:val="true"/>
        </w:rPr>
        <w:t>–</w:t>
      </w:r>
      <w:r>
        <w:rPr>
          <w:rtl w:val="true"/>
        </w:rPr>
        <w:t xml:space="preserve"> כבר צוין על ידי</w:t>
      </w:r>
      <w:r>
        <w:rPr>
          <w:rtl w:val="true"/>
        </w:rPr>
        <w:t xml:space="preserve">. </w:t>
      </w:r>
      <w:r>
        <w:rPr>
          <w:rtl w:val="true"/>
        </w:rPr>
        <w:t>הקושי השני נבע מעדות המתלוננת כי ראתה את עצמה מחויבת</w:t>
      </w:r>
      <w:r>
        <w:rPr>
          <w:rtl w:val="true"/>
        </w:rPr>
        <w:t xml:space="preserve">, </w:t>
      </w:r>
      <w:r>
        <w:rPr>
          <w:rtl w:val="true"/>
        </w:rPr>
        <w:t>מתוקף היותה נשואה למערער</w:t>
      </w:r>
      <w:r>
        <w:rPr>
          <w:rtl w:val="true"/>
        </w:rPr>
        <w:t xml:space="preserve">, </w:t>
      </w:r>
      <w:r>
        <w:rPr>
          <w:rtl w:val="true"/>
        </w:rPr>
        <w:t>להיענות לדרישותיו המיניות חרף אי</w:t>
      </w:r>
      <w:r>
        <w:rPr>
          <w:rtl w:val="true"/>
        </w:rPr>
        <w:t>-</w:t>
      </w:r>
      <w:r>
        <w:rPr>
          <w:rtl w:val="true"/>
        </w:rPr>
        <w:t>רצונה לקיים עמו מגעים מיניים שנדרשו על ידו</w:t>
      </w:r>
      <w:r>
        <w:rPr>
          <w:rtl w:val="true"/>
        </w:rPr>
        <w:t xml:space="preserve">, </w:t>
      </w:r>
      <w:r>
        <w:rPr>
          <w:rtl w:val="true"/>
        </w:rPr>
        <w:t xml:space="preserve">כל אימת שמדובר במגעים מיניים שאינם אסורים בהיבט הדתי המוסלמי </w:t>
      </w:r>
      <w:r>
        <w:rPr>
          <w:rtl w:val="true"/>
        </w:rPr>
        <w:t>–</w:t>
      </w:r>
      <w:r>
        <w:rPr>
          <w:rtl w:val="true"/>
        </w:rPr>
        <w:t xml:space="preserve"> תפישת מציאות אשר הביאה את המתלוננת להסכים לכך שהמערער יכניס חלק מאיבר מינו לתוך פיה</w:t>
      </w:r>
      <w:r>
        <w:rPr>
          <w:rtl w:val="true"/>
        </w:rPr>
        <w:t xml:space="preserve">. </w:t>
      </w:r>
      <w:r>
        <w:rPr>
          <w:rtl w:val="true"/>
        </w:rPr>
        <w:t>אין צריך לומר כי מדובר בתפישה אנומלית של קשר הנישואין</w:t>
      </w:r>
      <w:r>
        <w:rPr>
          <w:rtl w:val="true"/>
        </w:rPr>
        <w:t xml:space="preserve">. </w:t>
      </w:r>
      <w:r>
        <w:rPr>
          <w:rtl w:val="true"/>
        </w:rPr>
        <w:t>פשיטא הוא</w:t>
      </w:r>
      <w:r>
        <w:rPr>
          <w:rtl w:val="true"/>
        </w:rPr>
        <w:t xml:space="preserve">, </w:t>
      </w:r>
      <w:r>
        <w:rPr>
          <w:rtl w:val="true"/>
        </w:rPr>
        <w:t>כי כל אישה היא ריבונית על גופה</w:t>
      </w:r>
      <w:r>
        <w:rPr>
          <w:rtl w:val="true"/>
        </w:rPr>
        <w:t xml:space="preserve">, </w:t>
      </w:r>
      <w:r>
        <w:rPr>
          <w:rtl w:val="true"/>
        </w:rPr>
        <w:t>ואיש אינו רשאי לכפות עליה מגעים מיניים שלא תואמים את רצונותיה גם כאשר הוא נשוי לה כדת וכדין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נורמה בסיסית זו היא נחלתם של מוסר ומשפט הנהוגים במחוזותינו</w:t>
      </w:r>
      <w:r>
        <w:rPr>
          <w:rtl w:val="true"/>
        </w:rPr>
        <w:t xml:space="preserve">, </w:t>
      </w:r>
      <w:r>
        <w:rPr>
          <w:rtl w:val="true"/>
        </w:rPr>
        <w:t xml:space="preserve">כששני אלו </w:t>
      </w:r>
      <w:r>
        <w:rPr>
          <w:rtl w:val="true"/>
        </w:rPr>
        <w:t>–</w:t>
      </w:r>
      <w:r>
        <w:rPr>
          <w:rtl w:val="true"/>
        </w:rPr>
        <w:t xml:space="preserve"> המוסר והמשפט </w:t>
      </w:r>
      <w:r>
        <w:rPr>
          <w:rtl w:val="true"/>
        </w:rPr>
        <w:t>–</w:t>
      </w:r>
      <w:r>
        <w:rPr>
          <w:rtl w:val="true"/>
        </w:rPr>
        <w:t xml:space="preserve"> מדברים על התנהגות אנושית רצויה</w:t>
      </w:r>
      <w:r>
        <w:rPr>
          <w:rtl w:val="true"/>
        </w:rPr>
        <w:t xml:space="preserve">, </w:t>
      </w:r>
      <w:r>
        <w:rPr>
          <w:rtl w:val="true"/>
        </w:rPr>
        <w:t>ולא על אשר מתרחש בפועל בין בני זוג בכל בית ובית</w:t>
      </w:r>
      <w:r>
        <w:rPr>
          <w:rtl w:val="true"/>
        </w:rPr>
        <w:t xml:space="preserve">.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נורמה זו אינה תואמת את המציאות בכל מקרה ומקרה</w:t>
      </w:r>
      <w:r>
        <w:rPr>
          <w:rtl w:val="true"/>
        </w:rPr>
        <w:t xml:space="preserve">, </w:t>
      </w:r>
      <w:r>
        <w:rPr>
          <w:rtl w:val="true"/>
        </w:rPr>
        <w:t>לרבות זה שלפנינו</w:t>
      </w:r>
      <w:r>
        <w:rPr>
          <w:rtl w:val="true"/>
        </w:rPr>
        <w:t xml:space="preserve">. </w:t>
      </w:r>
      <w:r>
        <w:rPr>
          <w:rtl w:val="true"/>
        </w:rPr>
        <w:t>כפועל יוצא מכך</w:t>
      </w:r>
      <w:r>
        <w:rPr>
          <w:rtl w:val="true"/>
        </w:rPr>
        <w:t xml:space="preserve">, </w:t>
      </w:r>
      <w:r>
        <w:rPr>
          <w:rtl w:val="true"/>
        </w:rPr>
        <w:t>ולנוכח עדותה של המתלוננת על האופן בו היא ראתה את חובותיה המיניות כלפי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חייב היה בית משפט קמא לבחון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האפשרות</w:t>
      </w:r>
      <w:r>
        <w:rPr>
          <w:rtl w:val="true"/>
        </w:rPr>
        <w:t xml:space="preserve"> שהמתלוננת פעלה</w:t>
      </w:r>
      <w:r>
        <w:rPr>
          <w:rtl w:val="true"/>
        </w:rPr>
        <w:t xml:space="preserve">, </w:t>
      </w:r>
      <w:r>
        <w:rPr>
          <w:rtl w:val="true"/>
        </w:rPr>
        <w:t>אנוסה על</w:t>
      </w:r>
      <w:r>
        <w:rPr>
          <w:rtl w:val="true"/>
        </w:rPr>
        <w:t>-</w:t>
      </w:r>
      <w:r>
        <w:rPr>
          <w:rtl w:val="true"/>
        </w:rPr>
        <w:t>פי אמונתה</w:t>
      </w:r>
      <w:r>
        <w:rPr>
          <w:rtl w:val="true"/>
        </w:rPr>
        <w:t xml:space="preserve">, </w:t>
      </w:r>
      <w:r>
        <w:rPr>
          <w:rtl w:val="true"/>
        </w:rPr>
        <w:t xml:space="preserve">כמי שנענית לדרישותיו המיניות של המערער באופן שנתן לו להאמין </w:t>
      </w:r>
      <w:r>
        <w:rPr>
          <w:rtl w:val="true"/>
        </w:rPr>
        <w:t>–</w:t>
      </w:r>
      <w:r>
        <w:rPr>
          <w:rtl w:val="true"/>
        </w:rPr>
        <w:t xml:space="preserve"> בניגוד גמור לעובדות </w:t>
      </w:r>
      <w:r>
        <w:rPr>
          <w:rtl w:val="true"/>
        </w:rPr>
        <w:t>–</w:t>
      </w:r>
      <w:r>
        <w:rPr>
          <w:rtl w:val="true"/>
        </w:rPr>
        <w:t xml:space="preserve"> כי היא מסכימה לקיים עמו את המגעים המיניים שדרש ממנה לקיימם</w:t>
      </w:r>
      <w:r>
        <w:rPr>
          <w:rtl w:val="true"/>
        </w:rPr>
        <w:t xml:space="preserve">. </w:t>
      </w:r>
      <w:r>
        <w:rPr>
          <w:rtl w:val="true"/>
        </w:rPr>
        <w:t>אמונה כנה כאמור</w:t>
      </w:r>
      <w:r>
        <w:rPr>
          <w:rtl w:val="true"/>
        </w:rPr>
        <w:t xml:space="preserve">, </w:t>
      </w:r>
      <w:r>
        <w:rPr>
          <w:rtl w:val="true"/>
        </w:rPr>
        <w:t>מעוותת ככל שתהא</w:t>
      </w:r>
      <w:r>
        <w:rPr>
          <w:rtl w:val="true"/>
        </w:rPr>
        <w:t xml:space="preserve">, </w:t>
      </w:r>
      <w:r>
        <w:rPr>
          <w:rtl w:val="true"/>
        </w:rPr>
        <w:t>שוללת את היסוד הנפשי הדרוש להתהוותן של עבירות אינוס לסוגיהן</w:t>
      </w:r>
      <w:r>
        <w:rPr>
          <w:rtl w:val="true"/>
        </w:rPr>
        <w:t xml:space="preserve">, </w:t>
      </w:r>
      <w:r>
        <w:rPr>
          <w:rtl w:val="true"/>
        </w:rPr>
        <w:t xml:space="preserve">לרבות העבירה של מעשה סדום בכפייה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6111/23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26-14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 דיני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</w:t>
      </w:r>
      <w:r>
        <w:rPr/>
        <w:t>2</w:t>
      </w:r>
      <w:r>
        <w:rPr/>
        <w:t>.2024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נד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306-302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שופטי הרוב בבית משפט קמא התייחסו בהכרעת הדין לקושי הראשון בהצביעם על הסיבות שבעטיין מסרה המתלוננת גרסה מוטעית על האיום שלא היה</w:t>
      </w:r>
      <w:r>
        <w:rPr>
          <w:rtl w:val="true"/>
        </w:rPr>
        <w:t xml:space="preserve">. </w:t>
      </w:r>
      <w:r>
        <w:rPr>
          <w:rtl w:val="true"/>
        </w:rPr>
        <w:t>כפי שכבר צויין על ידי</w:t>
      </w:r>
      <w:r>
        <w:rPr>
          <w:rtl w:val="true"/>
        </w:rPr>
        <w:t xml:space="preserve">, </w:t>
      </w:r>
      <w:r>
        <w:rPr>
          <w:rtl w:val="true"/>
        </w:rPr>
        <w:t xml:space="preserve">שופטי הרוב סברו כי מדובר בטעות שנבעה </w:t>
      </w:r>
      <w:r>
        <w:rPr>
          <w:rFonts w:ascii="Arial TUR;Arial" w:hAnsi="Arial TUR;Arial" w:cs="Arial TUR;Arial"/>
          <w:sz w:val="22"/>
          <w:sz w:val="22"/>
          <w:rtl w:val="true"/>
        </w:rPr>
        <w:t>מ</w:t>
      </w:r>
      <w:r>
        <w:rPr>
          <w:rtl w:val="true"/>
        </w:rPr>
        <w:t>מצבה הנפשי הקשה של המתלוננת ומפחדיה מהמערער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הסבר זה</w:t>
      </w:r>
      <w:r>
        <w:rPr>
          <w:rtl w:val="true"/>
        </w:rPr>
        <w:t xml:space="preserve">, </w:t>
      </w:r>
      <w:r>
        <w:rPr>
          <w:rtl w:val="true"/>
        </w:rPr>
        <w:t>כל כולו</w:t>
      </w:r>
      <w:r>
        <w:rPr>
          <w:rtl w:val="true"/>
        </w:rPr>
        <w:t xml:space="preserve">, </w:t>
      </w:r>
      <w:r>
        <w:rPr>
          <w:rtl w:val="true"/>
        </w:rPr>
        <w:t>בנוי על השערה</w:t>
      </w:r>
      <w:r>
        <w:rPr>
          <w:rtl w:val="true"/>
        </w:rPr>
        <w:t xml:space="preserve">, </w:t>
      </w:r>
      <w:r>
        <w:rPr>
          <w:rtl w:val="true"/>
        </w:rPr>
        <w:t xml:space="preserve">והשערה </w:t>
      </w:r>
      <w:r>
        <w:rPr>
          <w:rtl w:val="true"/>
        </w:rPr>
        <w:t>–</w:t>
      </w:r>
      <w:r>
        <w:rPr>
          <w:rtl w:val="true"/>
        </w:rPr>
        <w:t xml:space="preserve"> טובה ככל שתהיה </w:t>
      </w:r>
      <w:r>
        <w:rPr>
          <w:rtl w:val="true"/>
        </w:rPr>
        <w:t>–</w:t>
      </w:r>
      <w:r>
        <w:rPr>
          <w:rtl w:val="true"/>
        </w:rPr>
        <w:t xml:space="preserve"> אינה בגדר ראיה</w:t>
      </w:r>
      <w:r>
        <w:rPr>
          <w:rtl w:val="true"/>
        </w:rPr>
        <w:t xml:space="preserve">, </w:t>
      </w:r>
      <w:r>
        <w:rPr>
          <w:rtl w:val="true"/>
        </w:rPr>
        <w:t>ובוודאי שאינה מגיעה כדי הוכחה מעבר לספק סביר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כפי שסבר שופט המיעוט</w:t>
      </w:r>
      <w:r>
        <w:rPr>
          <w:rtl w:val="true"/>
        </w:rPr>
        <w:t xml:space="preserve">, </w:t>
      </w:r>
      <w:r>
        <w:rPr>
          <w:rtl w:val="true"/>
        </w:rPr>
        <w:t>ככל שמדובר בטעות</w:t>
      </w:r>
      <w:r>
        <w:rPr>
          <w:rtl w:val="true"/>
        </w:rPr>
        <w:t xml:space="preserve">, </w:t>
      </w:r>
      <w:r>
        <w:rPr>
          <w:rtl w:val="true"/>
        </w:rPr>
        <w:t>עסקינן בתקלת</w:t>
      </w:r>
      <w:r>
        <w:rPr>
          <w:rtl w:val="true"/>
        </w:rPr>
        <w:t>-</w:t>
      </w:r>
      <w:r>
        <w:rPr>
          <w:rtl w:val="true"/>
        </w:rPr>
        <w:t>עדות של ממש</w:t>
      </w:r>
      <w:r>
        <w:rPr>
          <w:rtl w:val="true"/>
        </w:rPr>
        <w:t xml:space="preserve">: </w:t>
      </w:r>
      <w:r>
        <w:rPr>
          <w:rtl w:val="true"/>
        </w:rPr>
        <w:t>מסירת גרסה אשר מייחסת למערער איום שלא היה</w:t>
      </w:r>
      <w:r>
        <w:rPr>
          <w:rtl w:val="true"/>
        </w:rPr>
        <w:t xml:space="preserve">, </w:t>
      </w:r>
      <w:r>
        <w:rPr>
          <w:rtl w:val="true"/>
        </w:rPr>
        <w:t>תחת מסכת עובדות שבה איומיו והמורא שהטיל על המתלוננת הם אלה שהפכו את מעשיו לפליליים</w:t>
      </w:r>
      <w:r>
        <w:rPr>
          <w:rtl w:val="true"/>
        </w:rPr>
        <w:t xml:space="preserve">. </w:t>
      </w:r>
      <w:r>
        <w:rPr>
          <w:rtl w:val="true"/>
        </w:rPr>
        <w:t>תקלה מעין זו מחייבת את בית המשפט לנקוט משנה זהירות ביחס לעדות כולה בטרם יאמין לה</w:t>
      </w:r>
      <w:r>
        <w:rPr>
          <w:rtl w:val="true"/>
        </w:rPr>
        <w:t xml:space="preserve">; </w:t>
      </w:r>
      <w:r>
        <w:rPr>
          <w:rtl w:val="true"/>
        </w:rPr>
        <w:t xml:space="preserve">וכאשר מדובר בעדות המתלונן או המתלוננת על עבירת מין </w:t>
      </w:r>
      <w:r>
        <w:rPr>
          <w:rtl w:val="true"/>
        </w:rPr>
        <w:t>–</w:t>
      </w:r>
      <w:r>
        <w:rPr>
          <w:rtl w:val="true"/>
        </w:rPr>
        <w:t xml:space="preserve"> עדות שביחס אליה נדרש בית המשפט לפרט מדוע הוא ראה לנכון להסתפק בה לבדה בבואו להרשיע את הנאשם </w:t>
      </w:r>
      <w:r>
        <w:rPr>
          <w:rtl w:val="true"/>
        </w:rPr>
        <w:t>–</w:t>
      </w:r>
      <w:r>
        <w:rPr>
          <w:rtl w:val="true"/>
        </w:rPr>
        <w:t xml:space="preserve"> חיוב זה חל ביתר שאת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שופטי הרוב לא ראו בקושי השני עליו הצבעתי קושי של ממש</w:t>
      </w:r>
      <w:r>
        <w:rPr>
          <w:rtl w:val="true"/>
        </w:rPr>
        <w:t xml:space="preserve">. </w:t>
      </w:r>
      <w:r>
        <w:rPr>
          <w:rtl w:val="true"/>
        </w:rPr>
        <w:t>מפסק דינם עולה כי בכגון דא ניתן מבחינתם להסתפק בקביעתם החד</w:t>
      </w:r>
      <w:r>
        <w:rPr>
          <w:rtl w:val="true"/>
        </w:rPr>
        <w:t>-</w:t>
      </w:r>
      <w:r>
        <w:rPr>
          <w:rtl w:val="true"/>
        </w:rPr>
        <w:t>משמעית שעדותה של המתלוננת אמינה מעבר לספק סביר</w:t>
      </w:r>
      <w:r>
        <w:rPr>
          <w:rtl w:val="true"/>
        </w:rPr>
        <w:t xml:space="preserve">. </w:t>
      </w:r>
      <w:r>
        <w:rPr>
          <w:rtl w:val="true"/>
        </w:rPr>
        <w:t>אני סבור אחרת</w:t>
      </w:r>
      <w:r>
        <w:rPr>
          <w:rtl w:val="true"/>
        </w:rPr>
        <w:t xml:space="preserve">. </w:t>
      </w:r>
      <w:r>
        <w:rPr>
          <w:rtl w:val="true"/>
        </w:rPr>
        <w:t xml:space="preserve">אמינות המתלוננת </w:t>
      </w:r>
      <w:r>
        <w:rPr>
          <w:rtl w:val="true"/>
        </w:rPr>
        <w:t>–</w:t>
      </w:r>
      <w:r>
        <w:rPr>
          <w:rtl w:val="true"/>
        </w:rPr>
        <w:t xml:space="preserve"> בה איני מטיל אפילו ספק</w:t>
      </w:r>
      <w:r>
        <w:rPr>
          <w:rtl w:val="true"/>
        </w:rPr>
        <w:t>-</w:t>
      </w:r>
      <w:r>
        <w:rPr>
          <w:rtl w:val="true"/>
        </w:rPr>
        <w:t xml:space="preserve">ספיקא </w:t>
      </w:r>
      <w:r>
        <w:rPr>
          <w:rtl w:val="true"/>
        </w:rPr>
        <w:t>–</w:t>
      </w:r>
      <w:r>
        <w:rPr>
          <w:rtl w:val="true"/>
        </w:rPr>
        <w:t xml:space="preserve"> לחוד</w:t>
      </w:r>
      <w:r>
        <w:rPr>
          <w:rtl w:val="true"/>
        </w:rPr>
        <w:t xml:space="preserve">, </w:t>
      </w:r>
      <w:r>
        <w:rPr>
          <w:rtl w:val="true"/>
        </w:rPr>
        <w:t>ואמונותיו של המערער בעת ביצוע מעשיו לחוד</w:t>
      </w:r>
      <w:r>
        <w:rPr>
          <w:rtl w:val="true"/>
        </w:rPr>
        <w:t xml:space="preserve">. </w:t>
      </w:r>
      <w:r>
        <w:rPr>
          <w:rtl w:val="true"/>
        </w:rPr>
        <w:t>שופטי הרוב חייבים היו לשאול את עצמם מה עבר בראשו של המערער כאשר המתלוננת פעלה במסגרת הנישואין עמו כמי שחייבת</w:t>
      </w:r>
      <w:r>
        <w:rPr>
          <w:rtl w:val="true"/>
        </w:rPr>
        <w:t xml:space="preserve">, </w:t>
      </w:r>
      <w:r>
        <w:rPr>
          <w:rtl w:val="true"/>
        </w:rPr>
        <w:t>חרף אי</w:t>
      </w:r>
      <w:r>
        <w:rPr>
          <w:rtl w:val="true"/>
        </w:rPr>
        <w:t>-</w:t>
      </w:r>
      <w:r>
        <w:rPr>
          <w:rtl w:val="true"/>
        </w:rPr>
        <w:t>רצונה</w:t>
      </w:r>
      <w:r>
        <w:rPr>
          <w:rtl w:val="true"/>
        </w:rPr>
        <w:t xml:space="preserve">, </w:t>
      </w:r>
      <w:r>
        <w:rPr>
          <w:rtl w:val="true"/>
        </w:rPr>
        <w:t>להיענות לדרישותיו המיניות</w:t>
      </w:r>
      <w:r>
        <w:rPr>
          <w:rtl w:val="true"/>
        </w:rPr>
        <w:t xml:space="preserve">, </w:t>
      </w:r>
      <w:r>
        <w:rPr>
          <w:rtl w:val="true"/>
        </w:rPr>
        <w:t>כל אימת שאלו אינן מנוגדות לדת</w:t>
      </w:r>
      <w:r>
        <w:rPr>
          <w:rtl w:val="true"/>
        </w:rPr>
        <w:t xml:space="preserve">, </w:t>
      </w:r>
      <w:r>
        <w:rPr>
          <w:rtl w:val="true"/>
        </w:rPr>
        <w:t>וכאשר היא נתנה את הסכמתה לכך שהמערער יכניס חלק מאיבר מינו לתוך פיה</w:t>
      </w:r>
      <w:r>
        <w:rPr>
          <w:rtl w:val="true"/>
        </w:rPr>
        <w:t xml:space="preserve">. </w:t>
      </w:r>
      <w:r>
        <w:rPr>
          <w:rtl w:val="true"/>
        </w:rPr>
        <w:t>שאלה זו מעלה את האפשרות שהמערער האמין שהמתלוננת הסכימה לקיים עמו את המגעים המיניים האוראליים שהשניים קיימו</w:t>
      </w:r>
      <w:r>
        <w:rPr>
          <w:rtl w:val="true"/>
        </w:rPr>
        <w:t xml:space="preserve">. </w:t>
      </w:r>
      <w:r>
        <w:rPr>
          <w:rtl w:val="true"/>
        </w:rPr>
        <w:t xml:space="preserve">עדותה של המתלוננת לבדה </w:t>
      </w:r>
      <w:r>
        <w:rPr>
          <w:rtl w:val="true"/>
        </w:rPr>
        <w:t>–</w:t>
      </w:r>
      <w:r>
        <w:rPr>
          <w:rtl w:val="true"/>
        </w:rPr>
        <w:t xml:space="preserve"> אמינה ככל שתהיה </w:t>
      </w:r>
      <w:r>
        <w:rPr>
          <w:rtl w:val="true"/>
        </w:rPr>
        <w:t>–</w:t>
      </w:r>
      <w:r>
        <w:rPr>
          <w:rtl w:val="true"/>
        </w:rPr>
        <w:t xml:space="preserve"> אינה מספיקה כדי לשלול אפשרות זו לחלוטין או לסמנה כבלתי סבירה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אפוא כי קביעתם הגורפת של שופטי הרוב אינה מספיקה כדי להבטיח את ביטחונו של המסד הראייתי עליו עומדת הרשעת המערער בכל אחת מהעבירות שיוחסו לו</w:t>
      </w:r>
      <w:r>
        <w:rPr>
          <w:rtl w:val="true"/>
        </w:rPr>
        <w:t xml:space="preserve">. </w:t>
      </w:r>
      <w:r>
        <w:rPr>
          <w:rtl w:val="true"/>
        </w:rPr>
        <w:t>כדי להיווכח בזאת</w:t>
      </w:r>
      <w:r>
        <w:rPr>
          <w:rtl w:val="true"/>
        </w:rPr>
        <w:t xml:space="preserve">, </w:t>
      </w:r>
      <w:r>
        <w:rPr>
          <w:rtl w:val="true"/>
        </w:rPr>
        <w:t>הבה נפעיל את מבחן העזר שהצעתי</w:t>
      </w:r>
      <w:r>
        <w:rPr>
          <w:rtl w:val="true"/>
        </w:rPr>
        <w:t xml:space="preserve">: </w:t>
      </w:r>
      <w:r>
        <w:rPr>
          <w:rtl w:val="true"/>
        </w:rPr>
        <w:t>נחשוב על חמישה</w:t>
      </w:r>
      <w:r>
        <w:rPr>
          <w:rtl w:val="true"/>
        </w:rPr>
        <w:t>-</w:t>
      </w:r>
      <w:r>
        <w:rPr>
          <w:rtl w:val="true"/>
        </w:rPr>
        <w:t>עד</w:t>
      </w:r>
      <w:r>
        <w:rPr>
          <w:rtl w:val="true"/>
        </w:rPr>
        <w:t>-</w:t>
      </w:r>
      <w:r>
        <w:rPr>
          <w:rtl w:val="true"/>
        </w:rPr>
        <w:t>עשרה מקרים הדומים למקרה שלפנינו</w:t>
      </w:r>
      <w:r>
        <w:rPr>
          <w:rtl w:val="true"/>
        </w:rPr>
        <w:t xml:space="preserve">, </w:t>
      </w:r>
      <w:r>
        <w:rPr>
          <w:rtl w:val="true"/>
        </w:rPr>
        <w:t>בהם מתעוררים שני הקשיים שהצבעתי עליהם</w:t>
      </w:r>
      <w:r>
        <w:rPr>
          <w:rtl w:val="true"/>
        </w:rPr>
        <w:t xml:space="preserve">; </w:t>
      </w:r>
      <w:r>
        <w:rPr>
          <w:rtl w:val="true"/>
        </w:rPr>
        <w:t>נניח שבכל מקרה ומקרה בית המשפט מחליט להרשיע את הנאשם באינוס או במעשה סדום בכפייה על בסיס עדותה של המתלוננת חרף הקשיים האמורים</w:t>
      </w:r>
      <w:r>
        <w:rPr>
          <w:rtl w:val="true"/>
        </w:rPr>
        <w:t xml:space="preserve">; </w:t>
      </w:r>
      <w:r>
        <w:rPr>
          <w:rtl w:val="true"/>
        </w:rPr>
        <w:t xml:space="preserve">ונשאל את עצמנו האם דרך זו של קבלת החלטות </w:t>
      </w:r>
      <w:r>
        <w:rPr>
          <w:rtl w:val="true"/>
        </w:rPr>
        <w:t>–</w:t>
      </w:r>
      <w:r>
        <w:rPr>
          <w:rtl w:val="true"/>
        </w:rPr>
        <w:t xml:space="preserve"> הרשעה למרות הקשיים המהותיים בעדות אשר מפלילה את הנאשם </w:t>
      </w:r>
      <w:r>
        <w:rPr>
          <w:rtl w:val="true"/>
        </w:rPr>
        <w:t>–</w:t>
      </w:r>
      <w:r>
        <w:rPr>
          <w:rtl w:val="true"/>
        </w:rPr>
        <w:t xml:space="preserve"> מביאה בוודאות להרשעתו של חף מפשע</w:t>
      </w:r>
      <w:r>
        <w:rPr>
          <w:rtl w:val="true"/>
        </w:rPr>
        <w:t xml:space="preserve">. </w:t>
      </w:r>
      <w:r>
        <w:rPr>
          <w:rtl w:val="true"/>
        </w:rPr>
        <w:t>הנני סבור כי התשובה לשאלה ששאלתי היא חיובית</w:t>
      </w:r>
      <w:r>
        <w:rPr>
          <w:rtl w:val="true"/>
        </w:rPr>
        <w:t xml:space="preserve">, </w:t>
      </w:r>
      <w:r>
        <w:rPr>
          <w:rtl w:val="true"/>
        </w:rPr>
        <w:t xml:space="preserve">שכן אין זה מן הנמנע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tl w:val="true"/>
        </w:rPr>
        <w:t xml:space="preserve"> מהנאשמים בדוגמא שהבאתי קיים מגעים מיניים עם המתלוננת בהאמינו כי המתלוננת מסכימה לקיימם</w:t>
      </w:r>
      <w:r>
        <w:rPr>
          <w:rtl w:val="true"/>
        </w:rPr>
        <w:t xml:space="preserve">. </w:t>
      </w:r>
      <w:r>
        <w:rPr>
          <w:rtl w:val="true"/>
        </w:rPr>
        <w:t>תרחיש זה הוא בגדר וודאי</w:t>
      </w:r>
      <w:r>
        <w:rPr>
          <w:rtl w:val="true"/>
        </w:rPr>
        <w:t xml:space="preserve">, </w:t>
      </w:r>
      <w:r>
        <w:rPr>
          <w:rtl w:val="true"/>
        </w:rPr>
        <w:t>או כמעט וודאי</w:t>
      </w:r>
      <w:r>
        <w:rPr>
          <w:rtl w:val="true"/>
        </w:rPr>
        <w:t xml:space="preserve">, </w:t>
      </w:r>
      <w:r>
        <w:rPr>
          <w:rtl w:val="true"/>
        </w:rPr>
        <w:t xml:space="preserve">לנוכח האפשרות הממשית שהמתלוננת </w:t>
      </w:r>
      <w:r>
        <w:rPr>
          <w:rtl w:val="true"/>
        </w:rPr>
        <w:t>–</w:t>
      </w:r>
      <w:r>
        <w:rPr>
          <w:rtl w:val="true"/>
        </w:rPr>
        <w:t xml:space="preserve"> למרות שהיא דוברת אמת מבחינתה שלה </w:t>
      </w:r>
      <w:r>
        <w:rPr>
          <w:rtl w:val="true"/>
        </w:rPr>
        <w:t>–</w:t>
      </w:r>
      <w:r>
        <w:rPr>
          <w:rtl w:val="true"/>
        </w:rPr>
        <w:t xml:space="preserve"> אינה מדייקת בפרטי עדותה בעלי חשיבות כאלה או אחרים</w:t>
      </w:r>
      <w:r>
        <w:rPr>
          <w:rtl w:val="true"/>
        </w:rPr>
        <w:t xml:space="preserve">, </w:t>
      </w:r>
      <w:r>
        <w:rPr>
          <w:rtl w:val="true"/>
        </w:rPr>
        <w:t>ואף מתנהלת באופן שגורם לנאשם להאמין כי הוא מקיים עמה יחסי מין מוסכמים</w:t>
      </w:r>
      <w:r>
        <w:rPr>
          <w:rtl w:val="true"/>
        </w:rPr>
        <w:t xml:space="preserve">. </w:t>
      </w: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>במקרה שלפנינו עדות המתלוננת לבדה אינה מספקת את הדרישה לביטחון המסד הראייתי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אני מוצא את עצמי בתמימות דעים עם שופט המיעוט </w:t>
      </w:r>
      <w:r>
        <w:rPr>
          <w:rtl w:val="true"/>
        </w:rPr>
        <w:t>–</w:t>
      </w:r>
      <w:r>
        <w:rPr>
          <w:rtl w:val="true"/>
        </w:rPr>
        <w:t xml:space="preserve">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כי לא ניתן לקבוע מעבר לספק סביר שהמערער ביצע את העבירות המיוחסות לו על בסיס עדותה של המתלוננת שאין בצדה אימות ראייתי כלשהו מזמן אמת</w:t>
      </w:r>
      <w:r>
        <w:rPr>
          <w:rtl w:val="true"/>
        </w:rPr>
        <w:t xml:space="preserve">. </w:t>
      </w:r>
      <w:r>
        <w:rPr>
          <w:rtl w:val="true"/>
        </w:rPr>
        <w:t xml:space="preserve">אבהיר כי האימות הדרוש אינו צריך להגיע כדי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 </w:t>
      </w:r>
      <w:r>
        <w:rPr>
          <w:rtl w:val="true"/>
        </w:rPr>
        <w:t>במובן הטכני</w:t>
      </w:r>
      <w:r>
        <w:rPr>
          <w:rtl w:val="true"/>
        </w:rPr>
        <w:t xml:space="preserve">. </w:t>
      </w:r>
      <w:r>
        <w:rPr>
          <w:rtl w:val="true"/>
        </w:rPr>
        <w:t xml:space="preserve">דרישת הסיוע לעדותן של מתלוננות בעבירות מין בוטלה בשנת 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בגדרי התיקון השישי ל</w:t>
      </w:r>
      <w:hyperlink r:id="rId4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וטוב שכך 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למעשה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מדובר בתיקון מ</w:t>
      </w:r>
      <w:bookmarkStart w:id="26" w:name="Seif236"/>
      <w:r>
        <w:rPr>
          <w:rFonts w:ascii="FrankRuehl" w:hAnsi="FrankRuehl" w:cs="FrankRuehl"/>
          <w:color w:val="000000"/>
          <w:sz w:val="28"/>
          <w:sz w:val="28"/>
          <w:rtl w:val="true"/>
        </w:rPr>
        <w:t>ס</w:t>
      </w:r>
      <w:bookmarkEnd w:id="26"/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>;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הטעות במקור – א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</w:t>
      </w:r>
      <w:r>
        <w:rPr>
          <w:rFonts w:cs="FrankRuehl" w:ascii="FrankRuehl" w:hAnsi="FrankRuehl"/>
          <w:color w:val="000000"/>
          <w:sz w:val="28"/>
          <w:rtl w:val="true"/>
        </w:rPr>
        <w:t xml:space="preserve">.)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197</w:t>
      </w:r>
      <w:r>
        <w:rPr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דברי ההסבר להצעת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חוק לתיקון הראיות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התש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ם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1980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ח </w:t>
      </w:r>
      <w:r>
        <w:rPr>
          <w:rFonts w:cs="FrankRuehl" w:ascii="FrankRuehl" w:hAnsi="FrankRuehl"/>
          <w:color w:val="000000"/>
          <w:sz w:val="28"/>
        </w:rPr>
        <w:t>396</w:t>
      </w:r>
      <w:r>
        <w:rPr>
          <w:rtl w:val="true"/>
        </w:rPr>
        <w:t xml:space="preserve">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76/63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יז </w:t>
      </w:r>
      <w:r>
        <w:rPr/>
        <w:t>2857</w:t>
      </w:r>
      <w:r>
        <w:rPr>
          <w:rtl w:val="true"/>
        </w:rPr>
        <w:t xml:space="preserve">, </w:t>
      </w:r>
      <w:r>
        <w:rPr/>
        <w:t>2867-2865</w:t>
      </w:r>
      <w:r>
        <w:rPr>
          <w:rtl w:val="true"/>
        </w:rPr>
        <w:t xml:space="preserve"> (</w:t>
      </w:r>
      <w:r>
        <w:rPr/>
        <w:t>1963</w:t>
      </w:r>
      <w:r>
        <w:rPr>
          <w:rtl w:val="true"/>
        </w:rPr>
        <w:t>);</w:t>
      </w:r>
      <w:r>
        <w:rPr>
          <w:rFonts w:cs="Times New Roman" w:ascii="Times New Roman" w:hAnsi="Times New Roman"/>
        </w:rPr>
        <w:t>Patricia J. Falk "</w:t>
      </w:r>
      <w:r>
        <w:rPr>
          <w:rFonts w:cs="Times New Roman" w:ascii="Times New Roman" w:hAnsi="Times New Roman"/>
          <w:i/>
          <w:iCs/>
        </w:rPr>
        <w:t>'Because Ladies Lie': Eliminating Vestiges of the Corroboration and Resistance Requirements from Ohio's Sexual Offenses</w:t>
      </w:r>
      <w:r>
        <w:rPr>
          <w:rFonts w:cs="Times New Roman" w:ascii="Times New Roman" w:hAnsi="Times New Roman"/>
        </w:rPr>
        <w:t xml:space="preserve">" 62 </w:t>
      </w:r>
      <w:r>
        <w:rPr>
          <w:rFonts w:cs="Times New Roman" w:ascii="Times New Roman" w:hAnsi="Times New Roman"/>
          <w:smallCaps/>
        </w:rPr>
        <w:t>Clev. St. L. Rev.</w:t>
      </w:r>
      <w:r>
        <w:rPr>
          <w:rFonts w:cs="Times New Roman" w:ascii="Times New Roman" w:hAnsi="Times New Roman"/>
        </w:rPr>
        <w:t xml:space="preserve"> 343, 349 (2014) ("Today, the corroboration requirement has virtually disappeared from the modern rape law.")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במקרה דנן ובמקרים דומים</w:t>
      </w:r>
      <w:r>
        <w:rPr>
          <w:rtl w:val="true"/>
        </w:rPr>
        <w:t xml:space="preserve">, </w:t>
      </w:r>
      <w:r>
        <w:rPr>
          <w:rtl w:val="true"/>
        </w:rPr>
        <w:t>כאשר עדות המתלוננת מעלה קושי מהותי שאין לו מענה ברור המניח את הדעת</w:t>
      </w:r>
      <w:r>
        <w:rPr>
          <w:rtl w:val="true"/>
        </w:rPr>
        <w:t xml:space="preserve">, </w:t>
      </w:r>
      <w:r>
        <w:rPr>
          <w:rtl w:val="true"/>
        </w:rPr>
        <w:t xml:space="preserve">התרשמותה של הערכאה הדיונית מאותה עדות </w:t>
      </w:r>
      <w:r>
        <w:rPr>
          <w:rtl w:val="true"/>
        </w:rPr>
        <w:t>–</w:t>
      </w:r>
      <w:r>
        <w:rPr>
          <w:rtl w:val="true"/>
        </w:rPr>
        <w:t xml:space="preserve"> חיובית ככל שתהא </w:t>
      </w:r>
      <w:r>
        <w:rPr>
          <w:rtl w:val="true"/>
        </w:rPr>
        <w:t>–</w:t>
      </w:r>
      <w:r>
        <w:rPr>
          <w:rtl w:val="true"/>
        </w:rPr>
        <w:t xml:space="preserve"> לא תספיק</w:t>
      </w:r>
      <w:r>
        <w:rPr>
          <w:rtl w:val="true"/>
        </w:rPr>
        <w:t xml:space="preserve">. </w:t>
      </w:r>
      <w:r>
        <w:rPr>
          <w:rtl w:val="true"/>
        </w:rPr>
        <w:t>במקרים כגון זה</w:t>
      </w:r>
      <w:r>
        <w:rPr>
          <w:rtl w:val="true"/>
        </w:rPr>
        <w:t xml:space="preserve">, </w:t>
      </w:r>
      <w:r>
        <w:rPr>
          <w:rtl w:val="true"/>
        </w:rPr>
        <w:t>הדרישה לביטחון המסד הראייתי עליו תעמוד הרשעת הנאשם תסופק רק כאשר עדות המתלוננת נתמכת בראיה כלשהי מזמן אמת</w:t>
      </w:r>
      <w:r>
        <w:rPr>
          <w:rtl w:val="true"/>
        </w:rPr>
        <w:t xml:space="preserve">; </w:t>
      </w:r>
      <w:r>
        <w:rPr>
          <w:rtl w:val="true"/>
        </w:rPr>
        <w:t>ואבהיר כי ראיה כאמור יכולה לבוא בדמותה של אמרה שהמתלוננת עצמה השמיעה</w:t>
      </w:r>
      <w:r>
        <w:rPr>
          <w:rtl w:val="true"/>
        </w:rPr>
        <w:t xml:space="preserve">, </w:t>
      </w:r>
      <w:r>
        <w:rPr>
          <w:rtl w:val="true"/>
        </w:rPr>
        <w:t>בזמן אמת</w:t>
      </w:r>
      <w:r>
        <w:rPr>
          <w:rtl w:val="true"/>
        </w:rPr>
        <w:t xml:space="preserve">, </w:t>
      </w:r>
      <w:r>
        <w:rPr>
          <w:rtl w:val="true"/>
        </w:rPr>
        <w:t>באוזניו של עד אשר מעיד עליה במשפטו של הנאשם</w:t>
      </w:r>
      <w:r>
        <w:rPr>
          <w:rtl w:val="true"/>
        </w:rPr>
        <w:t xml:space="preserve">; </w:t>
      </w:r>
      <w:r>
        <w:rPr>
          <w:rtl w:val="true"/>
        </w:rPr>
        <w:t xml:space="preserve">האימות הדרוש כאן אינו חייב לבוא ממקור עצמאי כמו במקרה של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כאן המקום לבחון את התקיימותה של דרישת הביטחון האמורה ביחס לכל עבירה ועבירה בה נמצא המערער אשם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אנאליים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הרשעת המערער במעשי סדום אנאליים ובמעשי אלימות כלפי המתלוננת מבוססת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 רק על עדותה האמינה של המתלוננת</w:t>
      </w:r>
      <w:r>
        <w:rPr>
          <w:rtl w:val="true"/>
        </w:rPr>
        <w:t xml:space="preserve">, </w:t>
      </w:r>
      <w:r>
        <w:rPr>
          <w:rtl w:val="true"/>
        </w:rPr>
        <w:t>אלא גם על חשיפת מעשיו הפוגעניים של המערער אשר נעשתה על ידי המתלוננת בזמן אמת בשיחותיה עם מספר אנשים שהעידו במשפט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ניצבת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tl w:val="true"/>
        </w:rPr>
        <w:t xml:space="preserve">; </w:t>
      </w:r>
      <w:r>
        <w:rPr>
          <w:rtl w:val="true"/>
        </w:rPr>
        <w:t>ואפרט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ממכלול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 xml:space="preserve">ובין היתר מהודעתה של המתלוננת במשטרה מיום </w:t>
      </w:r>
      <w:r>
        <w:rPr/>
        <w:t>23.8.2020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א</w:t>
      </w:r>
      <w:r>
        <w:rPr>
          <w:rtl w:val="true"/>
        </w:rPr>
        <w:t>'),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האדם הראשון בפניו חשפה המתלוננת את סודה</w:t>
      </w:r>
      <w:r>
        <w:rPr>
          <w:rtl w:val="true"/>
        </w:rPr>
        <w:t xml:space="preserve">, </w:t>
      </w:r>
      <w:r>
        <w:rPr>
          <w:rtl w:val="true"/>
        </w:rPr>
        <w:t>שכאמור כלל את העובדה שהמערער נוהג לבצע בה מעשי סדום אנאליים בניגוד לרצונה ובניגוד לדת</w:t>
      </w:r>
      <w:r>
        <w:rPr>
          <w:rtl w:val="true"/>
        </w:rPr>
        <w:t xml:space="preserve">, </w:t>
      </w:r>
      <w:r>
        <w:rPr>
          <w:rtl w:val="true"/>
        </w:rPr>
        <w:t>הוא חברתה ס</w:t>
      </w:r>
      <w:r>
        <w:rPr>
          <w:rtl w:val="true"/>
        </w:rPr>
        <w:t xml:space="preserve">'. </w:t>
      </w:r>
      <w:r>
        <w:rPr>
          <w:rtl w:val="true"/>
        </w:rPr>
        <w:t>השיח בין השתיים אודות מעשיו של המערער התנהל דרך שיחות טלפון</w:t>
      </w:r>
      <w:r>
        <w:rPr>
          <w:rtl w:val="true"/>
        </w:rPr>
        <w:t xml:space="preserve">, </w:t>
      </w:r>
      <w:r>
        <w:rPr>
          <w:rtl w:val="true"/>
        </w:rPr>
        <w:t xml:space="preserve">יישומון </w:t>
      </w:r>
      <w:r>
        <w:rPr>
          <w:rtl w:val="true"/>
        </w:rPr>
        <w:t>"</w:t>
      </w:r>
      <w:r>
        <w:rPr>
          <w:rtl w:val="true"/>
        </w:rPr>
        <w:t>ווטסאפ</w:t>
      </w:r>
      <w:r>
        <w:rPr>
          <w:rtl w:val="true"/>
        </w:rPr>
        <w:t xml:space="preserve">" </w:t>
      </w:r>
      <w:r>
        <w:rPr>
          <w:rtl w:val="true"/>
        </w:rPr>
        <w:t xml:space="preserve">או יישומון </w:t>
      </w:r>
      <w:r>
        <w:rPr>
          <w:rtl w:val="true"/>
        </w:rPr>
        <w:t>"</w:t>
      </w:r>
      <w:r>
        <w:rPr>
          <w:rtl w:val="true"/>
        </w:rPr>
        <w:t>מסנג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". </w:t>
      </w:r>
      <w:r>
        <w:rPr>
          <w:rtl w:val="true"/>
        </w:rPr>
        <w:t>עוד עולה כי השיחות נמחקו</w:t>
      </w:r>
      <w:r>
        <w:rPr>
          <w:rtl w:val="true"/>
        </w:rPr>
        <w:t xml:space="preserve">, </w:t>
      </w:r>
      <w:r>
        <w:rPr>
          <w:rtl w:val="true"/>
        </w:rPr>
        <w:t>בין היתר בשל חששה של המתלוננת מכך שהמערער יגלה על השיחות</w:t>
      </w:r>
      <w:r>
        <w:rPr>
          <w:rtl w:val="true"/>
        </w:rPr>
        <w:t xml:space="preserve">. </w:t>
      </w:r>
      <w:r>
        <w:rPr>
          <w:rtl w:val="true"/>
        </w:rPr>
        <w:t>במהלך גביית הודעתה של ס</w:t>
      </w:r>
      <w:r>
        <w:rPr>
          <w:rtl w:val="true"/>
        </w:rPr>
        <w:t xml:space="preserve">'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 xml:space="preserve">תועדה התכתבות בין השתיים </w:t>
      </w:r>
      <w:r>
        <w:rPr>
          <w:rtl w:val="true"/>
        </w:rPr>
        <w:t>(</w:t>
      </w:r>
      <w:r>
        <w:rPr>
          <w:rtl w:val="true"/>
        </w:rPr>
        <w:t>שמאז נמחקה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18.7.2020</w:t>
      </w:r>
      <w:r>
        <w:rPr>
          <w:rtl w:val="true"/>
        </w:rPr>
        <w:t xml:space="preserve"> </w:t>
      </w:r>
      <w:r>
        <w:rPr>
          <w:rtl w:val="true"/>
        </w:rPr>
        <w:t xml:space="preserve">ביישומון </w:t>
      </w:r>
      <w:r>
        <w:rPr>
          <w:rtl w:val="true"/>
        </w:rPr>
        <w:t>"</w:t>
      </w:r>
      <w:r>
        <w:rPr>
          <w:rtl w:val="true"/>
        </w:rPr>
        <w:t>מסנג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)). </w:t>
      </w:r>
      <w:r>
        <w:rPr>
          <w:rtl w:val="true"/>
        </w:rPr>
        <w:t>במסגרת התכתבות זו</w:t>
      </w:r>
      <w:r>
        <w:rPr>
          <w:rtl w:val="true"/>
        </w:rPr>
        <w:t xml:space="preserve">, </w:t>
      </w:r>
      <w:r>
        <w:rPr>
          <w:rtl w:val="true"/>
        </w:rPr>
        <w:t>המתלוננת סיפרה לס</w:t>
      </w:r>
      <w:r>
        <w:rPr>
          <w:rtl w:val="true"/>
        </w:rPr>
        <w:t xml:space="preserve">' </w:t>
      </w:r>
      <w:r>
        <w:rPr>
          <w:rtl w:val="true"/>
        </w:rPr>
        <w:t>כי המערער נותן לה סטירות ושאלה אותה האם מותר לו לבצע בה מין אנאלי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השיבה כי על המתלוננת לספר להוריה על כך שהמערער מרביץ לה</w:t>
      </w:r>
      <w:r>
        <w:rPr>
          <w:rtl w:val="true"/>
        </w:rPr>
        <w:t xml:space="preserve">, </w:t>
      </w:r>
      <w:r>
        <w:rPr>
          <w:rtl w:val="true"/>
        </w:rPr>
        <w:t>וכי אסור למערער לבצע בה מין אנאלי</w:t>
      </w:r>
      <w:r>
        <w:rPr>
          <w:rtl w:val="true"/>
        </w:rPr>
        <w:t xml:space="preserve">. </w:t>
      </w:r>
      <w:r>
        <w:rPr>
          <w:rtl w:val="true"/>
        </w:rPr>
        <w:t>מתשובתה של המתלוננת להודעותיה של ס</w:t>
      </w:r>
      <w:r>
        <w:rPr>
          <w:rtl w:val="true"/>
        </w:rPr>
        <w:t xml:space="preserve">', </w:t>
      </w:r>
      <w:r>
        <w:rPr>
          <w:rtl w:val="true"/>
        </w:rPr>
        <w:t>עולה כי עובר להתכתבות ביניהן שיתפה המתלוננת את אמה בחלק ממעשיו הפוגעניים של המערער כלפיה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גם העידה שהמתלוננת אמרה לה כי היא לא הסכימה לקיום יחסי מין אנאליים וכי המערער היה עושה זאת בכוח ומכה אותה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במועד שאינו ידוע במדויק</w:t>
      </w:r>
      <w:r>
        <w:rPr>
          <w:rtl w:val="true"/>
        </w:rPr>
        <w:t xml:space="preserve">, </w:t>
      </w:r>
      <w:r>
        <w:rPr>
          <w:rtl w:val="true"/>
        </w:rPr>
        <w:t>בסמוך לאירוע האלימות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בין יום </w:t>
      </w:r>
      <w:r>
        <w:rPr/>
        <w:t>20.6.2020</w:t>
      </w:r>
      <w:r>
        <w:rPr>
          <w:rtl w:val="true"/>
        </w:rPr>
        <w:t xml:space="preserve"> </w:t>
      </w:r>
      <w:r>
        <w:rPr>
          <w:rtl w:val="true"/>
        </w:rPr>
        <w:t xml:space="preserve">לבין יום </w:t>
      </w:r>
      <w:r>
        <w:rPr/>
        <w:t>23.6.2020</w:t>
      </w:r>
      <w:r>
        <w:rPr>
          <w:rtl w:val="true"/>
        </w:rPr>
        <w:t xml:space="preserve">, </w:t>
      </w:r>
      <w:r>
        <w:rPr>
          <w:rtl w:val="true"/>
        </w:rPr>
        <w:t xml:space="preserve">אשת דודו של המערער </w:t>
      </w:r>
      <w:r>
        <w:rPr>
          <w:rtl w:val="true"/>
        </w:rPr>
        <w:t>–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ביקרה את המתלוננת בביתה</w:t>
      </w:r>
      <w:r>
        <w:rPr>
          <w:rtl w:val="true"/>
        </w:rPr>
        <w:t xml:space="preserve">. </w:t>
      </w:r>
      <w:r>
        <w:rPr>
          <w:rtl w:val="true"/>
        </w:rPr>
        <w:t>קיומו של ביקור זה נתמך גם בהודעתה של נ</w:t>
      </w:r>
      <w:r>
        <w:rPr>
          <w:rtl w:val="true"/>
        </w:rPr>
        <w:t xml:space="preserve">' </w:t>
      </w:r>
      <w:r>
        <w:rPr>
          <w:rtl w:val="true"/>
        </w:rPr>
        <w:t xml:space="preserve">במשטרה מיום </w:t>
      </w:r>
      <w:r>
        <w:rPr/>
        <w:t>24.8.2020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 xml:space="preserve">מהודעותיה של המתלוננת במשטרה מיום </w:t>
      </w:r>
      <w:r>
        <w:rPr/>
        <w:t>23.8.2020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א</w:t>
      </w:r>
      <w:r>
        <w:rPr>
          <w:rtl w:val="true"/>
        </w:rPr>
        <w:t xml:space="preserve">') </w:t>
      </w:r>
      <w:r>
        <w:rPr>
          <w:rtl w:val="true"/>
        </w:rPr>
        <w:t xml:space="preserve">ומיום </w:t>
      </w:r>
      <w:r>
        <w:rPr/>
        <w:t>26.8.2020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>א</w:t>
      </w:r>
      <w:r>
        <w:rPr>
          <w:rtl w:val="true"/>
        </w:rPr>
        <w:t xml:space="preserve">') </w:t>
      </w:r>
      <w:r>
        <w:rPr>
          <w:rtl w:val="true"/>
        </w:rPr>
        <w:t>עולה כי במפגש זה המתלוננת שיתפה את נ</w:t>
      </w:r>
      <w:r>
        <w:rPr>
          <w:rtl w:val="true"/>
        </w:rPr>
        <w:t xml:space="preserve">' </w:t>
      </w:r>
      <w:r>
        <w:rPr>
          <w:rtl w:val="true"/>
        </w:rPr>
        <w:t>כי המערער נתן לה סטירה ושאלה אותה האם זה הנוהג בביתה</w:t>
      </w:r>
      <w:r>
        <w:rPr>
          <w:rtl w:val="true"/>
        </w:rPr>
        <w:t xml:space="preserve">, </w:t>
      </w:r>
      <w:r>
        <w:rPr>
          <w:rtl w:val="true"/>
        </w:rPr>
        <w:t>בינה לבין דודו של המערער</w:t>
      </w:r>
      <w:r>
        <w:rPr>
          <w:rtl w:val="true"/>
        </w:rPr>
        <w:t xml:space="preserve">. </w:t>
      </w:r>
      <w:r>
        <w:rPr>
          <w:rtl w:val="true"/>
        </w:rPr>
        <w:t>בתגובה השיבה נ</w:t>
      </w:r>
      <w:r>
        <w:rPr>
          <w:rtl w:val="true"/>
        </w:rPr>
        <w:t xml:space="preserve">' </w:t>
      </w:r>
      <w:r>
        <w:rPr>
          <w:rtl w:val="true"/>
        </w:rPr>
        <w:t>כי בעלה לא מכה אותה</w:t>
      </w:r>
      <w:r>
        <w:rPr>
          <w:rtl w:val="true"/>
        </w:rPr>
        <w:t xml:space="preserve">. </w:t>
      </w:r>
      <w:r>
        <w:rPr>
          <w:rtl w:val="true"/>
        </w:rPr>
        <w:t>באותה הזדמנות</w:t>
      </w:r>
      <w:r>
        <w:rPr>
          <w:rtl w:val="true"/>
        </w:rPr>
        <w:t xml:space="preserve">, </w:t>
      </w:r>
      <w:r>
        <w:rPr>
          <w:rtl w:val="true"/>
        </w:rPr>
        <w:t>המתלוננת שיתפה את נ</w:t>
      </w:r>
      <w:r>
        <w:rPr>
          <w:rtl w:val="true"/>
        </w:rPr>
        <w:t xml:space="preserve">' </w:t>
      </w:r>
      <w:r>
        <w:rPr>
          <w:rtl w:val="true"/>
        </w:rPr>
        <w:t>כי היא רוצה לספר על כך לאחיותיו של המערער</w:t>
      </w:r>
      <w:r>
        <w:rPr>
          <w:rtl w:val="true"/>
        </w:rPr>
        <w:t xml:space="preserve">. </w:t>
      </w:r>
      <w:r>
        <w:rPr>
          <w:rtl w:val="true"/>
        </w:rPr>
        <w:t>במועד מאוחר יותר</w:t>
      </w:r>
      <w:r>
        <w:rPr>
          <w:rtl w:val="true"/>
        </w:rPr>
        <w:t xml:space="preserve">, </w:t>
      </w:r>
      <w:r>
        <w:rPr>
          <w:rtl w:val="true"/>
        </w:rPr>
        <w:t>לפני חג הקורבן וכחודש לאחר חתונתם של המערער והמתלוננת</w:t>
      </w:r>
      <w:r>
        <w:rPr>
          <w:rtl w:val="true"/>
        </w:rPr>
        <w:t xml:space="preserve">, </w:t>
      </w:r>
      <w:r>
        <w:rPr>
          <w:rtl w:val="true"/>
        </w:rPr>
        <w:t>במסגרת מפגש של המתלוננת עם משפחתו של המערער</w:t>
      </w:r>
      <w:r>
        <w:rPr>
          <w:rtl w:val="true"/>
        </w:rPr>
        <w:t xml:space="preserve">, </w:t>
      </w:r>
      <w:r>
        <w:rPr>
          <w:rtl w:val="true"/>
        </w:rPr>
        <w:t>ולאחר שאמו וסבתו של המערער לחצו על המתלוננת לספר על יחסיה עם המערער</w:t>
      </w:r>
      <w:r>
        <w:rPr>
          <w:rtl w:val="true"/>
        </w:rPr>
        <w:t xml:space="preserve">, </w:t>
      </w:r>
      <w:r>
        <w:rPr>
          <w:rtl w:val="true"/>
        </w:rPr>
        <w:t>חשפה המתלוננת גם בפניהן כי המערער מכה אותה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עולה מהודעות המתלוננת במשטרה </w:t>
      </w:r>
      <w:r>
        <w:rPr>
          <w:rtl w:val="true"/>
        </w:rPr>
        <w:t>(</w:t>
      </w:r>
      <w:r>
        <w:rPr>
          <w:rtl w:val="true"/>
        </w:rPr>
        <w:t xml:space="preserve">הודעתה מיום </w:t>
      </w:r>
      <w:r>
        <w:rPr/>
        <w:t>21.8.2020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>א</w:t>
      </w:r>
      <w:r>
        <w:rPr>
          <w:rtl w:val="true"/>
        </w:rPr>
        <w:t xml:space="preserve">'), </w:t>
      </w:r>
      <w:r>
        <w:rPr>
          <w:rtl w:val="true"/>
        </w:rPr>
        <w:t xml:space="preserve">הודעתה מיום </w:t>
      </w:r>
      <w:r>
        <w:rPr/>
        <w:t>23.8.2020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א</w:t>
      </w:r>
      <w:r>
        <w:rPr>
          <w:rtl w:val="true"/>
        </w:rPr>
        <w:t xml:space="preserve">') </w:t>
      </w:r>
      <w:r>
        <w:rPr>
          <w:rtl w:val="true"/>
        </w:rPr>
        <w:t xml:space="preserve">והודעתה מיום </w:t>
      </w:r>
      <w:r>
        <w:rPr/>
        <w:t>26.8.2020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>א</w:t>
      </w:r>
      <w:r>
        <w:rPr>
          <w:rtl w:val="true"/>
        </w:rPr>
        <w:t xml:space="preserve">')), </w:t>
      </w:r>
      <w:r>
        <w:rPr>
          <w:rtl w:val="true"/>
        </w:rPr>
        <w:t xml:space="preserve">כי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 או הרביעי</w:t>
      </w:r>
      <w:r>
        <w:rPr>
          <w:rtl w:val="true"/>
        </w:rPr>
        <w:t xml:space="preserve"> </w:t>
      </w:r>
      <w:r>
        <w:rPr>
          <w:rtl w:val="true"/>
        </w:rPr>
        <w:t>לחג</w:t>
      </w:r>
      <w:r>
        <w:rPr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2.8.2020</w:t>
      </w:r>
      <w:r>
        <w:rPr>
          <w:rtl w:val="true"/>
        </w:rPr>
        <w:t xml:space="preserve"> </w:t>
      </w:r>
      <w:r>
        <w:rPr>
          <w:rtl w:val="true"/>
        </w:rPr>
        <w:t xml:space="preserve">או ביום </w:t>
      </w:r>
      <w:r>
        <w:rPr/>
        <w:t>3.8.2020</w:t>
      </w:r>
      <w:r>
        <w:rPr>
          <w:rtl w:val="true"/>
        </w:rPr>
        <w:t xml:space="preserve">, </w:t>
      </w:r>
      <w:r>
        <w:rPr>
          <w:rtl w:val="true"/>
        </w:rPr>
        <w:t>ביקרו המתלוננת והמערער את משפחתו</w:t>
      </w:r>
      <w:r>
        <w:rPr>
          <w:rtl w:val="true"/>
        </w:rPr>
        <w:t xml:space="preserve">, </w:t>
      </w:r>
      <w:r>
        <w:rPr>
          <w:rtl w:val="true"/>
        </w:rPr>
        <w:t>ובעת שזה יצא מן הבית</w:t>
      </w:r>
      <w:r>
        <w:rPr>
          <w:rtl w:val="true"/>
        </w:rPr>
        <w:t xml:space="preserve">, </w:t>
      </w:r>
      <w:r>
        <w:rPr>
          <w:rtl w:val="true"/>
        </w:rPr>
        <w:t>סיפרה המתלוננת לאמו ואחיותיו שהמערער נתן לה סטירה על האוזן ושאלה האם המערער יכול לבצע בה מעשה מין אנאלי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אמו של המערער אמרה למתלוננת שהדבר אסור ושהמערער בטח לא יודע זאת</w:t>
      </w:r>
      <w:r>
        <w:rPr>
          <w:rtl w:val="true"/>
        </w:rPr>
        <w:t xml:space="preserve">. </w:t>
      </w:r>
      <w:r>
        <w:rPr>
          <w:rtl w:val="true"/>
        </w:rPr>
        <w:t>אחיותיו של המערער השיבו כי על המתלוננת לומר למערער שלא יהיו ילדים למי שמקיים יחסי מין אנאליים כדי שיפסיק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בנות משפחתו של המערער אמרו שלא יתערבו ביחסים בינו לבין המתלוננת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18.8.2020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6:00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 xml:space="preserve">שלחה המתלוננת הודעה לאמה באמצעות יישומון </w:t>
      </w:r>
      <w:r>
        <w:rPr>
          <w:rtl w:val="true"/>
        </w:rPr>
        <w:t>"</w:t>
      </w:r>
      <w:r>
        <w:rPr>
          <w:rtl w:val="true"/>
        </w:rPr>
        <w:t>ווטסאפ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בה</w:t>
      </w:r>
      <w:r>
        <w:rPr>
          <w:rtl w:val="true"/>
        </w:rPr>
        <w:t>משך</w:t>
      </w:r>
      <w:r>
        <w:rPr>
          <w:rtl w:val="true"/>
        </w:rPr>
        <w:t xml:space="preserve"> </w:t>
      </w:r>
      <w:r>
        <w:rPr>
          <w:rtl w:val="true"/>
        </w:rPr>
        <w:t>התכתבות זו</w:t>
      </w:r>
      <w:r>
        <w:rPr>
          <w:rtl w:val="true"/>
        </w:rPr>
        <w:t xml:space="preserve">, </w:t>
      </w:r>
      <w:r>
        <w:rPr>
          <w:rtl w:val="true"/>
        </w:rPr>
        <w:t>סיפרה המתלוננת לאמה על כך שהמערער מבצע בה מין אנאלי ושאלה האם הדבר מותר מבחינה דתית</w:t>
      </w:r>
      <w:r>
        <w:rPr>
          <w:rtl w:val="true"/>
        </w:rPr>
        <w:t xml:space="preserve">. </w:t>
      </w:r>
      <w:r>
        <w:rPr>
          <w:rtl w:val="true"/>
        </w:rPr>
        <w:t>כן שיתפה המתלוננת את אמה כי כאשר היא מסרבת לקיים יחסי מין אנאליים עם המערער</w:t>
      </w:r>
      <w:r>
        <w:rPr>
          <w:rtl w:val="true"/>
        </w:rPr>
        <w:t xml:space="preserve">, </w:t>
      </w:r>
      <w:r>
        <w:rPr>
          <w:rtl w:val="true"/>
        </w:rPr>
        <w:t>המערער מרביץ לה</w:t>
      </w:r>
      <w:r>
        <w:rPr>
          <w:rtl w:val="true"/>
        </w:rPr>
        <w:t xml:space="preserve">. </w:t>
      </w:r>
      <w:r>
        <w:rPr>
          <w:rtl w:val="true"/>
        </w:rPr>
        <w:t>אמה של המתלוננת השיבה לה שיחסי מין אנאליים אכן אסורים מבחינה דתית ושלחה לה סרטון בו שייח</w:t>
      </w:r>
      <w:r>
        <w:rPr>
          <w:rtl w:val="true"/>
        </w:rPr>
        <w:t xml:space="preserve">' </w:t>
      </w:r>
      <w:r>
        <w:rPr>
          <w:rtl w:val="true"/>
        </w:rPr>
        <w:t>מסביר על האיסור לקיים מין אנאלי ואמרה לה להעבירו למערער</w:t>
      </w:r>
      <w:r>
        <w:rPr>
          <w:rtl w:val="true"/>
        </w:rPr>
        <w:t xml:space="preserve">. </w:t>
      </w:r>
      <w:r>
        <w:rPr>
          <w:rtl w:val="true"/>
        </w:rPr>
        <w:t>המתלוננת העבירה למערער את הסרטון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באותה שיחה</w:t>
      </w:r>
      <w:r>
        <w:rPr>
          <w:rtl w:val="true"/>
        </w:rPr>
        <w:t xml:space="preserve">, </w:t>
      </w:r>
      <w:r>
        <w:rPr>
          <w:rtl w:val="true"/>
        </w:rPr>
        <w:t>בתשובה להוראתה של אמה לספר לאמו ולאחיותיו של המערער אודות מעלליו</w:t>
      </w:r>
      <w:r>
        <w:rPr>
          <w:rtl w:val="true"/>
        </w:rPr>
        <w:t xml:space="preserve">, </w:t>
      </w:r>
      <w:r>
        <w:rPr>
          <w:rtl w:val="true"/>
        </w:rPr>
        <w:t>המתלוננת חשפה בפניה כי כבר סיפרה לאמו ולאחיותיו של המערער על כך שהלה מבצע בה מין אנאלי</w:t>
      </w:r>
      <w:r>
        <w:rPr>
          <w:rtl w:val="true"/>
        </w:rPr>
        <w:t xml:space="preserve">. </w:t>
      </w:r>
      <w:r>
        <w:rPr>
          <w:rtl w:val="true"/>
        </w:rPr>
        <w:t>הודעותיה של המתלוננת במשטרה</w:t>
      </w:r>
      <w:r>
        <w:rPr>
          <w:rtl w:val="true"/>
        </w:rPr>
        <w:t xml:space="preserve">, </w:t>
      </w:r>
      <w:r>
        <w:rPr>
          <w:rtl w:val="true"/>
        </w:rPr>
        <w:t>אף הן תומכות בכך שהיא סיפרה על מעלליו של המערער למשפחתו</w:t>
      </w:r>
      <w:r>
        <w:rPr>
          <w:rtl w:val="true"/>
        </w:rPr>
        <w:t xml:space="preserve">, </w:t>
      </w:r>
      <w:r>
        <w:rPr>
          <w:rtl w:val="true"/>
        </w:rPr>
        <w:t xml:space="preserve">בטרם סיפרה עליהם להוריה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הודעתה מיום </w:t>
      </w:r>
      <w:r>
        <w:rPr/>
        <w:t>21.8.2020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>א</w:t>
      </w:r>
      <w:r>
        <w:rPr>
          <w:rtl w:val="true"/>
        </w:rPr>
        <w:t xml:space="preserve">') </w:t>
      </w:r>
      <w:r>
        <w:rPr>
          <w:rtl w:val="true"/>
        </w:rPr>
        <w:t xml:space="preserve">והודעתה מיום </w:t>
      </w:r>
      <w:r>
        <w:rPr/>
        <w:t>23.8.2020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א</w:t>
      </w:r>
      <w:r>
        <w:rPr>
          <w:rtl w:val="true"/>
        </w:rPr>
        <w:t>')).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כמתואר לעיל</w:t>
      </w:r>
      <w:r>
        <w:rPr>
          <w:rtl w:val="true"/>
        </w:rPr>
        <w:t xml:space="preserve">, </w:t>
      </w:r>
      <w:r>
        <w:rPr>
          <w:rtl w:val="true"/>
        </w:rPr>
        <w:t>אחרי שהמתלוננת סיפרה לאמה אודות מעשי סדום אנאליים שביצע בה המערער</w:t>
      </w:r>
      <w:r>
        <w:rPr>
          <w:rtl w:val="true"/>
        </w:rPr>
        <w:t xml:space="preserve">, </w:t>
      </w:r>
      <w:r>
        <w:rPr>
          <w:rtl w:val="true"/>
        </w:rPr>
        <w:t>ולבקשתה של המתלוננת</w:t>
      </w:r>
      <w:r>
        <w:rPr>
          <w:rtl w:val="true"/>
        </w:rPr>
        <w:t xml:space="preserve">, </w:t>
      </w:r>
      <w:r>
        <w:rPr>
          <w:rtl w:val="true"/>
        </w:rPr>
        <w:t>סיפרה אמה של המתלוננת לאביה של המתלוננת על מעשים כאמור</w:t>
      </w:r>
      <w:r>
        <w:rPr>
          <w:rtl w:val="true"/>
        </w:rPr>
        <w:t xml:space="preserve">. </w:t>
      </w:r>
      <w:r>
        <w:rPr>
          <w:rtl w:val="true"/>
        </w:rPr>
        <w:t>בעקבות שיחה זו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18.8.2020</w:t>
      </w:r>
      <w:r>
        <w:rPr>
          <w:rtl w:val="true"/>
        </w:rPr>
        <w:t xml:space="preserve">, </w:t>
      </w:r>
      <w:r>
        <w:rPr>
          <w:rtl w:val="true"/>
        </w:rPr>
        <w:t xml:space="preserve">שלח אביה של המתלוננת הודעה </w:t>
      </w:r>
      <w:r>
        <w:rPr>
          <w:rtl w:val="true"/>
        </w:rPr>
        <w:t>ביישומון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ווטסאפ</w:t>
      </w:r>
      <w:r>
        <w:rPr>
          <w:rtl w:val="true"/>
        </w:rPr>
        <w:t xml:space="preserve">" </w:t>
      </w:r>
      <w:r>
        <w:rPr>
          <w:rtl w:val="true"/>
        </w:rPr>
        <w:t>לאביו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הודעה</w:t>
      </w:r>
      <w:r>
        <w:rPr>
          <w:rtl w:val="true"/>
        </w:rPr>
        <w:t xml:space="preserve"> </w:t>
      </w:r>
      <w:r>
        <w:rPr>
          <w:rtl w:val="true"/>
        </w:rPr>
        <w:t>זו כתב אביה של המתלוננת לאביו של המערער כי אם לבנו מותר לעשות מעשים אסורים בבתו</w:t>
      </w:r>
      <w:r>
        <w:rPr>
          <w:rtl w:val="true"/>
        </w:rPr>
        <w:t xml:space="preserve">, </w:t>
      </w:r>
      <w:r>
        <w:rPr>
          <w:rtl w:val="true"/>
        </w:rPr>
        <w:t>אז שיקבל שכך ייעשה גם לבנותיו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 אותו היום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כתבה לאמה שהמערער מאיים עליה באלימות וביקשה מהוריה להגיע לבית בו התגוררה עם המערער כדי לסייע לה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א</w:t>
      </w:r>
      <w:r>
        <w:rPr>
          <w:rtl w:val="true"/>
        </w:rPr>
        <w:t xml:space="preserve">'). </w:t>
      </w:r>
      <w:r>
        <w:rPr>
          <w:rtl w:val="true"/>
        </w:rPr>
        <w:t>הוריה של המתלוננת הגיעו לביתם של המתלוננת ושל המערער ושוחחו עם המערער על יחסי המין האנאליים שזה מבצע בבתם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הכחיש המערער את ביצוע המעשים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אחרי שאמה של המתלוננת אמרה למערער שניתן לגלות זאת באמצעות בדיקות </w:t>
      </w:r>
      <w:r>
        <w:rPr>
          <w:rtl w:val="true"/>
        </w:rPr>
        <w:t>–</w:t>
      </w:r>
      <w:r>
        <w:rPr>
          <w:rtl w:val="true"/>
        </w:rPr>
        <w:t xml:space="preserve"> הודה המערער כי ביצע מעשה מין אנאלי במתלוננת</w:t>
      </w:r>
      <w:r>
        <w:rPr>
          <w:rtl w:val="true"/>
        </w:rPr>
        <w:t xml:space="preserve">, </w:t>
      </w:r>
      <w:r>
        <w:rPr>
          <w:rtl w:val="true"/>
        </w:rPr>
        <w:t>אך תירץ זאת בכך שהדבר נבע מטעות</w:t>
      </w:r>
      <w:r>
        <w:rPr>
          <w:rtl w:val="true"/>
        </w:rPr>
        <w:t xml:space="preserve">. </w:t>
      </w:r>
      <w:r>
        <w:rPr>
          <w:rtl w:val="true"/>
        </w:rPr>
        <w:t>שיחה זו הוכחה בעדותה של אם המתלוננת</w:t>
      </w:r>
      <w:r>
        <w:rPr>
          <w:rtl w:val="true"/>
        </w:rPr>
        <w:t xml:space="preserve">, </w:t>
      </w:r>
      <w:r>
        <w:rPr>
          <w:rtl w:val="true"/>
        </w:rPr>
        <w:t>ולא רק באמצעות העדות של המתלוננת עצמה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בשיחתה של המתלוננת עם השוטרים שהגיעו לביתה לפני מסירת התלונה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 xml:space="preserve">) </w:t>
      </w:r>
      <w:r>
        <w:rPr>
          <w:rtl w:val="true"/>
        </w:rPr>
        <w:t xml:space="preserve">ובהודעה הראשונה שהמתלוננת מסרה במשטרה ביום </w:t>
      </w:r>
      <w:r>
        <w:rPr/>
        <w:t>21.8.2020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>א</w:t>
      </w:r>
      <w:r>
        <w:rPr>
          <w:rtl w:val="true"/>
        </w:rPr>
        <w:t xml:space="preserve">'), </w:t>
      </w:r>
      <w:r>
        <w:rPr>
          <w:rtl w:val="true"/>
        </w:rPr>
        <w:t>היא סיפרה על כך שהמערער מכה אותה ומבצע בה מין אנאלי שלא בהסכמתה</w:t>
      </w:r>
      <w:r>
        <w:rPr>
          <w:rtl w:val="true"/>
        </w:rPr>
        <w:t xml:space="preserve">. </w:t>
      </w:r>
      <w:r>
        <w:rPr>
          <w:rtl w:val="true"/>
        </w:rPr>
        <w:t xml:space="preserve">בהודעה השנייה שמסרה המתלוננת במשטרה ביום </w:t>
      </w:r>
      <w:r>
        <w:rPr/>
        <w:t>23.8.2020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א</w:t>
      </w:r>
      <w:r>
        <w:rPr>
          <w:rtl w:val="true"/>
        </w:rPr>
        <w:t xml:space="preserve">'), </w:t>
      </w:r>
      <w:r>
        <w:rPr>
          <w:rtl w:val="true"/>
        </w:rPr>
        <w:t>היא סיפרה לראשונה שהמערער מבצע בה מין אוראלי שלא בהסכמתה</w:t>
      </w:r>
      <w:r>
        <w:rPr>
          <w:rtl w:val="true"/>
        </w:rPr>
        <w:t xml:space="preserve">. </w:t>
      </w:r>
      <w:r>
        <w:rPr>
          <w:rtl w:val="true"/>
        </w:rPr>
        <w:t>המתלוננת חזרה בדבריה על מעשי האלימות</w:t>
      </w:r>
      <w:r>
        <w:rPr>
          <w:rtl w:val="true"/>
        </w:rPr>
        <w:t xml:space="preserve">, </w:t>
      </w:r>
      <w:r>
        <w:rPr>
          <w:rtl w:val="true"/>
        </w:rPr>
        <w:t xml:space="preserve">על יחסי המין האנאליים ועל יחסי המין האוראליים בהודעתה השלישית במשטרה מיום </w:t>
      </w:r>
      <w:r>
        <w:rPr/>
        <w:t>26.8.2020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>א</w:t>
      </w:r>
      <w:r>
        <w:rPr>
          <w:rtl w:val="true"/>
        </w:rPr>
        <w:t xml:space="preserve">'). </w:t>
      </w:r>
      <w:r>
        <w:rPr>
          <w:rtl w:val="true"/>
        </w:rPr>
        <w:t xml:space="preserve">בראיון שנערך למתלוננת בפרקליטות לקראת עדותה היא לא סיפרה על המין האוראלי שביצע בה המערער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בחקירותיו במשטרה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הכחיש כי קיים עם המתלוננת יחסי מין בכוח ושלא בהסכמתה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חקירתו הראשונה של המערער במשטרה מיום </w:t>
      </w:r>
      <w:r>
        <w:rPr/>
        <w:t>21.8.2020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א</w:t>
      </w:r>
      <w:r>
        <w:rPr>
          <w:rtl w:val="true"/>
        </w:rPr>
        <w:t xml:space="preserve">'), </w:t>
      </w:r>
      <w:r>
        <w:rPr>
          <w:rtl w:val="true"/>
        </w:rPr>
        <w:t xml:space="preserve">חקירתו השנייה של המערער במשטרה מיום </w:t>
      </w:r>
      <w:r>
        <w:rPr/>
        <w:t>25.8.2020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א</w:t>
      </w:r>
      <w:r>
        <w:rPr>
          <w:rtl w:val="true"/>
        </w:rPr>
        <w:t xml:space="preserve">') </w:t>
      </w:r>
      <w:r>
        <w:rPr>
          <w:rtl w:val="true"/>
        </w:rPr>
        <w:t xml:space="preserve">וחקירתו השלישית של המערער במשטרה מיום </w:t>
      </w:r>
      <w:r>
        <w:rPr/>
        <w:t>26.8.2020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א</w:t>
      </w:r>
      <w:r>
        <w:rPr>
          <w:rtl w:val="true"/>
        </w:rPr>
        <w:t xml:space="preserve">')). </w:t>
      </w:r>
      <w:r>
        <w:rPr>
          <w:rtl w:val="true"/>
        </w:rPr>
        <w:t>לגרסת המערער</w:t>
      </w:r>
      <w:r>
        <w:rPr>
          <w:rtl w:val="true"/>
        </w:rPr>
        <w:t xml:space="preserve">, </w:t>
      </w:r>
      <w:r>
        <w:rPr>
          <w:rtl w:val="true"/>
        </w:rPr>
        <w:t>הוא ידע שיחסי מין אנאליים אסורים לפי הדת והוא לא קיים עם המתלוננת יחסי מין מסוג זה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 המערער בחקירותיו כי המתלוננת טעתה לחשוב שהם קיימו יחסי מין אנאליים</w:t>
      </w:r>
      <w:r>
        <w:rPr>
          <w:rtl w:val="true"/>
        </w:rPr>
        <w:t xml:space="preserve">, </w:t>
      </w:r>
      <w:r>
        <w:rPr>
          <w:rtl w:val="true"/>
        </w:rPr>
        <w:t>כאשר למעשה היו אלה יחסי מין וגינאליים</w:t>
      </w:r>
      <w:r>
        <w:rPr>
          <w:rtl w:val="true"/>
        </w:rPr>
        <w:t xml:space="preserve">, </w:t>
      </w:r>
      <w:r>
        <w:rPr>
          <w:rtl w:val="true"/>
        </w:rPr>
        <w:t>וכי המתלוננת לא יודעת להבחין בין חדירה לאיבר מינה לבין חדירה לפי הטבעת שלה</w:t>
      </w:r>
      <w:r>
        <w:rPr>
          <w:rtl w:val="true"/>
        </w:rPr>
        <w:t xml:space="preserve">. </w:t>
      </w:r>
      <w:r>
        <w:rPr>
          <w:rtl w:val="true"/>
        </w:rPr>
        <w:t xml:space="preserve">לגבי המין האוראלי </w:t>
      </w:r>
      <w:r>
        <w:rPr>
          <w:rtl w:val="true"/>
        </w:rPr>
        <w:t>–</w:t>
      </w:r>
      <w:r>
        <w:rPr>
          <w:rtl w:val="true"/>
        </w:rPr>
        <w:t xml:space="preserve"> עליו נשאל המערער בחקירתו השנייה ובחקירתו השלישית במשטרה </w:t>
      </w:r>
      <w:r>
        <w:rPr>
          <w:rtl w:val="true"/>
        </w:rPr>
        <w:t>–</w:t>
      </w:r>
      <w:r>
        <w:rPr>
          <w:rtl w:val="true"/>
        </w:rPr>
        <w:t xml:space="preserve"> המערער סיפר כי הוא נעשה בהסכמת המתלוננת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: </w:t>
      </w:r>
      <w:r>
        <w:rPr>
          <w:rtl w:val="true"/>
        </w:rPr>
        <w:t>העובדה שהמערער ביצע במתלוננת מעשי מין אנאליים בכפייה מוכחת היטב לא רק באמצעות עדותה שלה</w:t>
      </w:r>
      <w:r>
        <w:rPr>
          <w:rtl w:val="true"/>
        </w:rPr>
        <w:t xml:space="preserve">, </w:t>
      </w:r>
      <w:r>
        <w:rPr>
          <w:rtl w:val="true"/>
        </w:rPr>
        <w:t>אלא גם על ידי העדויות שנשמעו מפיהם של הוריה ושל חברתה ס</w:t>
      </w:r>
      <w:r>
        <w:rPr>
          <w:rtl w:val="true"/>
        </w:rPr>
        <w:t xml:space="preserve">', </w:t>
      </w:r>
      <w:r>
        <w:rPr>
          <w:rtl w:val="true"/>
        </w:rPr>
        <w:t xml:space="preserve">וכן על ידי הראיות על השיחות הרבות אשר נוהלו </w:t>
      </w:r>
      <w:r>
        <w:rPr>
          <w:rtl w:val="true"/>
        </w:rPr>
        <w:t>–</w:t>
      </w:r>
      <w:r>
        <w:rPr>
          <w:rtl w:val="true"/>
        </w:rPr>
        <w:t xml:space="preserve"> בזמן אמת </w:t>
      </w:r>
      <w:r>
        <w:rPr>
          <w:rtl w:val="true"/>
        </w:rPr>
        <w:t>–</w:t>
      </w:r>
      <w:r>
        <w:rPr>
          <w:rtl w:val="true"/>
        </w:rPr>
        <w:t xml:space="preserve"> במעגל הפנימי של המתלוננת</w:t>
      </w:r>
      <w:r>
        <w:rPr>
          <w:rtl w:val="true"/>
        </w:rPr>
        <w:t xml:space="preserve">, </w:t>
      </w:r>
      <w:r>
        <w:rPr>
          <w:rtl w:val="true"/>
        </w:rPr>
        <w:t>אשר כלל גם חלק מבני משפחת המערער</w:t>
      </w:r>
      <w:r>
        <w:rPr>
          <w:rtl w:val="true"/>
        </w:rPr>
        <w:t xml:space="preserve">. </w:t>
      </w:r>
      <w:r>
        <w:rPr>
          <w:rtl w:val="true"/>
        </w:rPr>
        <w:t>שיחות אלה התמקדו במעשי מין אנאליים האסורים על פי הדת המוסלמית</w:t>
      </w:r>
      <w:r>
        <w:rPr>
          <w:rtl w:val="true"/>
        </w:rPr>
        <w:t xml:space="preserve">, </w:t>
      </w:r>
      <w:r>
        <w:rPr>
          <w:rtl w:val="true"/>
        </w:rPr>
        <w:t>אשר נכפו על המתלוננת על ידי המערער</w:t>
      </w:r>
      <w:r>
        <w:rPr>
          <w:rtl w:val="true"/>
        </w:rPr>
        <w:t xml:space="preserve">. </w:t>
      </w:r>
      <w:r>
        <w:rPr>
          <w:rtl w:val="true"/>
        </w:rPr>
        <w:t>מכלול הראיות האלה מראה בבירור ומעל לכל ספק סביר כי המתלוננת סירבה בתוקף לקיים עם המערער יחסי מין אנאליים</w:t>
      </w:r>
      <w:r>
        <w:rPr>
          <w:rtl w:val="true"/>
        </w:rPr>
        <w:t xml:space="preserve">, </w:t>
      </w:r>
      <w:r>
        <w:rPr>
          <w:rtl w:val="true"/>
        </w:rPr>
        <w:t>אשר הסבו לה כאב פיזי וחשש ממחלות</w:t>
      </w:r>
      <w:r>
        <w:rPr>
          <w:rtl w:val="true"/>
        </w:rPr>
        <w:t xml:space="preserve">, </w:t>
      </w:r>
      <w:r>
        <w:rPr>
          <w:rtl w:val="true"/>
        </w:rPr>
        <w:t>לצד הדאגה מפני הפרת האיסור הדתי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טענת המערער כי המתלוננת לא הבדילה בין חדירה אנאלית לחדירה וגינלית של איבר מין גברי </w:t>
      </w:r>
      <w:r>
        <w:rPr>
          <w:rtl w:val="true"/>
        </w:rPr>
        <w:t>–</w:t>
      </w:r>
      <w:r>
        <w:rPr>
          <w:rtl w:val="true"/>
        </w:rPr>
        <w:t xml:space="preserve"> לאו טענה היא</w:t>
      </w:r>
      <w:r>
        <w:rPr>
          <w:rtl w:val="true"/>
        </w:rPr>
        <w:t xml:space="preserve">; </w:t>
      </w:r>
      <w:r>
        <w:rPr>
          <w:rtl w:val="true"/>
        </w:rPr>
        <w:t>מה גם שטענה זו נסתרת על ידי הודאת המערער עצמו</w:t>
      </w:r>
      <w:r>
        <w:rPr>
          <w:rtl w:val="true"/>
        </w:rPr>
        <w:t xml:space="preserve">, </w:t>
      </w:r>
      <w:r>
        <w:rPr>
          <w:rtl w:val="true"/>
        </w:rPr>
        <w:t>אותה השמיע באוזני ההורים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כי פעם אחת החדיר את איבר מינו לפי הטבעת של המתלוננת </w:t>
      </w:r>
      <w:r>
        <w:rPr>
          <w:rtl w:val="true"/>
        </w:rPr>
        <w:t>"</w:t>
      </w:r>
      <w:r>
        <w:rPr>
          <w:rtl w:val="true"/>
        </w:rPr>
        <w:t>מחמת טעות</w:t>
      </w:r>
      <w:r>
        <w:rPr>
          <w:rtl w:val="true"/>
        </w:rPr>
        <w:t xml:space="preserve">".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הודאה זו כשלעצמה מסבכת את המערער במיוחס לו אחרי שידענו כי הלה הרחיק את עצמו בהודעותיו במשטרה מביצוע מעשי המין האנאליים במתלוננת בשל היותם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אסורים מבחינה דתית</w:t>
      </w:r>
      <w:r>
        <w:rPr>
          <w:rtl w:val="true"/>
        </w:rPr>
        <w:t xml:space="preserve">. </w:t>
      </w:r>
      <w:r>
        <w:rPr>
          <w:rtl w:val="true"/>
        </w:rPr>
        <w:t>המסד הראייתי עליו מושתת הרשעת המערער במעשי סדום אנאליים הוא איתן לעילא ולעילא</w:t>
      </w:r>
      <w:r>
        <w:rPr>
          <w:rtl w:val="true"/>
        </w:rPr>
        <w:t xml:space="preserve">; </w:t>
      </w:r>
      <w:r>
        <w:rPr>
          <w:rtl w:val="true"/>
        </w:rPr>
        <w:t>וכך הוא גם לגבי הראיות אשר מוכיחות את מעשי האלימות שהמערער ביצע במתלוננת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אוראליים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הרשעת המערער במעשי סדום אוראליים</w:t>
      </w:r>
      <w:r>
        <w:rPr>
          <w:rtl w:val="true"/>
        </w:rPr>
        <w:t xml:space="preserve">, </w:t>
      </w:r>
      <w:r>
        <w:rPr>
          <w:rtl w:val="true"/>
        </w:rPr>
        <w:t>שלפי הנטען כפה על המתלוננת</w:t>
      </w:r>
      <w:r>
        <w:rPr>
          <w:rtl w:val="true"/>
        </w:rPr>
        <w:t xml:space="preserve">, </w:t>
      </w:r>
      <w:r>
        <w:rPr>
          <w:rtl w:val="true"/>
        </w:rPr>
        <w:t>מבוססת על עדותה של המתלוננת לבדה</w:t>
      </w:r>
      <w:r>
        <w:rPr>
          <w:rtl w:val="true"/>
        </w:rPr>
        <w:t xml:space="preserve">. </w:t>
      </w:r>
      <w:r>
        <w:rPr>
          <w:rtl w:val="true"/>
        </w:rPr>
        <w:t>עדות זו עוררה שני קשיים מהותיים שתוארו לעיל</w:t>
      </w:r>
      <w:r>
        <w:rPr>
          <w:rtl w:val="true"/>
        </w:rPr>
        <w:t xml:space="preserve">, </w:t>
      </w:r>
      <w:r>
        <w:rPr>
          <w:rtl w:val="true"/>
        </w:rPr>
        <w:t xml:space="preserve">כאשר היא אינה נתמכת בשום ראיה מזמן אמת שבכוחה להסיר את הקשיים הללו </w:t>
      </w:r>
      <w:r>
        <w:rPr>
          <w:rtl w:val="true"/>
        </w:rPr>
        <w:t>(</w:t>
      </w:r>
      <w:r>
        <w:rPr>
          <w:rtl w:val="true"/>
        </w:rPr>
        <w:t>בדרך בה פעלו הראיות מזמן אמת אשר אימתו את עדות המתלוננת בכל הקשור למעשי האלימות ולמין האנאלי שכפה עליה המערער</w:t>
      </w:r>
      <w:r>
        <w:rPr>
          <w:rtl w:val="true"/>
        </w:rPr>
        <w:t xml:space="preserve">). </w:t>
      </w:r>
      <w:r>
        <w:rPr>
          <w:rtl w:val="true"/>
        </w:rPr>
        <w:t>אחד הקשיים הללו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מצוי בדברי המתלוננת עצמה כי היא הסכימה לכך שהמערער יכניס חלק מאיבר מינו לתוך פיה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כדי לרצות את המערער בהאמינה כי בהיותה נשואה לו היא חייבת לספק את מאווייו המיניים שאינם מנוגדים לדת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 מסר גרסה אחידה החל בחקירתו הראשונה במשטרה</w:t>
      </w:r>
      <w:r>
        <w:rPr>
          <w:rtl w:val="true"/>
        </w:rPr>
        <w:t xml:space="preserve">, </w:t>
      </w:r>
      <w:r>
        <w:rPr>
          <w:rtl w:val="true"/>
        </w:rPr>
        <w:t>ממנה עולה כי קיים עם המתלוננת</w:t>
      </w:r>
      <w:r>
        <w:rPr>
          <w:rtl w:val="true"/>
        </w:rPr>
        <w:t xml:space="preserve">, </w:t>
      </w:r>
      <w:r>
        <w:rPr>
          <w:rtl w:val="true"/>
        </w:rPr>
        <w:t>בהיותו נשוי לה</w:t>
      </w:r>
      <w:r>
        <w:rPr>
          <w:rtl w:val="true"/>
        </w:rPr>
        <w:t xml:space="preserve">, </w:t>
      </w:r>
      <w:r>
        <w:rPr>
          <w:rtl w:val="true"/>
        </w:rPr>
        <w:t>מין אוראלי בהסכמה או לפחות כך האמין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אין בידינו לקבוע כי קיים ביטחון מספק במסד הראייתי עליו עומדת הרשעת המערער במעשי סדום אוראליים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ההפך הוא הנכון</w:t>
      </w:r>
      <w:r>
        <w:rPr>
          <w:rtl w:val="true"/>
        </w:rPr>
        <w:t xml:space="preserve">, </w:t>
      </w:r>
      <w:r>
        <w:rPr>
          <w:rtl w:val="true"/>
        </w:rPr>
        <w:t>כפי שסבר שופט המיעוט בבית משפט קמא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לזכות את המערער</w:t>
      </w:r>
      <w:r>
        <w:rPr>
          <w:rtl w:val="true"/>
        </w:rPr>
        <w:t xml:space="preserve">, </w:t>
      </w:r>
      <w:r>
        <w:rPr>
          <w:rtl w:val="true"/>
        </w:rPr>
        <w:t>מחמת הספק</w:t>
      </w:r>
      <w:r>
        <w:rPr>
          <w:rtl w:val="true"/>
        </w:rPr>
        <w:t xml:space="preserve">, </w:t>
      </w:r>
      <w:r>
        <w:rPr>
          <w:rtl w:val="true"/>
        </w:rPr>
        <w:t xml:space="preserve">מהרשעתו במעשי סדום אוראליים </w:t>
      </w:r>
      <w:r>
        <w:rPr>
          <w:rtl w:val="true"/>
        </w:rPr>
        <w:t>–</w:t>
      </w:r>
      <w:r>
        <w:rPr>
          <w:rtl w:val="true"/>
        </w:rPr>
        <w:t xml:space="preserve"> שמא אכן האמין כי מעשים אלו נעשו על ידו בהסכמת המתלוננת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שצויין בראשית דבריי</w:t>
      </w:r>
      <w:r>
        <w:rPr>
          <w:rtl w:val="true"/>
        </w:rPr>
        <w:t xml:space="preserve">, </w:t>
      </w:r>
      <w:r>
        <w:rPr>
          <w:rtl w:val="true"/>
        </w:rPr>
        <w:t>ענישת המערער</w:t>
      </w:r>
      <w:r>
        <w:rPr>
          <w:rtl w:val="true"/>
        </w:rPr>
        <w:t xml:space="preserve">, </w:t>
      </w:r>
      <w:r>
        <w:rPr>
          <w:rtl w:val="true"/>
        </w:rPr>
        <w:t>אשר בלי ספק ביצע מעשים חמורים מאד</w:t>
      </w:r>
      <w:r>
        <w:rPr>
          <w:rtl w:val="true"/>
        </w:rPr>
        <w:t xml:space="preserve">, </w:t>
      </w:r>
      <w:r>
        <w:rPr>
          <w:rtl w:val="true"/>
        </w:rPr>
        <w:t>מעוררת את השאלה הבאה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מהו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בכפייה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?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טענה הרואה בקשר הנישואין שבין האונס לנאנסת נסיבה מקלה</w:t>
      </w:r>
      <w:r>
        <w:rPr>
          <w:rtl w:val="true"/>
        </w:rPr>
        <w:t xml:space="preserve">, </w:t>
      </w:r>
      <w:r>
        <w:rPr>
          <w:rtl w:val="true"/>
        </w:rPr>
        <w:t>מקורה בפרשנות שמיוחסת לאמור בפסק דין ישן למדי</w:t>
      </w:r>
      <w:r>
        <w:rPr>
          <w:rtl w:val="true"/>
        </w:rPr>
        <w:t xml:space="preserve">, </w:t>
      </w:r>
      <w:r>
        <w:rPr>
          <w:rtl w:val="true"/>
        </w:rPr>
        <w:t>אשר ניתן ב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2346/98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217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ימיני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כפי שפסק אך באחרונה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>בהסכמת חבריי למותב הנוכחי</w:t>
      </w:r>
      <w:r>
        <w:rPr>
          <w:rtl w:val="true"/>
        </w:rPr>
        <w:t xml:space="preserve">, 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כשר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) –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שְׁנוֹת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דּוֹר</w:t>
      </w:r>
      <w:r>
        <w:rPr>
          <w:rtl w:val="true"/>
        </w:rPr>
        <w:t xml:space="preserve">, </w:t>
      </w:r>
      <w:r>
        <w:rPr>
          <w:rtl w:val="true"/>
        </w:rPr>
        <w:t>השתנו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5778/22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</w:t>
      </w:r>
      <w:r>
        <w:rPr/>
        <w:t>2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5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5778/22</w:t>
        </w:r>
      </w:hyperlink>
      <w:r>
        <w:rPr>
          <w:rtl w:val="true"/>
        </w:rPr>
        <w:t xml:space="preserve">)).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שטייניץ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2261/21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24.10.2022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 xml:space="preserve">[...]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מזדמן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זכותה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נחלשת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הנישואין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נישואין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לקורבנו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לאונס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הנישואין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הזוגית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[...].</w:t>
      </w:r>
      <w:r>
        <w:rPr>
          <w:rtl w:val="true"/>
        </w:rPr>
        <w:t xml:space="preserve"> </w:t>
      </w:r>
      <w:r>
        <w:rPr>
          <w:rtl w:val="true"/>
        </w:rPr>
        <w:t>ייאמר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נישואין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לגיטימיות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וביחסי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מוסכמים</w:t>
      </w:r>
      <w:r>
        <w:rPr>
          <w:rtl w:val="true"/>
        </w:rPr>
        <w:t xml:space="preserve">.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כריתת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הנישואין</w:t>
      </w:r>
      <w:r>
        <w:rPr>
          <w:rtl w:val="true"/>
        </w:rPr>
        <w:t xml:space="preserve">, </w:t>
      </w:r>
      <w:r>
        <w:rPr>
          <w:rtl w:val="true"/>
        </w:rPr>
        <w:t>ואונס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מהתקיפות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tl w:val="true"/>
        </w:rPr>
        <w:t xml:space="preserve">,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סלחנית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גופן</w:t>
      </w:r>
      <w:r>
        <w:rPr>
          <w:rtl w:val="true"/>
        </w:rPr>
        <w:t xml:space="preserve">, </w:t>
      </w:r>
      <w:r>
        <w:rPr>
          <w:rtl w:val="true"/>
        </w:rPr>
        <w:t>ולהוות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זוגיות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נישואין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: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39-38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tl w:val="true"/>
        </w:rPr>
        <w:t>מעשה אינוס או מעשה מגונה בכפייה שבן זוג מבצע בבת זוגו במסגרת נישואיהם אינו בגדר מעשה שמתבצע בנסיבות מקלות</w:t>
      </w:r>
      <w:r>
        <w:rPr>
          <w:rtl w:val="true"/>
        </w:rPr>
        <w:t xml:space="preserve">. </w:t>
      </w:r>
      <w:r>
        <w:rPr>
          <w:rtl w:val="true"/>
        </w:rPr>
        <w:t>כאשר מעשה כאמור מתבצע באישה חסרת הגנה ממשית</w:t>
      </w:r>
      <w:r>
        <w:rPr>
          <w:rtl w:val="true"/>
        </w:rPr>
        <w:t xml:space="preserve">, </w:t>
      </w:r>
      <w:r>
        <w:rPr>
          <w:rtl w:val="true"/>
        </w:rPr>
        <w:t>תוך ניצול כוחני של מסגרת נישואין בלתי שוויונית</w:t>
      </w:r>
      <w:r>
        <w:rPr>
          <w:rtl w:val="true"/>
        </w:rPr>
        <w:t xml:space="preserve">, </w:t>
      </w:r>
      <w:r>
        <w:rPr>
          <w:rtl w:val="true"/>
        </w:rPr>
        <w:t>שבבסיסה עליונות ושליטה של איש על אישה</w:t>
      </w:r>
      <w:r>
        <w:rPr>
          <w:rtl w:val="true"/>
        </w:rPr>
        <w:t xml:space="preserve">, </w:t>
      </w:r>
      <w:r>
        <w:rPr>
          <w:rtl w:val="true"/>
        </w:rPr>
        <w:t>עסקינן דווקא בנסיבה מחמירה</w:t>
      </w:r>
      <w:r>
        <w:rPr>
          <w:rtl w:val="true"/>
        </w:rPr>
        <w:t xml:space="preserve">; </w:t>
      </w:r>
      <w:r>
        <w:rPr>
          <w:rtl w:val="true"/>
        </w:rPr>
        <w:t>וכך הוא גם כאשר מדובר במעשה שבוצע יותר מפעם אחת</w:t>
      </w:r>
      <w:r>
        <w:rPr>
          <w:rtl w:val="true"/>
        </w:rPr>
        <w:t xml:space="preserve">, </w:t>
      </w:r>
      <w:r>
        <w:rPr>
          <w:rtl w:val="true"/>
        </w:rPr>
        <w:t>קל וחומר כאשר בפנינו סדרה של מעשים כאלה</w:t>
      </w:r>
      <w:r>
        <w:rPr>
          <w:rtl w:val="true"/>
        </w:rPr>
        <w:t xml:space="preserve">, </w:t>
      </w:r>
      <w:r>
        <w:rPr>
          <w:rtl w:val="true"/>
        </w:rPr>
        <w:t xml:space="preserve">אשר מגיעים כדי שיטה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דנה</w:t>
      </w:r>
      <w:r>
        <w:rPr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פוגץ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"'</w:t>
        </w:r>
        <w:r>
          <w:rPr>
            <w:rStyle w:val="Hyperlink"/>
            <w:color w:val="0000FF"/>
            <w:u w:val="single"/>
            <w:rtl w:val="true"/>
          </w:rPr>
          <w:t>ברצון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שניהם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ובשמחתם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</w:hyperlink>
      <w:r>
        <w:rPr>
          <w:rtl w:val="true"/>
        </w:rPr>
        <w:t xml:space="preserve"> – </w:t>
      </w:r>
      <w:r>
        <w:rPr>
          <w:rtl w:val="true"/>
        </w:rPr>
        <w:t>אינוס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 </w:t>
      </w:r>
      <w:r>
        <w:rPr>
          <w:rtl w:val="true"/>
        </w:rPr>
        <w:t>והתוויית</w:t>
      </w:r>
      <w:r>
        <w:rPr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 </w:t>
      </w:r>
      <w:r>
        <w:rPr>
          <w:rtl w:val="true"/>
        </w:rPr>
        <w:t>משתנה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ופמיניזם</w:t>
      </w:r>
      <w:r>
        <w:rPr>
          <w:rtl w:val="true"/>
        </w:rPr>
        <w:t xml:space="preserve"> </w:t>
      </w:r>
      <w:r>
        <w:rPr/>
        <w:t>501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נמצא אפוא שהמערער ביצע במתלוננת מעשי סדום אנאליים בכפייה בנסיבות מחמירות</w:t>
      </w:r>
      <w:r>
        <w:rPr>
          <w:rtl w:val="true"/>
        </w:rPr>
        <w:t xml:space="preserve">, </w:t>
      </w:r>
      <w:r>
        <w:rPr>
          <w:rtl w:val="true"/>
        </w:rPr>
        <w:t>לצד עבירות אלימות</w:t>
      </w:r>
      <w:r>
        <w:rPr>
          <w:rtl w:val="true"/>
        </w:rPr>
        <w:t xml:space="preserve">, </w:t>
      </w:r>
      <w:r>
        <w:rPr>
          <w:rtl w:val="true"/>
        </w:rPr>
        <w:t>שגם בהן הוא נמצא אשם</w:t>
      </w:r>
      <w:r>
        <w:rPr>
          <w:rtl w:val="true"/>
        </w:rPr>
        <w:t xml:space="preserve">. </w:t>
      </w:r>
      <w:r>
        <w:rPr>
          <w:rtl w:val="true"/>
        </w:rPr>
        <w:t>המערער כפה את עצמו על המתלוננת</w:t>
      </w:r>
      <w:r>
        <w:rPr>
          <w:rtl w:val="true"/>
        </w:rPr>
        <w:t xml:space="preserve">, </w:t>
      </w:r>
      <w:r>
        <w:rPr>
          <w:rtl w:val="true"/>
        </w:rPr>
        <w:t>ביטל את רצונה ואת אמונתה הדתית</w:t>
      </w:r>
      <w:r>
        <w:rPr>
          <w:rtl w:val="true"/>
        </w:rPr>
        <w:t xml:space="preserve">, </w:t>
      </w:r>
      <w:r>
        <w:rPr>
          <w:rtl w:val="true"/>
        </w:rPr>
        <w:t>מחק מניה וביה את ה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tl w:val="true"/>
        </w:rPr>
        <w:t xml:space="preserve">" </w:t>
      </w:r>
      <w:r>
        <w:rPr>
          <w:rtl w:val="true"/>
        </w:rPr>
        <w:t xml:space="preserve">שלה ופגע בגופה ובנפשה </w:t>
      </w:r>
      <w:r>
        <w:rPr>
          <w:rtl w:val="true"/>
        </w:rPr>
        <w:t>–</w:t>
      </w:r>
      <w:r>
        <w:rPr>
          <w:rtl w:val="true"/>
        </w:rPr>
        <w:t xml:space="preserve"> הכל כדי לספק את מאווייו המיניים</w:t>
      </w:r>
      <w:r>
        <w:rPr>
          <w:rtl w:val="true"/>
        </w:rPr>
        <w:t xml:space="preserve">. </w:t>
      </w:r>
      <w:r>
        <w:rPr>
          <w:rtl w:val="true"/>
        </w:rPr>
        <w:t>מדובר במסכת של מעשי התעללות מינית אשר בלי ספק מצדיקה הטלה של עונש מאסר לתקופה ממושכת</w:t>
      </w:r>
      <w:r>
        <w:rPr>
          <w:rtl w:val="true"/>
        </w:rPr>
        <w:t xml:space="preserve">, </w:t>
      </w:r>
      <w:r>
        <w:rPr>
          <w:rtl w:val="true"/>
        </w:rPr>
        <w:t>כפי שקבעו שופטי הרוב בבית משפט קמא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אחרי שזיכינו את המערער</w:t>
      </w:r>
      <w:r>
        <w:rPr>
          <w:rtl w:val="true"/>
        </w:rPr>
        <w:t xml:space="preserve">, </w:t>
      </w:r>
      <w:r>
        <w:rPr>
          <w:rtl w:val="true"/>
        </w:rPr>
        <w:t>מחמת הספק</w:t>
      </w:r>
      <w:r>
        <w:rPr>
          <w:rtl w:val="true"/>
        </w:rPr>
        <w:t xml:space="preserve">, </w:t>
      </w:r>
      <w:r>
        <w:rPr>
          <w:rtl w:val="true"/>
        </w:rPr>
        <w:t>מהעבירות של מעשה סדום אוראלי</w:t>
      </w:r>
      <w:r>
        <w:rPr>
          <w:rtl w:val="true"/>
        </w:rPr>
        <w:t xml:space="preserve">, </w:t>
      </w:r>
      <w:r>
        <w:rPr>
          <w:rtl w:val="true"/>
        </w:rPr>
        <w:t>עלינו לבחור בין שתי חלופות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החזרת הדיון לבית משפט קמא כדי שזה יגזור את עונשו של המערער מחדש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מתן הקלה בעונש המאסר שבית משפט קמא השית על המערער</w:t>
      </w:r>
      <w:r>
        <w:rPr>
          <w:rtl w:val="true"/>
        </w:rPr>
        <w:t xml:space="preserve">. </w:t>
      </w:r>
      <w:r>
        <w:rPr>
          <w:rtl w:val="true"/>
        </w:rPr>
        <w:t>לאחר שקילת הדברים</w:t>
      </w:r>
      <w:r>
        <w:rPr>
          <w:rtl w:val="true"/>
        </w:rPr>
        <w:t xml:space="preserve">, </w:t>
      </w:r>
      <w:r>
        <w:rPr>
          <w:rtl w:val="true"/>
        </w:rPr>
        <w:t>ולאחר לבטים</w:t>
      </w:r>
      <w:r>
        <w:rPr>
          <w:rtl w:val="true"/>
        </w:rPr>
        <w:t xml:space="preserve">, </w:t>
      </w:r>
      <w:r>
        <w:rPr>
          <w:rtl w:val="true"/>
        </w:rPr>
        <w:t xml:space="preserve">החלטתי להציע לחבריי כי נלך בדרך השנייה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 xml:space="preserve">כדי לאפשר למתלוננת להביא את הפרק העגום ורווי הסבל בחייה האישיים לסיומו </w:t>
      </w:r>
      <w:r>
        <w:rPr>
          <w:rtl w:val="true"/>
        </w:rPr>
        <w:t>(</w:t>
      </w:r>
      <w:r>
        <w:rPr>
          <w:rtl w:val="true"/>
        </w:rPr>
        <w:t xml:space="preserve">במובן של </w:t>
      </w:r>
      <w:r>
        <w:rPr>
          <w:rFonts w:cs="Times New Roman" w:ascii="Times New Roman" w:hAnsi="Times New Roman"/>
        </w:rPr>
        <w:t>closure</w:t>
      </w:r>
      <w:r>
        <w:rPr>
          <w:rtl w:val="true"/>
        </w:rPr>
        <w:t xml:space="preserve">). </w:t>
      </w:r>
      <w:r>
        <w:rPr>
          <w:rtl w:val="true"/>
        </w:rPr>
        <w:t>מי יתן והעתיד יאיר למתלוננת פנים וימלא את חייה באושר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מכל הטעמים שמניתי</w:t>
      </w:r>
      <w:r>
        <w:rPr>
          <w:rtl w:val="true"/>
        </w:rPr>
        <w:t xml:space="preserve">, </w:t>
      </w:r>
      <w:r>
        <w:rPr>
          <w:rtl w:val="true"/>
        </w:rPr>
        <w:t>אני מציע לחבריי כי נקבל את הערעור באופן חלקי</w:t>
      </w:r>
      <w:r>
        <w:rPr>
          <w:rtl w:val="true"/>
        </w:rPr>
        <w:t xml:space="preserve">, </w:t>
      </w:r>
      <w:r>
        <w:rPr>
          <w:rtl w:val="true"/>
        </w:rPr>
        <w:t xml:space="preserve">נזכה את המערער מהעבירות של מעשה סדום אוראלי </w:t>
      </w:r>
      <w:r>
        <w:rPr>
          <w:rtl w:val="true"/>
        </w:rPr>
        <w:t>–</w:t>
      </w:r>
      <w:r>
        <w:rPr>
          <w:rtl w:val="true"/>
        </w:rPr>
        <w:t xml:space="preserve"> ומעבירות אלה בלבד </w:t>
      </w:r>
      <w:r>
        <w:rPr>
          <w:rtl w:val="true"/>
        </w:rPr>
        <w:t>–</w:t>
      </w:r>
      <w:r>
        <w:rPr>
          <w:rtl w:val="true"/>
        </w:rPr>
        <w:t xml:space="preserve"> ונעמיד את מאסרו מאחורי סורג ובריח על שש שנים</w:t>
      </w:r>
      <w:r>
        <w:rPr>
          <w:rtl w:val="true"/>
        </w:rPr>
        <w:t xml:space="preserve">. </w:t>
      </w:r>
      <w:r>
        <w:rPr>
          <w:rtl w:val="true"/>
        </w:rPr>
        <w:t>שאר רכיבי גזר הדין יעמדו בעינם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כשר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</w:t>
      </w:r>
      <w:r>
        <w:rPr>
          <w:rFonts w:cs="Miriam"/>
          <w:sz w:val="24"/>
          <w:sz w:val="24"/>
          <w:szCs w:val="24"/>
          <w:u w:val="single"/>
          <w:rtl w:val="true"/>
        </w:rPr>
        <w:t>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אני מסכים עם האמור בפסק דינו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מהנימוקים שהובאו על ידו ביחס לנסיבות המקרה דנן</w:t>
      </w:r>
      <w:r>
        <w:rPr>
          <w:rtl w:val="true"/>
        </w:rPr>
        <w:t xml:space="preserve">. </w:t>
      </w:r>
      <w:r>
        <w:rPr>
          <w:rtl w:val="true"/>
        </w:rPr>
        <w:t>כמו כן מסכים אני עם התוצאה אליה הגיע חברי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למבחן</w:t>
      </w:r>
      <w:r>
        <w:rPr>
          <w:rtl w:val="true"/>
        </w:rPr>
        <w:t>-</w:t>
      </w:r>
      <w:r>
        <w:rPr>
          <w:rtl w:val="true"/>
        </w:rPr>
        <w:t xml:space="preserve">העזר שהוצע על ידי חברי כחלק מסקירת הכללים שעניינם התערבותה של ערכאת ערעור בממצאי עובדה אשר נקבעו על ידי הערכאה הדיונית </w:t>
      </w:r>
      <w:r>
        <w:rPr>
          <w:rtl w:val="true"/>
        </w:rPr>
        <w:t>–</w:t>
      </w:r>
      <w:r>
        <w:rPr>
          <w:rtl w:val="true"/>
        </w:rPr>
        <w:t xml:space="preserve"> הנני סבור כי מבחן זה אינו נחוץ להכרעתנו בערעור ועל כן אבקש להשאירו בצריך עיון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ascii="Century" w:hAnsi="Century" w:cs="Century"/>
          <w:b/>
          <w:b/>
          <w:spacing w:val="0"/>
          <w:rtl w:val="true"/>
        </w:rPr>
        <w:t xml:space="preserve"> 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1.5.2024</w:t>
      </w:r>
      <w:r>
        <w:rPr>
          <w:rtl w:val="true"/>
        </w:rPr>
        <w:t xml:space="preserve">). </w:t>
      </w:r>
      <w:bookmarkEnd w:id="2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start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23007540</w:t>
      </w:r>
      <w:r>
        <w:rPr>
          <w:sz w:val="16"/>
          <w:rtl w:val="true"/>
        </w:rPr>
        <w:t>_</w:t>
      </w:r>
      <w:r>
        <w:rPr>
          <w:sz w:val="16"/>
        </w:rPr>
        <w:t>F04.docx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נל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54678313-754/23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754/23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EndnoteCharacters">
    <w:name w:val="Endnote Characters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EndnoteText">
    <w:name w:val="endnote text"/>
    <w:basedOn w:val="Normal"/>
    <w:pPr/>
    <w:rPr>
      <w:rFonts w:ascii="Century" w:hAnsi="Century" w:cs="FrankRuehl"/>
      <w:spacing w:val="10"/>
      <w:szCs w:val="20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8281" TargetMode="External"/><Relationship Id="rId3" Type="http://schemas.openxmlformats.org/officeDocument/2006/relationships/hyperlink" Target="http://www.nevo.co.il/safrut/book/8281" TargetMode="External"/><Relationship Id="rId4" Type="http://schemas.openxmlformats.org/officeDocument/2006/relationships/hyperlink" Target="http://www.nevo.co.il/safrut/bookgroup/4173" TargetMode="External"/><Relationship Id="rId5" Type="http://schemas.openxmlformats.org/officeDocument/2006/relationships/hyperlink" Target="http://www.nevo.co.il/safrut/bookgroup/4173" TargetMode="External"/><Relationship Id="rId6" Type="http://schemas.openxmlformats.org/officeDocument/2006/relationships/hyperlink" Target="http://www.nevo.co.il/law/98569" TargetMode="External"/><Relationship Id="rId7" Type="http://schemas.openxmlformats.org/officeDocument/2006/relationships/hyperlink" Target="http://www.nevo.co.il/law/98569/11" TargetMode="External"/><Relationship Id="rId8" Type="http://schemas.openxmlformats.org/officeDocument/2006/relationships/hyperlink" Target="http://www.nevo.co.il/law/98569/54a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/347.b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/382.b.1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law/98569" TargetMode="External"/><Relationship Id="rId16" Type="http://schemas.openxmlformats.org/officeDocument/2006/relationships/hyperlink" Target="http://www.nevo.co.il/law/98569" TargetMode="External"/><Relationship Id="rId17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98569/54a.b" TargetMode="External"/><Relationship Id="rId19" Type="http://schemas.openxmlformats.org/officeDocument/2006/relationships/hyperlink" Target="http://www.nevo.co.il/law/98569" TargetMode="External"/><Relationship Id="rId20" Type="http://schemas.openxmlformats.org/officeDocument/2006/relationships/hyperlink" Target="http://www.nevo.co.il/case/26960185" TargetMode="External"/><Relationship Id="rId21" Type="http://schemas.openxmlformats.org/officeDocument/2006/relationships/hyperlink" Target="http://www.nevo.co.il/law/70301/347.b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82.b.1" TargetMode="External"/><Relationship Id="rId25" Type="http://schemas.openxmlformats.org/officeDocument/2006/relationships/hyperlink" Target="http://www.nevo.co.il/law/70301/379" TargetMode="External"/><Relationship Id="rId26" Type="http://schemas.openxmlformats.org/officeDocument/2006/relationships/hyperlink" Target="http://www.nevo.co.il/case/27513386" TargetMode="External"/><Relationship Id="rId27" Type="http://schemas.openxmlformats.org/officeDocument/2006/relationships/hyperlink" Target="http://www.nevo.co.il/case/27245032" TargetMode="External"/><Relationship Id="rId28" Type="http://schemas.openxmlformats.org/officeDocument/2006/relationships/hyperlink" Target="http://www.nevo.co.il/case/27245032" TargetMode="External"/><Relationship Id="rId29" Type="http://schemas.openxmlformats.org/officeDocument/2006/relationships/hyperlink" Target="http://www.nevo.co.il/case/26314372" TargetMode="External"/><Relationship Id="rId30" Type="http://schemas.openxmlformats.org/officeDocument/2006/relationships/hyperlink" Target="http://www.nevo.co.il/case/17913797" TargetMode="External"/><Relationship Id="rId31" Type="http://schemas.openxmlformats.org/officeDocument/2006/relationships/hyperlink" Target="http://www.nevo.co.il/case/17937212" TargetMode="External"/><Relationship Id="rId32" Type="http://schemas.openxmlformats.org/officeDocument/2006/relationships/hyperlink" Target="http://www.nevo.co.il/case/27245032" TargetMode="External"/><Relationship Id="rId33" Type="http://schemas.openxmlformats.org/officeDocument/2006/relationships/hyperlink" Target="http://www.nevo.co.il/case/23880042" TargetMode="External"/><Relationship Id="rId34" Type="http://schemas.openxmlformats.org/officeDocument/2006/relationships/hyperlink" Target="http://www.nevo.co.il/law/98569/54a.b" TargetMode="External"/><Relationship Id="rId35" Type="http://schemas.openxmlformats.org/officeDocument/2006/relationships/hyperlink" Target="http://www.nevo.co.il/law/98569" TargetMode="External"/><Relationship Id="rId36" Type="http://schemas.openxmlformats.org/officeDocument/2006/relationships/hyperlink" Target="http://www.nevo.co.il/case/27245032" TargetMode="External"/><Relationship Id="rId37" Type="http://schemas.openxmlformats.org/officeDocument/2006/relationships/hyperlink" Target="http://www.nevo.co.il/case/27245032" TargetMode="External"/><Relationship Id="rId38" Type="http://schemas.openxmlformats.org/officeDocument/2006/relationships/hyperlink" Target="http://www.nevo.co.il/safrut/bookgroup/4173" TargetMode="External"/><Relationship Id="rId39" Type="http://schemas.openxmlformats.org/officeDocument/2006/relationships/hyperlink" Target="http://www.nevo.co.il/law/98569/11" TargetMode="External"/><Relationship Id="rId40" Type="http://schemas.openxmlformats.org/officeDocument/2006/relationships/hyperlink" Target="http://www.nevo.co.il/law/98569" TargetMode="External"/><Relationship Id="rId41" Type="http://schemas.openxmlformats.org/officeDocument/2006/relationships/hyperlink" Target="http://www.nevo.co.il/case/5709779" TargetMode="External"/><Relationship Id="rId42" Type="http://schemas.openxmlformats.org/officeDocument/2006/relationships/hyperlink" Target="http://www.nevo.co.il/case/27292055" TargetMode="External"/><Relationship Id="rId43" Type="http://schemas.openxmlformats.org/officeDocument/2006/relationships/hyperlink" Target="http://www.nevo.co.il/law/98569/54a.b" TargetMode="External"/><Relationship Id="rId44" Type="http://schemas.openxmlformats.org/officeDocument/2006/relationships/hyperlink" Target="http://www.nevo.co.il/law/98569" TargetMode="External"/><Relationship Id="rId45" Type="http://schemas.openxmlformats.org/officeDocument/2006/relationships/hyperlink" Target="http://www.nevo.co.il/case/27245032" TargetMode="External"/><Relationship Id="rId46" Type="http://schemas.openxmlformats.org/officeDocument/2006/relationships/hyperlink" Target="http://www.nevo.co.il/case/29964587" TargetMode="External"/><Relationship Id="rId47" Type="http://schemas.openxmlformats.org/officeDocument/2006/relationships/hyperlink" Target="http://www.nevo.co.il/case/5678391" TargetMode="External"/><Relationship Id="rId48" Type="http://schemas.openxmlformats.org/officeDocument/2006/relationships/hyperlink" Target="http://www.nevo.co.il/law/98569" TargetMode="External"/><Relationship Id="rId49" Type="http://schemas.openxmlformats.org/officeDocument/2006/relationships/hyperlink" Target="http://www.nevo.co.il/law/98569" TargetMode="External"/><Relationship Id="rId50" Type="http://schemas.openxmlformats.org/officeDocument/2006/relationships/hyperlink" Target="http://www.nevo.co.il/case/17931341" TargetMode="External"/><Relationship Id="rId51" Type="http://schemas.openxmlformats.org/officeDocument/2006/relationships/hyperlink" Target="http://www.nevo.co.il/case/5827933" TargetMode="External"/><Relationship Id="rId52" Type="http://schemas.openxmlformats.org/officeDocument/2006/relationships/hyperlink" Target="http://www.nevo.co.il/case/28906101" TargetMode="External"/><Relationship Id="rId53" Type="http://schemas.openxmlformats.org/officeDocument/2006/relationships/hyperlink" Target="http://www.nevo.co.il/case/28906101" TargetMode="External"/><Relationship Id="rId54" Type="http://schemas.openxmlformats.org/officeDocument/2006/relationships/hyperlink" Target="http://www.nevo.co.il/case/27513386" TargetMode="External"/><Relationship Id="rId55" Type="http://schemas.openxmlformats.org/officeDocument/2006/relationships/hyperlink" Target="http://www.nevo.co.il/safrut/book/8281" TargetMode="External"/><Relationship Id="rId56" Type="http://schemas.openxmlformats.org/officeDocument/2006/relationships/hyperlink" Target="https://supreme.court.gov.il/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2024-05-02T09:34:00Z</dcterms:created>
  <dc:creator>h4</dc:creator>
  <dc:description/>
  <cp:keywords/>
  <dc:language>en-IL</dc:language>
  <cp:lastModifiedBy>orly</cp:lastModifiedBy>
  <cp:lastPrinted>2024-05-01T14:17:00Z</cp:lastPrinted>
  <dcterms:modified xsi:type="dcterms:W3CDTF">2024-05-02T09:34:00Z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4173</vt:lpwstr>
  </property>
  <property fmtid="{D5CDD505-2E9C-101B-9397-08002B2CF9AE}" pid="9" name="BOOKLISTTMP1">
    <vt:lpwstr>8281</vt:lpwstr>
  </property>
  <property fmtid="{D5CDD505-2E9C-101B-9397-08002B2CF9AE}" pid="10" name="CASESLISTTMP1">
    <vt:lpwstr>26960185;27513386:2;27245032:6;26314372;17913797;17937212;23880042;5709779;27292055;29964587;5678391;17931341;5827933;28906101:2</vt:lpwstr>
  </property>
  <property fmtid="{D5CDD505-2E9C-101B-9397-08002B2CF9AE}" pid="11" name="CITY">
    <vt:lpwstr/>
  </property>
  <property fmtid="{D5CDD505-2E9C-101B-9397-08002B2CF9AE}" pid="12" name="DATE">
    <vt:lpwstr>20240501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אלרון;א' שטיין;י' כשר</vt:lpwstr>
  </property>
  <property fmtid="{D5CDD505-2E9C-101B-9397-08002B2CF9AE}" pid="16" name="LAWLISTTMP1">
    <vt:lpwstr>98569/054a.b:3;011</vt:lpwstr>
  </property>
  <property fmtid="{D5CDD505-2E9C-101B-9397-08002B2CF9AE}" pid="17" name="LAWLISTTMP2">
    <vt:lpwstr>70301/347.b;345.a.1;382.b.1;379</vt:lpwstr>
  </property>
  <property fmtid="{D5CDD505-2E9C-101B-9397-08002B2CF9AE}" pid="18" name="LAWYER">
    <vt:lpwstr>יאיר חמודות;דוד ברהום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ראיות</vt:lpwstr>
  </property>
  <property fmtid="{D5CDD505-2E9C-101B-9397-08002B2CF9AE}" pid="32" name="NOSE13">
    <vt:lpwstr>עונשין</vt:lpwstr>
  </property>
  <property fmtid="{D5CDD505-2E9C-101B-9397-08002B2CF9AE}" pid="33" name="NOSE14">
    <vt:lpwstr>ראיות</vt:lpwstr>
  </property>
  <property fmtid="{D5CDD505-2E9C-101B-9397-08002B2CF9AE}" pid="34" name="NOSE15">
    <vt:lpwstr>ראיות</vt:lpwstr>
  </property>
  <property fmtid="{D5CDD505-2E9C-101B-9397-08002B2CF9AE}" pid="35" name="NOSE16">
    <vt:lpwstr>ראיות</vt:lpwstr>
  </property>
  <property fmtid="{D5CDD505-2E9C-101B-9397-08002B2CF9AE}" pid="36" name="NOSE17">
    <vt:lpwstr>עונשין</vt:lpwstr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18;89;77;89;89;89;77</vt:lpwstr>
  </property>
  <property fmtid="{D5CDD505-2E9C-101B-9397-08002B2CF9AE}" pid="40" name="NOSE21">
    <vt:lpwstr>ערעור</vt:lpwstr>
  </property>
  <property fmtid="{D5CDD505-2E9C-101B-9397-08002B2CF9AE}" pid="41" name="NOSE210">
    <vt:lpwstr/>
  </property>
  <property fmtid="{D5CDD505-2E9C-101B-9397-08002B2CF9AE}" pid="42" name="NOSE22">
    <vt:lpwstr>מהימנות</vt:lpwstr>
  </property>
  <property fmtid="{D5CDD505-2E9C-101B-9397-08002B2CF9AE}" pid="43" name="NOSE23">
    <vt:lpwstr>עבירות</vt:lpwstr>
  </property>
  <property fmtid="{D5CDD505-2E9C-101B-9397-08002B2CF9AE}" pid="44" name="NOSE24">
    <vt:lpwstr>עדות</vt:lpwstr>
  </property>
  <property fmtid="{D5CDD505-2E9C-101B-9397-08002B2CF9AE}" pid="45" name="NOSE25">
    <vt:lpwstr>מהימנות</vt:lpwstr>
  </property>
  <property fmtid="{D5CDD505-2E9C-101B-9397-08002B2CF9AE}" pid="46" name="NOSE26">
    <vt:lpwstr>מידת ההוכחה</vt:lpwstr>
  </property>
  <property fmtid="{D5CDD505-2E9C-101B-9397-08002B2CF9AE}" pid="47" name="NOSE27">
    <vt:lpwstr>עבירות</vt:lpwstr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504;1635;1443;1654;1635;1638;1443</vt:lpwstr>
  </property>
  <property fmtid="{D5CDD505-2E9C-101B-9397-08002B2CF9AE}" pid="51" name="NOSE31">
    <vt:lpwstr>התערבות במימצאים עובדתיים</vt:lpwstr>
  </property>
  <property fmtid="{D5CDD505-2E9C-101B-9397-08002B2CF9AE}" pid="52" name="NOSE310">
    <vt:lpwstr/>
  </property>
  <property fmtid="{D5CDD505-2E9C-101B-9397-08002B2CF9AE}" pid="53" name="NOSE32">
    <vt:lpwstr>התערבות ערכאת ערעור</vt:lpwstr>
  </property>
  <property fmtid="{D5CDD505-2E9C-101B-9397-08002B2CF9AE}" pid="54" name="NOSE33">
    <vt:lpwstr>עבירות מין במשפחה</vt:lpwstr>
  </property>
  <property fmtid="{D5CDD505-2E9C-101B-9397-08002B2CF9AE}" pid="55" name="NOSE34">
    <vt:lpwstr>קורבן עבירת מין</vt:lpwstr>
  </property>
  <property fmtid="{D5CDD505-2E9C-101B-9397-08002B2CF9AE}" pid="56" name="NOSE35">
    <vt:lpwstr>בחינתה</vt:lpwstr>
  </property>
  <property fmtid="{D5CDD505-2E9C-101B-9397-08002B2CF9AE}" pid="57" name="NOSE36">
    <vt:lpwstr>ספק סביר</vt:lpwstr>
  </property>
  <property fmtid="{D5CDD505-2E9C-101B-9397-08002B2CF9AE}" pid="58" name="NOSE37">
    <vt:lpwstr>מדיניות ענישה: עבירות מין במשפחה</vt:lpwstr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3858;10199;12407;12270;10195;10229;16240</vt:lpwstr>
  </property>
  <property fmtid="{D5CDD505-2E9C-101B-9397-08002B2CF9AE}" pid="62" name="PADIDATE">
    <vt:lpwstr>20240502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754</vt:lpwstr>
  </property>
  <property fmtid="{D5CDD505-2E9C-101B-9397-08002B2CF9AE}" pid="68" name="PROCYEAR">
    <vt:lpwstr>23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410120240501</vt:lpwstr>
  </property>
  <property fmtid="{D5CDD505-2E9C-101B-9397-08002B2CF9AE}" pid="72" name="TYPE_N_DATE">
    <vt:lpwstr>41020240501</vt:lpwstr>
  </property>
  <property fmtid="{D5CDD505-2E9C-101B-9397-08002B2CF9AE}" pid="73" name="VOLUME">
    <vt:lpwstr/>
  </property>
  <property fmtid="{D5CDD505-2E9C-101B-9397-08002B2CF9AE}" pid="74" name="WORDNUMPAGES">
    <vt:lpwstr>32</vt:lpwstr>
  </property>
</Properties>
</file>