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8"/>
          <w:szCs w:val="36"/>
        </w:rPr>
      </w:pPr>
      <w:r>
        <w:rPr>
          <w:rFonts w:cs="Miriam"/>
          <w:b/>
          <w:bCs/>
          <w:sz w:val="28"/>
          <w:szCs w:val="3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7595/19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8667/19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1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00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7595/19</w:t>
            </w:r>
            <w:r>
              <w:rPr>
                <w:rtl w:val="true"/>
              </w:rPr>
              <w:t>:</w:t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רביע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סגים</w:t>
            </w:r>
          </w:p>
        </w:tc>
      </w:tr>
    </w:tbl>
    <w:p>
      <w:pPr>
        <w:pStyle w:val="BodyRuller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  <w:tab/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01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8667/19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</w:p>
        </w:tc>
      </w:tr>
    </w:tbl>
    <w:p>
      <w:pPr>
        <w:pStyle w:val="BodyRuller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01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331/20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ואאל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בהא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</w:p>
        </w:tc>
      </w:tr>
    </w:tbl>
    <w:p>
      <w:pPr>
        <w:pStyle w:val="Ruller31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52790-03-18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7.8.2019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13.11.2019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52777-03-18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22.12.2019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בתשרי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 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24.9.2020</w:t>
            </w:r>
            <w:r>
              <w:rPr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BodyRuller1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4"/>
        <w:gridCol w:w="5101"/>
      </w:tblGrid>
      <w:tr>
        <w:trPr/>
        <w:tc>
          <w:tcPr>
            <w:tcW w:w="31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lawyers_a_title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7595/19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8667/19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גאנם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וליד</w:t>
            </w:r>
            <w:r>
              <w:rPr>
                <w:rtl w:val="true"/>
              </w:rPr>
              <w:tab/>
            </w:r>
          </w:p>
        </w:tc>
      </w:tr>
    </w:tbl>
    <w:p>
      <w:pPr>
        <w:pStyle w:val="BodyRuller1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4"/>
        <w:gridCol w:w="5101"/>
      </w:tblGrid>
      <w:tr>
        <w:trPr/>
        <w:tc>
          <w:tcPr>
            <w:tcW w:w="31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331/20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עטיה</w:t>
            </w:r>
            <w:r>
              <w:rPr>
                <w:rtl w:val="true"/>
              </w:rPr>
              <w:tab/>
            </w:r>
          </w:p>
        </w:tc>
      </w:tr>
    </w:tbl>
    <w:p>
      <w:pPr>
        <w:pStyle w:val="BodyRuller1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4"/>
        <w:gridCol w:w="5101"/>
      </w:tblGrid>
      <w:tr>
        <w:trPr/>
        <w:tc>
          <w:tcPr>
            <w:tcW w:w="31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275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szCs w:val="32"/>
        </w:rPr>
      </w:pPr>
      <w:r>
        <w:rPr>
          <w:rFonts w:cs="FrankRuehl" w:ascii="FrankRuehl" w:hAnsi="FrankRuehl"/>
          <w:color w:val="0000FF"/>
          <w:sz w:val="24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 ערעורי המערערים על הרשעתם בעבירות הקשורות בסחר בנשק בלתי חוקי בהעדר מקום להתערב בממצאי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נדחו ערעורי המערערים על העונשים שהושתו עליהם בהיותם תואמים את 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עמידה על הצורך בהחמרה בגין פעילות של סחר בלתי חוקי בנשק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החזקת נשק שלא כדין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בחומרת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בעבירה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עובדות שלא נטענו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שלושה ערעורים שנסבים על הרשעת המערערים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נשק ביחס לאותו 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בפרשה מעורבים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רביע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ואד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ואאל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נאשמים אחרים לא הגישו 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הטיל על רביע עונש של </w:t>
      </w:r>
      <w:r>
        <w:rPr>
          <w:rFonts w:cs="Times New Roman" w:ascii="Times New Roman" w:hAnsi="Times New Roman"/>
          <w:spacing w:val="0"/>
          <w:szCs w:val="26"/>
        </w:rPr>
        <w:t>4.5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ואד הוטל עונש של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ואאל הורשע אך בעבירה של החזקת נשק והפרעה לשוטר בעת מילוי תפקידו ונגזרו עליו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הנדל ועמית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לערעורים על הכרעות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ערעורו של רביע מופנה כלפי ממצאי עובדה ומהימנות של הערכאה המבררת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 זה מדרכה של ערכאת ערעור להתערב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ורביע לא הצביע על כל טעם המצדיק סטייה מכלל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שהרשעתו בעבירות הנשק התבססה על ראיות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הרשעתו של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ואד מבוססת על קביעות עובדה ומהימנות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ולא נמצא כל בסיס המצדיק התערבות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סמך הראיות 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ואד היה מודע לעסקת הנשק וכי גרסתו לפיה לא היה מודע לעסקה אינה הגיונית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לואאל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הודה בעבירה של החזקת כלי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ההחזקה של הנשק מקיימת את כל יסודות עבירת ההחזקה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בבסיס המונח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 מבחן השליטה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כחלק מהיסוד העובדתי של העבירה והן כחלק מהיסוד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שואאל החזיק את הנשק לזמן קצר בלבד אינה משנה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מודע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החזיק נשק שידע שהוא נשק בלתי חוקי שהוברח לשטח מדינת ישראל משטחי הרשות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החזיק ואאל בנשק הייתה לו שליטה פיזית מלאה והוא יכול היה להגיע לעשייה פיזית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טענתו של ואאל כי לא היה מקום להרשיעו בעבירה שעובדותיה לא נכללו בכתב האישום על סמך סעיף </w:t>
      </w:r>
      <w:r>
        <w:rPr>
          <w:rFonts w:cs="Times New Roman" w:ascii="Times New Roman" w:hAnsi="Times New Roman"/>
          <w:spacing w:val="0"/>
          <w:szCs w:val="26"/>
        </w:rPr>
        <w:t>184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 זה מסמיך את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להרשיע נאשם על פי עובדות שלא הוצגו בכתב האישום ובעבירות על פי הוראות חיקוק שלא צוינו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בתנאי שניתנה לנאשם הזדמנות סבירה להתגונן מהרשעה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הזדמנות סבירה כאמור תתקיים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ניתנה לנאשם הזדמנות ממשית לחקור עדים ולהביא 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ואם ניתנה לו הזדמנות לגבש ולהציג קו הגנה ביחס להרשעה החדשה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הנאשם להעלות טענות קונקרטיות בדבר השאלה כיצד נפגעה הגנתו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הבהיר ואאל כיצד בדיוק נפגעה הגנתו וכתוצאה ממה היא נפגעה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הודה בעובדות ואף גרס כי הודאתו מהווה הודאה בעבירה של החזקת כלי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צורך לפרט בכתב האישום את העובדות המקימות את עבירת ההחזקה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נבלעה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החמורות שיוחסו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 עסקה בנשק ונשיאה והובלה של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בשל כך לא צוינו העובדות המקימות את הרשעתו בעבירה הקלה יותר במסגרת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 לאחר שזוכה מחמת הספק מהעבירות שיוחסו לו במסגרת האישום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היה לייחס משמעות לאותן עובדות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בגינן הורשע ואאל לבסוף בעבירה של החזקת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לערעורים על גזרי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אינה נוטה להתערב בחומרת העונש שנקבע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זולת בנסיבות חריגות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פעילות של סחר בלתי חוקי בנשק טומנת בחובה פגיעה קשה בערכים חברתיים בעלי חשיבות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שלמות הגוף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חיי אדם ושלום הציבור וביטחונו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 היתרה הכרוכה בעבירות נשק והסיכון הנשקף מביצוען לציבור מקבלים משנה תוקף נוכח היקף התופעה ואופן התפשטותה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מסתמנת בפסיקה מגמת החמרה ברמת הענישה בעבירות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ההולם את מידת הפגיעה בערכים המוגנים במטרה להרתיע מפני ביצוע עבירות אלו ולקדם את מיגור התופעה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מטבען של עסקאות סחר בנשק שמעורבים בהן גורמים שונים שחלקו של כל אחד מהם בעסקה משתנה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חשיבות בענישה מוחשית של כל אחת מהחוליות בשרשרת הסחר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 אחת מאותן חוליות מוחזקת כמי שמודעת לתוצאות האפשריות הקשות העלולות לנבוע מהשימוש שייעשה בנשק לאחר שיגיע אל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הצרכן הסופי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הורשעו בעבירות הקשורות בסחר בנשק בלתי חוקי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שחלקם בעבירות היה 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ועונשיהם תואמים את 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ניתן להשוות לעניינם של נאשמים אחרים בפרשה שמילאו תפקיד מינורי בהרבה והורשעו על פי 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32"/>
        </w:rPr>
      </w:pPr>
      <w:r>
        <w:rPr>
          <w:rFonts w:cs="Times New Roman"/>
          <w:spacing w:val="0"/>
          <w:sz w:val="24"/>
          <w:szCs w:val="32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40"/>
          <w:szCs w:val="48"/>
        </w:rPr>
      </w:pPr>
      <w:r>
        <w:rPr>
          <w:sz w:val="40"/>
          <w:szCs w:val="4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7.8.2019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13.11.2019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52790-03-18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11.9.2019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22.12.2019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52777-03-18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tl w:val="true"/>
        </w:rPr>
        <w:t xml:space="preserve">).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לערעורים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בפרשה מושא הערעור מעורבים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: 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7595/19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</w:t>
      </w:r>
      <w:r>
        <w:rPr>
          <w:rtl w:val="true"/>
        </w:rPr>
        <w:t xml:space="preserve">); 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8667/19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ואד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331/20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ואאל</w:t>
      </w:r>
      <w:r>
        <w:rPr>
          <w:rtl w:val="true"/>
        </w:rPr>
        <w:t xml:space="preserve">), </w:t>
      </w:r>
      <w:r>
        <w:rPr>
          <w:rtl w:val="true"/>
        </w:rPr>
        <w:t>אשר עניינו נוהל בנפרד מההליכים בעניינם של ארבעת המעורבים האחרים</w:t>
      </w:r>
      <w:r>
        <w:rPr>
          <w:rtl w:val="true"/>
        </w:rPr>
        <w:t xml:space="preserve">; </w:t>
      </w:r>
      <w:r>
        <w:rPr>
          <w:rtl w:val="true"/>
        </w:rPr>
        <w:t>ושני נאשמים אחרים שלא הגישו ערעור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פואאז</w:t>
      </w:r>
      <w:r>
        <w:rPr>
          <w:rtl w:val="true"/>
        </w:rPr>
        <w:t xml:space="preserve">) </w:t>
      </w:r>
      <w:r>
        <w:rPr>
          <w:rtl w:val="true"/>
        </w:rPr>
        <w:t xml:space="preserve">ונאשם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סנד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על פי עובדות כתבי האישום </w:t>
      </w:r>
      <w:r>
        <w:rPr>
          <w:rtl w:val="true"/>
        </w:rPr>
        <w:t>(</w:t>
      </w:r>
      <w:r>
        <w:rPr>
          <w:rtl w:val="true"/>
        </w:rPr>
        <w:t>הזהים בשני ההליכים</w:t>
      </w:r>
      <w:r>
        <w:rPr>
          <w:rtl w:val="true"/>
        </w:rPr>
        <w:t xml:space="preserve">), </w:t>
      </w:r>
      <w:r>
        <w:rPr>
          <w:rtl w:val="true"/>
        </w:rPr>
        <w:t xml:space="preserve">עובר ליום </w:t>
      </w:r>
      <w:r>
        <w:rPr/>
        <w:t>4.3.2018</w:t>
      </w:r>
      <w:r>
        <w:rPr>
          <w:rtl w:val="true"/>
        </w:rPr>
        <w:t xml:space="preserve"> </w:t>
      </w:r>
      <w:r>
        <w:rPr>
          <w:rtl w:val="true"/>
        </w:rPr>
        <w:t xml:space="preserve">סיכם רביע עם תושב הרשות הפלסטינית בשם אבו אדהם כי רביע יוביל בעצמו או באמצעות אחרים נשק משטח הרשות הפלסטינית לתושב שפרעם שזהותו אינה ידועה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) </w:t>
      </w:r>
      <w:r>
        <w:rPr>
          <w:rtl w:val="true"/>
        </w:rPr>
        <w:t>תמורת כסף</w:t>
      </w:r>
      <w:r>
        <w:rPr>
          <w:rtl w:val="true"/>
        </w:rPr>
        <w:t xml:space="preserve">. </w:t>
      </w:r>
      <w:r>
        <w:rPr>
          <w:rtl w:val="true"/>
        </w:rPr>
        <w:t xml:space="preserve">לשם כך נתן רביע לואאל את רכבו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וצייד אותו בגנרטור בו יוכל להחביא את הנשק</w:t>
      </w:r>
      <w:r>
        <w:rPr>
          <w:rtl w:val="true"/>
        </w:rPr>
        <w:t xml:space="preserve">. </w:t>
      </w:r>
      <w:r>
        <w:rPr>
          <w:rtl w:val="true"/>
        </w:rPr>
        <w:t xml:space="preserve">ואאל עבר עם הרכב את </w:t>
      </w:r>
      <w:r>
        <w:rPr>
          <w:rtl w:val="true"/>
        </w:rPr>
        <w:t>"</w:t>
      </w:r>
      <w:r>
        <w:rPr>
          <w:rtl w:val="true"/>
        </w:rPr>
        <w:t>מחסום תאנים</w:t>
      </w:r>
      <w:r>
        <w:rPr>
          <w:rtl w:val="true"/>
        </w:rPr>
        <w:t xml:space="preserve">" </w:t>
      </w:r>
      <w:r>
        <w:rPr>
          <w:rtl w:val="true"/>
        </w:rPr>
        <w:t xml:space="preserve">ליד טול כרם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המחסום</w:t>
      </w:r>
      <w:r>
        <w:rPr>
          <w:rtl w:val="true"/>
        </w:rPr>
        <w:t xml:space="preserve">) </w:t>
      </w:r>
      <w:r>
        <w:rPr>
          <w:rtl w:val="true"/>
        </w:rPr>
        <w:t>אל תוך השטח של הרשות הפלסטינית ופגש שני אנשים שזהותם אינה ידועה</w:t>
      </w:r>
      <w:r>
        <w:rPr>
          <w:rtl w:val="true"/>
        </w:rPr>
        <w:t xml:space="preserve">. </w:t>
      </w:r>
      <w:r>
        <w:rPr>
          <w:rtl w:val="true"/>
        </w:rPr>
        <w:t>השניים קיבלו מואאל את הגנרטור</w:t>
      </w:r>
      <w:r>
        <w:rPr>
          <w:rtl w:val="true"/>
        </w:rPr>
        <w:t xml:space="preserve">, </w:t>
      </w:r>
      <w:r>
        <w:rPr>
          <w:rtl w:val="true"/>
        </w:rPr>
        <w:t xml:space="preserve">הכניסו לתוכו שני תתי מקלע ונתנו לו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בתמורה להובלת כלי הנשק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חזר ואאל לשטח ישראל</w:t>
      </w:r>
      <w:r>
        <w:rPr>
          <w:rtl w:val="true"/>
        </w:rPr>
        <w:t xml:space="preserve">, </w:t>
      </w:r>
      <w:r>
        <w:rPr>
          <w:rtl w:val="true"/>
        </w:rPr>
        <w:t xml:space="preserve">מסר את כלי הנשק לרביע וקיבל ממנו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נוספים</w:t>
      </w:r>
      <w:r>
        <w:rPr>
          <w:rtl w:val="true"/>
        </w:rPr>
        <w:t xml:space="preserve">. </w:t>
      </w:r>
      <w:r>
        <w:rPr>
          <w:rtl w:val="true"/>
        </w:rPr>
        <w:t>באותו לילה</w:t>
      </w:r>
      <w:r>
        <w:rPr>
          <w:rtl w:val="true"/>
        </w:rPr>
        <w:t xml:space="preserve">, </w:t>
      </w:r>
      <w:r>
        <w:rPr>
          <w:rtl w:val="true"/>
        </w:rPr>
        <w:t>מסר רביע את כלי הנשק לאדם השלישי בשפרעם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6.3.2018</w:t>
      </w:r>
      <w:r>
        <w:rPr>
          <w:rtl w:val="true"/>
        </w:rPr>
        <w:t xml:space="preserve"> </w:t>
      </w:r>
      <w:r>
        <w:rPr>
          <w:rtl w:val="true"/>
        </w:rPr>
        <w:t>פנה רביע לואאל</w:t>
      </w:r>
      <w:r>
        <w:rPr>
          <w:rtl w:val="true"/>
        </w:rPr>
        <w:t xml:space="preserve">, </w:t>
      </w:r>
      <w:r>
        <w:rPr>
          <w:rtl w:val="true"/>
        </w:rPr>
        <w:t>בנוכחות 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וסיכם עם ואאל שיעביר כלי נשק נוספים משטח הרשות הפלסטינית לשטח ישראל בתמורה ולצורך כך מסר לו את הרכב פעם נוספת</w:t>
      </w:r>
      <w:r>
        <w:rPr>
          <w:rtl w:val="true"/>
        </w:rPr>
        <w:t xml:space="preserve">. </w:t>
      </w:r>
      <w:r>
        <w:rPr>
          <w:rtl w:val="true"/>
        </w:rPr>
        <w:t>ואאל וג</w:t>
      </w:r>
      <w:r>
        <w:rPr>
          <w:rtl w:val="true"/>
        </w:rPr>
        <w:t>'</w:t>
      </w:r>
      <w:r>
        <w:rPr>
          <w:rtl w:val="true"/>
        </w:rPr>
        <w:t>ואד נסעו ברכב ונפגשו עם פואאז וסנד</w:t>
      </w:r>
      <w:r>
        <w:rPr>
          <w:rtl w:val="true"/>
        </w:rPr>
        <w:t xml:space="preserve">. </w:t>
      </w:r>
      <w:r>
        <w:rPr>
          <w:rtl w:val="true"/>
        </w:rPr>
        <w:t>ואאל אמר לשלושה כי בכוונתו לנסוע לשטח הרשות הפלסטינית להביא כלי נשק והשלושה הסכימו להצטרף</w:t>
      </w:r>
      <w:r>
        <w:rPr>
          <w:rtl w:val="true"/>
        </w:rPr>
        <w:t xml:space="preserve">. </w:t>
      </w:r>
      <w:r>
        <w:rPr>
          <w:rtl w:val="true"/>
        </w:rPr>
        <w:t>הארבעה התחילו בנסיעה לכיוון המחסום כאשר ואאל נוהג ברכב</w:t>
      </w:r>
      <w:r>
        <w:rPr>
          <w:rtl w:val="true"/>
        </w:rPr>
        <w:t xml:space="preserve">. </w:t>
      </w:r>
      <w:r>
        <w:rPr>
          <w:rtl w:val="true"/>
        </w:rPr>
        <w:t>לאחר שפואאז וסנד גילו כי אין ברשותם תעודות זהות</w:t>
      </w:r>
      <w:r>
        <w:rPr>
          <w:rtl w:val="true"/>
        </w:rPr>
        <w:t xml:space="preserve">, </w:t>
      </w:r>
      <w:r>
        <w:rPr>
          <w:rtl w:val="true"/>
        </w:rPr>
        <w:t>ירדו מהרכב והמתינו לואאל וג</w:t>
      </w:r>
      <w:r>
        <w:rPr>
          <w:rtl w:val="true"/>
        </w:rPr>
        <w:t>'</w:t>
      </w:r>
      <w:r>
        <w:rPr>
          <w:rtl w:val="true"/>
        </w:rPr>
        <w:t>ואד בצד הדרך</w:t>
      </w:r>
      <w:r>
        <w:rPr>
          <w:rtl w:val="true"/>
        </w:rPr>
        <w:t xml:space="preserve">, </w:t>
      </w:r>
      <w:r>
        <w:rPr>
          <w:rtl w:val="true"/>
        </w:rPr>
        <w:t>בשטח ישראל</w:t>
      </w:r>
      <w:r>
        <w:rPr>
          <w:rtl w:val="true"/>
        </w:rPr>
        <w:t xml:space="preserve">. </w:t>
      </w:r>
      <w:r>
        <w:rPr>
          <w:rtl w:val="true"/>
        </w:rPr>
        <w:t>ואאל וג</w:t>
      </w:r>
      <w:r>
        <w:rPr>
          <w:rtl w:val="true"/>
        </w:rPr>
        <w:t>'</w:t>
      </w:r>
      <w:r>
        <w:rPr>
          <w:rtl w:val="true"/>
        </w:rPr>
        <w:t>ואד עברו את המחסום וקיבלו מאדם נוסף שזהותו אינה ידועה שני רובים מסוג קארל גוסטב שהוחבאו מתחת למושבים הקדמיים של הרכב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בתמורה להובלתם</w:t>
      </w:r>
      <w:r>
        <w:rPr>
          <w:rtl w:val="true"/>
        </w:rPr>
        <w:t xml:space="preserve">. </w:t>
      </w:r>
      <w:r>
        <w:rPr>
          <w:rtl w:val="true"/>
        </w:rPr>
        <w:t>השניים עברו בחזרה את המחסום לתוך שטח ישראל כאשר הנשק ברכב ואספו את פואאז וסנד</w:t>
      </w:r>
      <w:r>
        <w:rPr>
          <w:rtl w:val="true"/>
        </w:rPr>
        <w:t xml:space="preserve">. </w:t>
      </w:r>
      <w:r>
        <w:rPr>
          <w:rtl w:val="true"/>
        </w:rPr>
        <w:t>במהלך הנסיעה שוחחו ואאל ורביע ביניהם בטלפון ורביע ביקש מואאל למסור לו את כלי הנשק ו</w:t>
      </w:r>
      <w:r>
        <w:rPr>
          <w:rtl w:val="true"/>
        </w:rPr>
        <w:t>-</w:t>
      </w:r>
      <w:r>
        <w:rPr/>
        <w:t>1,200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מתוך הסכום שקיבל</w:t>
      </w:r>
      <w:r>
        <w:rPr>
          <w:rtl w:val="true"/>
        </w:rPr>
        <w:t xml:space="preserve">, </w:t>
      </w:r>
      <w:r>
        <w:rPr>
          <w:rtl w:val="true"/>
        </w:rPr>
        <w:t>כאשר את יתרת הכסף יקבל ואאל כתמורה עבור עבודתו</w:t>
      </w:r>
      <w:r>
        <w:rPr>
          <w:rtl w:val="true"/>
        </w:rPr>
        <w:t xml:space="preserve">. </w:t>
      </w:r>
      <w:r>
        <w:rPr>
          <w:rtl w:val="true"/>
        </w:rPr>
        <w:t>במהלך הנסיעה נתקלו הארבעה במחסום משטרתי</w:t>
      </w:r>
      <w:r>
        <w:rPr>
          <w:rtl w:val="true"/>
        </w:rPr>
        <w:t xml:space="preserve">. </w:t>
      </w:r>
      <w:r>
        <w:rPr>
          <w:rtl w:val="true"/>
        </w:rPr>
        <w:t>השוטרים הורו לואאל לעצור את הרכב אך הוא סירב לעשות כן והאיץ את מהירות נסיעתו בכוונה להפריע לשוטרים במילוי תפקידם</w:t>
      </w:r>
      <w:r>
        <w:rPr>
          <w:rtl w:val="true"/>
        </w:rPr>
        <w:t xml:space="preserve">, </w:t>
      </w:r>
      <w:r>
        <w:rPr>
          <w:rtl w:val="true"/>
        </w:rPr>
        <w:t>עד שנעשה שימוש בדוקרנים על מנת לעצור את הרכב והארבעה אכן נעצרו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וואאל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וואאל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רביע כפר בתחילה במיוחס לו בשני האישומים</w:t>
      </w:r>
      <w:r>
        <w:rPr>
          <w:rtl w:val="true"/>
        </w:rPr>
        <w:t xml:space="preserve">, </w:t>
      </w:r>
      <w:r>
        <w:rPr>
          <w:rtl w:val="true"/>
        </w:rPr>
        <w:t xml:space="preserve">אך ביום </w:t>
      </w:r>
      <w:r>
        <w:rPr/>
        <w:t>11.12.2018</w:t>
      </w:r>
      <w:r>
        <w:rPr>
          <w:rtl w:val="true"/>
        </w:rPr>
        <w:t xml:space="preserve"> </w:t>
      </w:r>
      <w:r>
        <w:rPr>
          <w:rtl w:val="true"/>
        </w:rPr>
        <w:t>מסר תשובה נוספת לכתב האישום בה כפר בעובדות האישום הראשון והודה בעובדות האישום השני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 אישר בתשובתו לכתב האישום כי נסע בתאריך המצוין בכתב האישום עם ואאל</w:t>
      </w:r>
      <w:r>
        <w:rPr>
          <w:rtl w:val="true"/>
        </w:rPr>
        <w:t xml:space="preserve">, </w:t>
      </w:r>
      <w:r>
        <w:rPr>
          <w:rtl w:val="true"/>
        </w:rPr>
        <w:t>פואאז וסנד לשטח הרשות הפלסטינית</w:t>
      </w:r>
      <w:r>
        <w:rPr>
          <w:rtl w:val="true"/>
        </w:rPr>
        <w:t xml:space="preserve">, </w:t>
      </w:r>
      <w:r>
        <w:rPr>
          <w:rtl w:val="true"/>
        </w:rPr>
        <w:t>אך טען כי כאשר ואאל דיבר עם רביע</w:t>
      </w:r>
      <w:r>
        <w:rPr>
          <w:rtl w:val="true"/>
        </w:rPr>
        <w:t xml:space="preserve">, </w:t>
      </w:r>
      <w:r>
        <w:rPr>
          <w:rtl w:val="true"/>
        </w:rPr>
        <w:t>התעסק בטלפון הסלולרי שלו ולא הבחין במתרחש</w:t>
      </w:r>
      <w:r>
        <w:rPr>
          <w:rtl w:val="true"/>
        </w:rPr>
        <w:t xml:space="preserve">. </w:t>
      </w:r>
      <w:r>
        <w:rPr>
          <w:rtl w:val="true"/>
        </w:rPr>
        <w:t xml:space="preserve">גם הוא מסר ביום </w:t>
      </w:r>
      <w:r>
        <w:rPr/>
        <w:t>11.12.2018</w:t>
      </w:r>
      <w:r>
        <w:rPr>
          <w:rtl w:val="true"/>
        </w:rPr>
        <w:t xml:space="preserve"> </w:t>
      </w:r>
      <w:r>
        <w:rPr>
          <w:rtl w:val="true"/>
        </w:rPr>
        <w:t>תשובה נוספת לכתב האישום במסגרתה טען כי ידע על קיומם של כלי הנשק רק לאחר שהיו ברכב וכי הוא אינו קשור לעסקת הנשק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7.8.2019</w:t>
      </w:r>
      <w:r>
        <w:rPr>
          <w:rtl w:val="true"/>
        </w:rPr>
        <w:t xml:space="preserve"> </w:t>
      </w:r>
      <w:r>
        <w:rPr>
          <w:rtl w:val="true"/>
        </w:rPr>
        <w:t>ניתנה הכרעת הדין בעניינם של רביע וג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במסגרתה הרשיע בית המשפט המחוזי את השניים בעבירות שיוחסו להם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רביע הסתמך בית המשפט על הודאותיו במשטרה ודחה את </w:t>
      </w:r>
      <w:r>
        <w:rPr>
          <w:rtl w:val="true"/>
        </w:rPr>
        <w:t>"</w:t>
      </w:r>
      <w:r>
        <w:rPr>
          <w:rtl w:val="true"/>
        </w:rPr>
        <w:t>טענת הזוטא</w:t>
      </w:r>
      <w:r>
        <w:rPr>
          <w:rtl w:val="true"/>
        </w:rPr>
        <w:t xml:space="preserve">" </w:t>
      </w:r>
      <w:r>
        <w:rPr>
          <w:rtl w:val="true"/>
        </w:rPr>
        <w:t>שהעלה לפיה ההודאה ניתנה בעקבות לחץ שהפעילו עליו החוקרים והבטחה שניתנה לו לכאורה כי אם יודה במיוחס לו יוכל לראות את בני משפחתו</w:t>
      </w:r>
      <w:r>
        <w:rPr>
          <w:rtl w:val="true"/>
        </w:rPr>
        <w:t xml:space="preserve">, </w:t>
      </w:r>
      <w:r>
        <w:rPr>
          <w:rtl w:val="true"/>
        </w:rPr>
        <w:t>וקבע כי ההודאה ניתנה מרצונו החופשי</w:t>
      </w:r>
      <w:r>
        <w:rPr>
          <w:rtl w:val="true"/>
        </w:rPr>
        <w:t xml:space="preserve">. </w:t>
      </w:r>
      <w:r>
        <w:rPr>
          <w:rtl w:val="true"/>
        </w:rPr>
        <w:t>בית המשפט ביסס את הרשעתו של רביע גם על הודעתו של ואאל במשטרה</w:t>
      </w:r>
      <w:r>
        <w:rPr>
          <w:rtl w:val="true"/>
        </w:rPr>
        <w:t xml:space="preserve">, </w:t>
      </w:r>
      <w:r>
        <w:rPr>
          <w:rtl w:val="true"/>
        </w:rPr>
        <w:t>אותה העדיף על פני עדותו של ואאל בבית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בעדות זו מסר ואאל כי נשלח על ידי רביע להביא כלי נשק משטח הרשות הפלסטינית ביום </w:t>
      </w:r>
      <w:r>
        <w:rPr/>
        <w:t>4.3.2018</w:t>
      </w:r>
      <w:r>
        <w:rPr>
          <w:rtl w:val="true"/>
        </w:rPr>
        <w:t xml:space="preserve">. </w:t>
      </w:r>
      <w:r>
        <w:rPr>
          <w:rtl w:val="true"/>
        </w:rPr>
        <w:t>לראיות אלו הצטרפו גם ראיות אובייקטיביות נוספות</w:t>
      </w:r>
      <w:r>
        <w:rPr>
          <w:rtl w:val="true"/>
        </w:rPr>
        <w:t xml:space="preserve">, </w:t>
      </w:r>
      <w:r>
        <w:rPr>
          <w:rtl w:val="true"/>
        </w:rPr>
        <w:t>ובהם חקירותיו של רביע במשטרה והתאמת הפרטים שמסר בחקירה בה הודה בעובדות האישום הראשון לפרטים שמסר ואאל</w:t>
      </w:r>
      <w:r>
        <w:rPr>
          <w:rtl w:val="true"/>
        </w:rPr>
        <w:t xml:space="preserve">, </w:t>
      </w:r>
      <w:r>
        <w:rPr>
          <w:rtl w:val="true"/>
        </w:rPr>
        <w:t>פלטי נסיעה ואיכונים של טלפונים סלולריים של המעורבים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 לג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בית המשפט מצא כי גרסתו</w:t>
      </w:r>
      <w:r>
        <w:rPr>
          <w:rtl w:val="true"/>
        </w:rPr>
        <w:t xml:space="preserve">, </w:t>
      </w:r>
      <w:r>
        <w:rPr>
          <w:rtl w:val="true"/>
        </w:rPr>
        <w:t>לפיה לא ידע על עסקת הנשק אינה אמינה</w:t>
      </w:r>
      <w:r>
        <w:rPr>
          <w:rtl w:val="true"/>
        </w:rPr>
        <w:t xml:space="preserve">, </w:t>
      </w:r>
      <w:r>
        <w:rPr>
          <w:rtl w:val="true"/>
        </w:rPr>
        <w:t>וקבע תחת זאת כי ג</w:t>
      </w:r>
      <w:r>
        <w:rPr>
          <w:rtl w:val="true"/>
        </w:rPr>
        <w:t>'</w:t>
      </w:r>
      <w:r>
        <w:rPr>
          <w:rtl w:val="true"/>
        </w:rPr>
        <w:t>ואד היה מודע לפרטי העסקה ולמטרת הנסיעה ועל כן הרשיעו בעבירות המיוחסות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13.11.2019</w:t>
      </w:r>
      <w:r>
        <w:rPr>
          <w:rtl w:val="true"/>
        </w:rPr>
        <w:t xml:space="preserve"> </w:t>
      </w:r>
      <w:r>
        <w:rPr>
          <w:rtl w:val="true"/>
        </w:rPr>
        <w:t>גזר בית המשפט את עונשם של השניים</w:t>
      </w:r>
      <w:r>
        <w:rPr>
          <w:rtl w:val="true"/>
        </w:rPr>
        <w:t xml:space="preserve">. </w:t>
      </w:r>
      <w:r>
        <w:rPr>
          <w:rtl w:val="true"/>
        </w:rPr>
        <w:t>בית המשפט עמד על נסיבות ביצוע העבירות בהן הורשע רביע ולאחר שסקר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הענישה ההולם ביחס לעבירות בכל אחד מהאישומים 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בעת קביעת העונש ההולם בתוך המתחם</w:t>
      </w:r>
      <w:r>
        <w:rPr>
          <w:rtl w:val="true"/>
        </w:rPr>
        <w:t xml:space="preserve">, </w:t>
      </w:r>
      <w:r>
        <w:rPr>
          <w:rtl w:val="true"/>
        </w:rPr>
        <w:t>שקל בית המשפט כשיקולים לקולא היעדר עבר פלילי והעובדה שניהל חיים נורמטיביים בעבר וכן את מצבו הנפשי המורכב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הטיל עליו עונש של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 מאסר בניכוי ימי מעצרו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עבירת נשק או אלימות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וקנס בסך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 הורה על חילוט הרכב</w:t>
      </w:r>
      <w:r>
        <w:rPr>
          <w:rtl w:val="true"/>
        </w:rPr>
        <w:t xml:space="preserve">. </w:t>
      </w:r>
      <w:r>
        <w:rPr>
          <w:rtl w:val="true"/>
        </w:rPr>
        <w:t>גם לגבי ג</w:t>
      </w:r>
      <w:r>
        <w:rPr>
          <w:rtl w:val="true"/>
        </w:rPr>
        <w:t>'</w:t>
      </w:r>
      <w:r>
        <w:rPr>
          <w:rtl w:val="true"/>
        </w:rPr>
        <w:t xml:space="preserve">ואד מצא בית המשפט כי מתחם העונש ההולם לגביו 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נזקפה לזכותו העובדה שהוא חסר עבר פלילי למעט הרשעה בעבירה בודדת </w:t>
      </w:r>
      <w:r>
        <w:rPr>
          <w:rtl w:val="true"/>
        </w:rPr>
        <w:t>(</w:t>
      </w:r>
      <w:r>
        <w:rPr>
          <w:rtl w:val="true"/>
        </w:rPr>
        <w:t>בגינה ריצה מאסר במועד מתן גזר הדין</w:t>
      </w:r>
      <w:r>
        <w:rPr>
          <w:rtl w:val="true"/>
        </w:rPr>
        <w:t xml:space="preserve">) </w:t>
      </w:r>
      <w:r>
        <w:rPr>
          <w:rtl w:val="true"/>
        </w:rPr>
        <w:t>ואת העובדה שניהל חיים נורמטיביים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הטיל בית המשפט עליו עונש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בניכוי ימי מעצרו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עוד עבירת נשק או אלימות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וקנס בסך של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להשלמת התמונה יצוין כי פואאז וסנד הורשעו על פי הודאתם רק בעבירה של 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</w:t>
      </w:r>
      <w:r>
        <w:rPr>
          <w:rtl w:val="true"/>
        </w:rPr>
        <w:t xml:space="preserve">, </w:t>
      </w:r>
      <w:r>
        <w:rPr>
          <w:rtl w:val="true"/>
        </w:rPr>
        <w:t>ונדונו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שירוצו בדרך של עבודות שירות 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יעברו עוד עבירת נשק או אלימות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עניינו של ואאל נוהל כאמור בנפרד מעניינם של יתר הנאשמים בפרשה</w:t>
      </w:r>
      <w:r>
        <w:rPr>
          <w:rtl w:val="true"/>
        </w:rPr>
        <w:t xml:space="preserve">. </w:t>
      </w:r>
      <w:r>
        <w:rPr>
          <w:rtl w:val="true"/>
        </w:rPr>
        <w:t>בתשובתו לכתב האישום הודה ואאל בעובדות הנוגעות לעבירות הנשק באישום השני אך כפר בעבירת ההפרעה לשוטר שיוחסה לו באותו אישום</w:t>
      </w:r>
      <w:r>
        <w:rPr>
          <w:rtl w:val="true"/>
        </w:rPr>
        <w:t xml:space="preserve">. </w:t>
      </w:r>
      <w:r>
        <w:rPr>
          <w:rtl w:val="true"/>
        </w:rPr>
        <w:t>באשר לאישום הראשון מסר ואאל כי אכן נסע לשטחי הרשות הפלסטינית אך זאת כדי לתקן גנרטור</w:t>
      </w:r>
      <w:r>
        <w:rPr>
          <w:rtl w:val="true"/>
        </w:rPr>
        <w:t xml:space="preserve">, </w:t>
      </w:r>
      <w:r>
        <w:rPr>
          <w:rtl w:val="true"/>
        </w:rPr>
        <w:t>ולא היה מודע לכלי הנשק שהוטמנו בגנרטור וגילה על אודותיהם רק בדיעבד לאחר שחזר לביתו של רביע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11.9.2019</w:t>
      </w:r>
      <w:r>
        <w:rPr>
          <w:rtl w:val="true"/>
        </w:rPr>
        <w:t xml:space="preserve"> </w:t>
      </w:r>
      <w:r>
        <w:rPr>
          <w:rtl w:val="true"/>
        </w:rPr>
        <w:t>זיכה בית המשפט המחוזי את ואאל מהעבירות שיוחסו לו במסגרת האישום הראשון מחמת הספק</w:t>
      </w:r>
      <w:r>
        <w:rPr>
          <w:rtl w:val="true"/>
        </w:rPr>
        <w:t xml:space="preserve">, </w:t>
      </w:r>
      <w:r>
        <w:rPr>
          <w:rtl w:val="true"/>
        </w:rPr>
        <w:t>לאחר שמצא כי אין בראיות שהציגה המשיבה הוכחה חותכת למודעותו של ואאל להעברת הנשק הראשונה ולמעורבותו בעסקה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הרשיע את ואאל בעבירה של החזקת נשק במסגרת אישום זה</w:t>
      </w:r>
      <w:r>
        <w:rPr>
          <w:rtl w:val="true"/>
        </w:rPr>
        <w:t xml:space="preserve">, </w:t>
      </w:r>
      <w:r>
        <w:rPr>
          <w:rtl w:val="true"/>
        </w:rPr>
        <w:t>מכיוון שהוכח כי לאחר גילוי כלי הנשק החליט ואאל להחזיק בהם ולהצטלם איתם</w:t>
      </w:r>
      <w:r>
        <w:rPr>
          <w:rtl w:val="true"/>
        </w:rPr>
        <w:t xml:space="preserve">. </w:t>
      </w:r>
      <w:r>
        <w:rPr>
          <w:rtl w:val="true"/>
        </w:rPr>
        <w:t>בכל הנוגע לאישום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טענותיו של </w:t>
      </w:r>
      <w:r>
        <w:rPr>
          <w:rtl w:val="true"/>
        </w:rPr>
        <w:t>ואאל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מילוי</w:t>
      </w:r>
      <w:r>
        <w:rPr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סעיפי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eastAsia="Garamond"/>
          <w:rtl w:val="true"/>
          <w:lang w:val="en-GB"/>
        </w:rPr>
        <w:t xml:space="preserve"> </w:t>
      </w:r>
      <w:r>
        <w:rPr>
          <w:rtl w:val="true"/>
        </w:rPr>
        <w:t xml:space="preserve">בגזר הדין שניתן ביום </w:t>
      </w:r>
      <w:r>
        <w:rPr/>
        <w:t>22.12.2019</w:t>
      </w:r>
      <w:r>
        <w:rPr>
          <w:rtl w:val="true"/>
        </w:rPr>
        <w:t xml:space="preserve"> </w:t>
      </w:r>
      <w:r>
        <w:rPr>
          <w:rtl w:val="true"/>
        </w:rPr>
        <w:t xml:space="preserve">קבע בית המשפט כי מתחם הענישה ההולם 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הודאתו של ואאל באישום השני נזקפה לזכותו</w:t>
      </w:r>
      <w:r>
        <w:rPr>
          <w:rtl w:val="true"/>
        </w:rPr>
        <w:t xml:space="preserve">, </w:t>
      </w:r>
      <w:r>
        <w:rPr>
          <w:rtl w:val="true"/>
        </w:rPr>
        <w:t>כמו גם חלקו המרכזי בחשיפתם של יתר המעורבים בפרשה</w:t>
      </w:r>
      <w:r>
        <w:rPr>
          <w:rtl w:val="true"/>
        </w:rPr>
        <w:t xml:space="preserve">. </w:t>
      </w:r>
      <w:r>
        <w:rPr>
          <w:rtl w:val="true"/>
        </w:rPr>
        <w:t xml:space="preserve">כמו כן לקח בית המשפט בחשבון את גילו הצעיר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), </w:t>
      </w:r>
      <w:r>
        <w:rPr>
          <w:rtl w:val="true"/>
        </w:rPr>
        <w:t>היעדרו של עבר פלילי והחרטה שהביע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דחה את המלצת שירות המבחן לגזירת עונש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וזאת בשים לב לחומרת העבירות ולעובדה ששירות המבחן לא הצביע על סיכויי שיקום גבוהים ולא בא בהמלצה טיפולית לגביו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הטיל בית המשפט על ואאל עונש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בניכוי ימי מעצרו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עבירת נשק או אלימות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וואאל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רביע טוען כי בית המשפט שגה כאשר הרשיעו באישום הראשון בהסתמך על הפללתו על ידי ואאל</w:t>
      </w:r>
      <w:r>
        <w:rPr>
          <w:rtl w:val="true"/>
        </w:rPr>
        <w:t xml:space="preserve">, </w:t>
      </w:r>
      <w:r>
        <w:rPr>
          <w:rtl w:val="true"/>
        </w:rPr>
        <w:t>מבלי שנמצאה כל תמיכה ראייתית בהפללה זו</w:t>
      </w:r>
      <w:r>
        <w:rPr>
          <w:rtl w:val="true"/>
        </w:rPr>
        <w:t xml:space="preserve">, </w:t>
      </w:r>
      <w:r>
        <w:rPr>
          <w:rtl w:val="true"/>
        </w:rPr>
        <w:t>שהינה פרי דימיונו של ואאל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הודאתו שלו באישום זה במהלך חקירתו במשטרה פסולה לחלוטין</w:t>
      </w:r>
      <w:r>
        <w:rPr>
          <w:rtl w:val="true"/>
        </w:rPr>
        <w:t xml:space="preserve">, </w:t>
      </w:r>
      <w:r>
        <w:rPr>
          <w:rtl w:val="true"/>
        </w:rPr>
        <w:t>כאשר בית המשפט לא נתן משקל ל</w:t>
      </w:r>
      <w:r>
        <w:rPr>
          <w:rtl w:val="true"/>
        </w:rPr>
        <w:t>"</w:t>
      </w:r>
      <w:r>
        <w:rPr>
          <w:rtl w:val="true"/>
        </w:rPr>
        <w:t>טענות הזוטא</w:t>
      </w:r>
      <w:r>
        <w:rPr>
          <w:rtl w:val="true"/>
        </w:rPr>
        <w:t xml:space="preserve">" </w:t>
      </w:r>
      <w:r>
        <w:rPr>
          <w:rtl w:val="true"/>
        </w:rPr>
        <w:t>שהעלה בהתייחס להבטחות שניתנו לו על ידי המשטרה אם יודה בביצוע המעשים</w:t>
      </w:r>
      <w:r>
        <w:rPr>
          <w:rtl w:val="true"/>
        </w:rPr>
        <w:t xml:space="preserve">. </w:t>
      </w:r>
      <w:r>
        <w:rPr>
          <w:rtl w:val="true"/>
        </w:rPr>
        <w:t>גם אין כל ראיה המפלילה אותו באישום האמור</w:t>
      </w:r>
      <w:r>
        <w:rPr>
          <w:rtl w:val="true"/>
        </w:rPr>
        <w:t xml:space="preserve">, </w:t>
      </w:r>
      <w:r>
        <w:rPr>
          <w:rtl w:val="true"/>
        </w:rPr>
        <w:t>לא נתפס כל נשק על ידי המשטרה ולא נתפס כל מבצע או כל תיעוד לביצוע העבירה</w:t>
      </w:r>
      <w:r>
        <w:rPr>
          <w:rtl w:val="true"/>
        </w:rPr>
        <w:t xml:space="preserve">. </w:t>
      </w:r>
      <w:r>
        <w:rPr>
          <w:rtl w:val="true"/>
        </w:rPr>
        <w:t>לא נמצא גם כל אדם שקיבל ממנו כלי נשק בשפרעם ולטענתו אחד מהחוקרים אף העיד בבית המשפט כי ייתכן שהסיפור אינו אמיתי</w:t>
      </w:r>
      <w:r>
        <w:rPr>
          <w:rtl w:val="true"/>
        </w:rPr>
        <w:t xml:space="preserve">. </w:t>
      </w:r>
      <w:r>
        <w:rPr>
          <w:rtl w:val="true"/>
        </w:rPr>
        <w:t>עוד טוען רביע כי אם יוחס לו ולואאל ביצוע בצוותא של העבירה המתוארת באישום הראשון</w:t>
      </w:r>
      <w:r>
        <w:rPr>
          <w:rtl w:val="true"/>
        </w:rPr>
        <w:t xml:space="preserve">, </w:t>
      </w:r>
      <w:r>
        <w:rPr>
          <w:rtl w:val="true"/>
        </w:rPr>
        <w:t>לא ייתכן כי ואאל יזוכה בעוד הוא יורשע בעבירה</w:t>
      </w:r>
      <w:r>
        <w:rPr>
          <w:rtl w:val="true"/>
        </w:rPr>
        <w:t xml:space="preserve">. </w:t>
      </w:r>
      <w:r>
        <w:rPr>
          <w:rtl w:val="true"/>
        </w:rPr>
        <w:t>בכל הנוגע לגזר הדין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לא נתן מספיק משקל לנסיבותיו האישיות ולמצבו הרפואי והנפשי</w:t>
      </w:r>
      <w:r>
        <w:rPr>
          <w:rtl w:val="true"/>
        </w:rPr>
        <w:t xml:space="preserve">. </w:t>
      </w:r>
      <w:r>
        <w:rPr>
          <w:rtl w:val="true"/>
        </w:rPr>
        <w:t>גם שגה בית המשפט כאשר לא הטיל עליו עונש דומה לעונש שהוטל על פואאז וסנד</w:t>
      </w:r>
      <w:r>
        <w:rPr>
          <w:rtl w:val="true"/>
        </w:rPr>
        <w:t xml:space="preserve">, </w:t>
      </w:r>
      <w:r>
        <w:rPr>
          <w:rtl w:val="true"/>
        </w:rPr>
        <w:t>היינו מאסר בדרך של ביצוע 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 טוען כי לא היה מקום להרשיעו כלל</w:t>
      </w:r>
      <w:r>
        <w:rPr>
          <w:rtl w:val="true"/>
        </w:rPr>
        <w:t xml:space="preserve">. </w:t>
      </w:r>
      <w:r>
        <w:rPr>
          <w:rtl w:val="true"/>
        </w:rPr>
        <w:t>אין כל ראיה המוכיחה כי יצר קשר עם גורם כלשהו לקבל נשק או למסירתו</w:t>
      </w:r>
      <w:r>
        <w:rPr>
          <w:rtl w:val="true"/>
        </w:rPr>
        <w:t xml:space="preserve">. </w:t>
      </w:r>
      <w:r>
        <w:rPr>
          <w:rtl w:val="true"/>
        </w:rPr>
        <w:t>הוא לא היה צד לכל עסקה ואף לא ידע כלל על עסקת הנשק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להבדיל מפואאז וסנד</w:t>
      </w:r>
      <w:r>
        <w:rPr>
          <w:rtl w:val="true"/>
        </w:rPr>
        <w:t xml:space="preserve">, </w:t>
      </w:r>
      <w:r>
        <w:rPr>
          <w:rtl w:val="true"/>
        </w:rPr>
        <w:t>הוא עבר את המחסום</w:t>
      </w:r>
      <w:r>
        <w:rPr>
          <w:rtl w:val="true"/>
        </w:rPr>
        <w:t xml:space="preserve">, </w:t>
      </w:r>
      <w:r>
        <w:rPr>
          <w:rtl w:val="true"/>
        </w:rPr>
        <w:t>אך לא ירד מהרכב וכל זמן ביצוע העסקה היה עסוק בשיחה בטלפון</w:t>
      </w:r>
      <w:r>
        <w:rPr>
          <w:rtl w:val="true"/>
        </w:rPr>
        <w:t xml:space="preserve">. </w:t>
      </w:r>
      <w:r>
        <w:rPr>
          <w:rtl w:val="true"/>
        </w:rPr>
        <w:t>גם ג</w:t>
      </w:r>
      <w:r>
        <w:rPr>
          <w:rtl w:val="true"/>
        </w:rPr>
        <w:t>'</w:t>
      </w:r>
      <w:r>
        <w:rPr>
          <w:rtl w:val="true"/>
        </w:rPr>
        <w:t>ואד משיג על גזר הדין וטוען כי מתחם הענישה שנקבע בעניינו היה צריך להיות דומה למתחם הענישה שנקבע בעניינם של סנד ופואאז</w:t>
      </w:r>
      <w:r>
        <w:rPr>
          <w:rtl w:val="true"/>
        </w:rPr>
        <w:t xml:space="preserve">. </w:t>
      </w:r>
      <w:r>
        <w:rPr>
          <w:rtl w:val="true"/>
        </w:rPr>
        <w:t>אין גם היגיון בכך שהעונש שהושת עליו זהה לעונש שהוטל על ואאל</w:t>
      </w:r>
      <w:r>
        <w:rPr>
          <w:rtl w:val="true"/>
        </w:rPr>
        <w:t xml:space="preserve">, </w:t>
      </w:r>
      <w:r>
        <w:rPr>
          <w:rtl w:val="true"/>
        </w:rPr>
        <w:t>שמילא תפקיד מרכזי בביצוע העבירות ובהובלת כלי הנשק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ואאל טוען בערעורו כי לא היה מקום להרשיעו בהחזקת נשק בגין כך שהצטלם עם כלי הנשק</w:t>
      </w:r>
      <w:r>
        <w:rPr>
          <w:rtl w:val="true"/>
        </w:rPr>
        <w:t xml:space="preserve">, </w:t>
      </w:r>
      <w:r>
        <w:rPr>
          <w:rtl w:val="true"/>
        </w:rPr>
        <w:t>עובדה שלא נכללה בכתב האישום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אין מדובר באחד מאותם מקרים בהם היה מקום לעשות שימוש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2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 </w:t>
      </w:r>
      <w:r>
        <w:rPr>
          <w:rtl w:val="true"/>
        </w:rPr>
        <w:t>ולהרשיעו בהתבסס על עובדות שלא נטענו במסגרת כתב האישום</w:t>
      </w:r>
      <w:r>
        <w:rPr>
          <w:rtl w:val="true"/>
        </w:rPr>
        <w:t xml:space="preserve">. </w:t>
      </w:r>
      <w:r>
        <w:rPr>
          <w:rtl w:val="true"/>
        </w:rPr>
        <w:t>ואאל אינו כופר בכך שצולם מחזיק את כלי הנשק</w:t>
      </w:r>
      <w:r>
        <w:rPr>
          <w:rtl w:val="true"/>
        </w:rPr>
        <w:t xml:space="preserve">, </w:t>
      </w:r>
      <w:r>
        <w:rPr>
          <w:rtl w:val="true"/>
        </w:rPr>
        <w:t xml:space="preserve">אך טוען כי הייתה זו </w:t>
      </w:r>
      <w:r>
        <w:rPr>
          <w:rtl w:val="true"/>
        </w:rPr>
        <w:t>"</w:t>
      </w:r>
      <w:r>
        <w:rPr>
          <w:rtl w:val="true"/>
        </w:rPr>
        <w:t>אחיזה רגעית</w:t>
      </w:r>
      <w:r>
        <w:rPr>
          <w:rtl w:val="true"/>
        </w:rPr>
        <w:t xml:space="preserve">" </w:t>
      </w:r>
      <w:r>
        <w:rPr>
          <w:rtl w:val="true"/>
        </w:rPr>
        <w:t>ולא החזקה במובנה המהותי והפלילי</w:t>
      </w:r>
      <w:r>
        <w:rPr>
          <w:rtl w:val="true"/>
        </w:rPr>
        <w:t xml:space="preserve">. </w:t>
      </w:r>
      <w:r>
        <w:rPr>
          <w:rtl w:val="true"/>
        </w:rPr>
        <w:t>השליטה הבלעדית והמלאה בנשק הייתה של רביע לאורך כל השתלשלות האירועים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בכל הנוגע לגזר הדין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נתן מספיק משקל לנסיבות המקלות ולעובדה ששיתף פעולה עם המשטרה באופן מלא</w:t>
      </w:r>
      <w:r>
        <w:rPr>
          <w:rtl w:val="true"/>
        </w:rPr>
        <w:t xml:space="preserve">, </w:t>
      </w:r>
      <w:r>
        <w:rPr>
          <w:rtl w:val="true"/>
        </w:rPr>
        <w:t>ואף התעמת במסגרת חקירתו עם המעורבים האחרים שהיו חבריו קודם לכן</w:t>
      </w:r>
      <w:r>
        <w:rPr>
          <w:rtl w:val="true"/>
        </w:rPr>
        <w:t xml:space="preserve">. </w:t>
      </w:r>
      <w:r>
        <w:rPr>
          <w:rtl w:val="true"/>
        </w:rPr>
        <w:t>שיתוף הפעולה האמור הוא אף זה שהניח את הבסיס להגשת כתבי אישום נגדם</w:t>
      </w:r>
      <w:r>
        <w:rPr>
          <w:rtl w:val="true"/>
        </w:rPr>
        <w:t xml:space="preserve">. </w:t>
      </w:r>
      <w:r>
        <w:rPr>
          <w:rtl w:val="true"/>
        </w:rPr>
        <w:t>גם ואאל מפנה לעונש שהושת על סנד ופואאז וטוען כי עונשו היה צריך להיות דומה לעונש שהוטל עליהם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lang w:val="en-GB"/>
        </w:rPr>
      </w:pPr>
      <w:r>
        <w:rPr>
          <w:rtl w:val="true"/>
        </w:rPr>
        <w:t>המשיבה טענה מנגד כי דין שלושת הערעורים להידחות</w:t>
      </w:r>
      <w:r>
        <w:rPr>
          <w:rtl w:val="true"/>
        </w:rPr>
        <w:t xml:space="preserve">, </w:t>
      </w:r>
      <w:r>
        <w:rPr>
          <w:rtl w:val="true"/>
        </w:rPr>
        <w:t>בהתחשב בכך שהכרעת הדין בעניינו של כל אחד מהם התבססה על קביעות עובדתיות והערכת מהימנות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שאין עילה להתערב בהן</w:t>
      </w:r>
      <w:r>
        <w:rPr>
          <w:rtl w:val="true"/>
        </w:rPr>
        <w:t xml:space="preserve">. </w:t>
      </w:r>
      <w:r>
        <w:rPr>
          <w:rtl w:val="true"/>
        </w:rPr>
        <w:t>באופן ספציפי באשר לערעורו של רביע על הכרעת הדין</w:t>
      </w:r>
      <w:r>
        <w:rPr>
          <w:rtl w:val="true"/>
        </w:rPr>
        <w:t xml:space="preserve">, </w:t>
      </w:r>
      <w:r>
        <w:rPr>
          <w:rtl w:val="true"/>
        </w:rPr>
        <w:t>נטען כי אין בטיעוניו דבר אשר יצדיק סטייה מהכלל בדבר התערבות בממצאי עובדה ומהימנות של הערכאה הדיונית</w:t>
      </w:r>
      <w:r>
        <w:rPr>
          <w:rtl w:val="true"/>
        </w:rPr>
        <w:t xml:space="preserve">. </w:t>
      </w:r>
      <w:r>
        <w:rPr>
          <w:rtl w:val="true"/>
        </w:rPr>
        <w:t>בניגוד לטענתו של רביע בערעור כי בית המשפט לא נתן משקל לטענות שהעלה בקשר לפסלות ההודאה שמסר במשטרה</w:t>
      </w:r>
      <w:r>
        <w:rPr>
          <w:rtl w:val="true"/>
        </w:rPr>
        <w:t xml:space="preserve">, </w:t>
      </w:r>
      <w:r>
        <w:rPr>
          <w:rtl w:val="true"/>
        </w:rPr>
        <w:t>בית המשפט המחוזי אכן בחן לעומק את טענת הזוטא שהעלה</w:t>
      </w:r>
      <w:r>
        <w:rPr>
          <w:rtl w:val="true"/>
        </w:rPr>
        <w:t xml:space="preserve">, </w:t>
      </w:r>
      <w:r>
        <w:rPr>
          <w:rtl w:val="true"/>
        </w:rPr>
        <w:t>ומצא לאחר בחינת הראיות</w:t>
      </w:r>
      <w:r>
        <w:rPr>
          <w:rtl w:val="true"/>
        </w:rPr>
        <w:t xml:space="preserve">, </w:t>
      </w:r>
      <w:r>
        <w:rPr>
          <w:rtl w:val="true"/>
        </w:rPr>
        <w:t>עדויותיהם של החוקרים ועדותו של רביע</w:t>
      </w:r>
      <w:r>
        <w:rPr>
          <w:rtl w:val="true"/>
        </w:rPr>
        <w:t xml:space="preserve">, </w:t>
      </w:r>
      <w:r>
        <w:rPr>
          <w:rtl w:val="true"/>
        </w:rPr>
        <w:t>כי הודאתו במשטרה ניתנה מרצונו החופשי</w:t>
      </w:r>
      <w:r>
        <w:rPr>
          <w:rtl w:val="true"/>
        </w:rPr>
        <w:t xml:space="preserve">. </w:t>
      </w:r>
      <w:r>
        <w:rPr>
          <w:rtl w:val="true"/>
        </w:rPr>
        <w:t>באשר לזיכויו של ואאל מהאישום הראשון</w:t>
      </w:r>
      <w:r>
        <w:rPr>
          <w:rtl w:val="true"/>
        </w:rPr>
        <w:t xml:space="preserve">, </w:t>
      </w:r>
      <w:r>
        <w:rPr>
          <w:rtl w:val="true"/>
        </w:rPr>
        <w:t>עמדה המשיבה על כך שלזיכוי אין כל השלכה לאחריותו של רביע</w:t>
      </w:r>
      <w:r>
        <w:rPr>
          <w:rtl w:val="true"/>
        </w:rPr>
        <w:t xml:space="preserve">, </w:t>
      </w:r>
      <w:r>
        <w:rPr>
          <w:rtl w:val="true"/>
        </w:rPr>
        <w:t>שכן לגרסתו של ואאל</w:t>
      </w:r>
      <w:r>
        <w:rPr>
          <w:rtl w:val="true"/>
        </w:rPr>
        <w:t xml:space="preserve">, </w:t>
      </w:r>
      <w:r>
        <w:rPr>
          <w:rtl w:val="true"/>
        </w:rPr>
        <w:t>רביע היה זה ששלח אותו</w:t>
      </w:r>
      <w:r>
        <w:rPr>
          <w:rtl w:val="true"/>
        </w:rPr>
        <w:t xml:space="preserve">, </w:t>
      </w:r>
      <w:r>
        <w:rPr>
          <w:rtl w:val="true"/>
        </w:rPr>
        <w:t>הוציא את כלי הנשק מהרכב ואף שילם לו תמורה עבור השליחות שביצע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גם בעניינו של ג</w:t>
      </w:r>
      <w:r>
        <w:rPr>
          <w:rtl w:val="true"/>
        </w:rPr>
        <w:t>'</w:t>
      </w:r>
      <w:r>
        <w:rPr>
          <w:rtl w:val="true"/>
        </w:rPr>
        <w:t>ואד הכרעת הדין מבוססת על קביעות עובדה ומהימנות מובהקות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שאין כל בסיס בערעור המצדיק התערבות בהן</w:t>
      </w:r>
      <w:r>
        <w:rPr>
          <w:rtl w:val="true"/>
        </w:rPr>
        <w:t xml:space="preserve">. </w:t>
      </w:r>
      <w:r>
        <w:rPr>
          <w:rtl w:val="true"/>
        </w:rPr>
        <w:t>על סמך מכלול הראיות כמו גם העדויות שנשמעו לפניו</w:t>
      </w:r>
      <w:r>
        <w:rPr>
          <w:rtl w:val="true"/>
        </w:rPr>
        <w:t xml:space="preserve">, </w:t>
      </w:r>
      <w:r>
        <w:rPr>
          <w:rtl w:val="true"/>
        </w:rPr>
        <w:t>קבע בית המשפט כי ג</w:t>
      </w:r>
      <w:r>
        <w:rPr>
          <w:rtl w:val="true"/>
        </w:rPr>
        <w:t>'</w:t>
      </w:r>
      <w:r>
        <w:rPr>
          <w:rtl w:val="true"/>
        </w:rPr>
        <w:t>ואד היה מודע לעסקת הנשק</w:t>
      </w:r>
      <w:r>
        <w:rPr>
          <w:rtl w:val="true"/>
        </w:rPr>
        <w:t xml:space="preserve">, </w:t>
      </w:r>
      <w:r>
        <w:rPr>
          <w:rtl w:val="true"/>
        </w:rPr>
        <w:t>בעוד שנדחתה גרסתו לפיה לא היה מודע לעסקה</w:t>
      </w:r>
      <w:r>
        <w:rPr>
          <w:rtl w:val="true"/>
        </w:rPr>
        <w:t xml:space="preserve">, </w:t>
      </w:r>
      <w:r>
        <w:rPr>
          <w:rtl w:val="true"/>
        </w:rPr>
        <w:t>אשר נמצאה כי היא אינה אמינה ואינה הגיונית</w:t>
      </w:r>
      <w:r>
        <w:rPr>
          <w:rtl w:val="true"/>
        </w:rPr>
        <w:t xml:space="preserve">. </w:t>
      </w:r>
      <w:r>
        <w:rPr>
          <w:rtl w:val="true"/>
        </w:rPr>
        <w:t>אין ממש גם בטענת ג</w:t>
      </w:r>
      <w:r>
        <w:rPr>
          <w:rtl w:val="true"/>
        </w:rPr>
        <w:t>'</w:t>
      </w:r>
      <w:r>
        <w:rPr>
          <w:rtl w:val="true"/>
        </w:rPr>
        <w:t>ואד כי אין הבדל בינו לבין סנד ופואאז</w:t>
      </w:r>
      <w:r>
        <w:rPr>
          <w:rtl w:val="true"/>
        </w:rPr>
        <w:t xml:space="preserve">, </w:t>
      </w:r>
      <w:r>
        <w:rPr>
          <w:rtl w:val="true"/>
        </w:rPr>
        <w:t>שהורשעו על פי הודאתם רק בעבירה של 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</w:t>
      </w:r>
      <w:r>
        <w:rPr>
          <w:rtl w:val="true"/>
        </w:rPr>
        <w:t xml:space="preserve">, </w:t>
      </w:r>
      <w:r>
        <w:rPr>
          <w:rtl w:val="true"/>
        </w:rPr>
        <w:t>בעוד שג</w:t>
      </w:r>
      <w:r>
        <w:rPr>
          <w:rtl w:val="true"/>
        </w:rPr>
        <w:t>'</w:t>
      </w:r>
      <w:r>
        <w:rPr>
          <w:rtl w:val="true"/>
        </w:rPr>
        <w:t xml:space="preserve">ואד הורשע בעבירה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שעניינה ביצוע עסקה בנשק</w:t>
      </w:r>
      <w:r>
        <w:rPr>
          <w:rtl w:val="true"/>
        </w:rPr>
        <w:t xml:space="preserve">. </w:t>
      </w:r>
      <w:r>
        <w:rPr>
          <w:rtl w:val="true"/>
        </w:rPr>
        <w:t>להבדיל מג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פואאז וסנד לא השתתפו בשיחה עם רביע ולא היו מודעים לפרטי העסקה</w:t>
      </w:r>
      <w:r>
        <w:rPr>
          <w:rtl w:val="true"/>
        </w:rPr>
        <w:t xml:space="preserve">. </w:t>
      </w:r>
      <w:r>
        <w:rPr>
          <w:rtl w:val="true"/>
        </w:rPr>
        <w:t>פואאז וסנד גם לא נכנסו לשטחי הרשות הפלסטינית עם ואאל ולא ראו את העברת כלי הנשק</w:t>
      </w:r>
      <w:r>
        <w:rPr>
          <w:rtl w:val="true"/>
        </w:rPr>
        <w:t xml:space="preserve">, </w:t>
      </w:r>
      <w:r>
        <w:rPr>
          <w:rtl w:val="true"/>
        </w:rPr>
        <w:t>החלפת הכסף והחבאת כלי הנשק מתחת למושב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כל טעות בהרשעתו של ג</w:t>
      </w:r>
      <w:r>
        <w:rPr>
          <w:rtl w:val="true"/>
        </w:rPr>
        <w:t>'</w:t>
      </w:r>
      <w:r>
        <w:rPr>
          <w:rtl w:val="true"/>
        </w:rPr>
        <w:t>ואד בעבירה שיוחסה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גם באשר לעניינו של ואאל טוענת המשיבה כי לא קיימת כל עילה להתערבות בהכרעת דינו</w:t>
      </w:r>
      <w:r>
        <w:rPr>
          <w:rtl w:val="true"/>
        </w:rPr>
        <w:t xml:space="preserve">. </w:t>
      </w:r>
      <w:r>
        <w:rPr>
          <w:rtl w:val="true"/>
        </w:rPr>
        <w:t>לעניין טענתו של ואאל בקשר להרשעתו בעבירת החזקת הנשק</w:t>
      </w:r>
      <w:r>
        <w:rPr>
          <w:rtl w:val="true"/>
        </w:rPr>
        <w:t xml:space="preserve">, </w:t>
      </w:r>
      <w:r>
        <w:rPr>
          <w:rtl w:val="true"/>
        </w:rPr>
        <w:t>הרי שואאל הודה שהחזיק את הנשק והצטלם איתו ומעשיו מקיימים את יסודות העבירה</w:t>
      </w:r>
      <w:r>
        <w:rPr>
          <w:rtl w:val="true"/>
        </w:rPr>
        <w:t xml:space="preserve">. </w:t>
      </w:r>
      <w:r>
        <w:rPr>
          <w:rtl w:val="true"/>
        </w:rPr>
        <w:t>המשיבה עמדה על כך שלא ציינה את עובדת החזקת הנשק על ידי ואאל בכתב האישום מכיוון שהוא הואשם בעבירות חמורות יותר של עסקה בנשק ונשיאה והובלה של נשק</w:t>
      </w:r>
      <w:r>
        <w:rPr>
          <w:rtl w:val="true"/>
        </w:rPr>
        <w:t xml:space="preserve">, </w:t>
      </w:r>
      <w:r>
        <w:rPr>
          <w:rtl w:val="true"/>
        </w:rPr>
        <w:t>ובנסיבות אלו עבירת ההחזקה נבלעה בעבירות החמורות יותר</w:t>
      </w:r>
      <w:r>
        <w:rPr>
          <w:rtl w:val="true"/>
        </w:rPr>
        <w:t xml:space="preserve">. </w:t>
      </w:r>
      <w:r>
        <w:rPr>
          <w:rtl w:val="true"/>
        </w:rPr>
        <w:t>משזוכה ואאל מהעבירות המיוחסות לו בכתב האישום ומשהודה בהחזקת הנשק לאחר הגעתו לביתו של רביע</w:t>
      </w:r>
      <w:r>
        <w:rPr>
          <w:rtl w:val="true"/>
        </w:rPr>
        <w:t xml:space="preserve">, </w:t>
      </w:r>
      <w:r>
        <w:rPr>
          <w:rtl w:val="true"/>
        </w:rPr>
        <w:t>לא נפלה כל טעות בהרשעתו בעבירה של החזקת נשק</w:t>
      </w:r>
      <w:r>
        <w:rPr>
          <w:rtl w:val="true"/>
        </w:rPr>
        <w:t xml:space="preserve">. </w:t>
      </w:r>
      <w:r>
        <w:rPr>
          <w:rtl w:val="true"/>
        </w:rPr>
        <w:t>טענותיו של ואאל באשר למשך ההחזקה בנשק ומטרותיה</w:t>
      </w:r>
      <w:r>
        <w:rPr>
          <w:rtl w:val="true"/>
        </w:rPr>
        <w:t xml:space="preserve">, </w:t>
      </w:r>
      <w:r>
        <w:rPr>
          <w:rtl w:val="true"/>
        </w:rPr>
        <w:t>עשויות להילקח בחשבון לעניין גזירת העונש אך הן אינן רלוונטיות בעת בחינת קיום יסודות העבירה והרשעה 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בכל הנוגע לעונשים שהושתו על כל שלושת המערערים במסגרת גזרי הדין</w:t>
      </w:r>
      <w:r>
        <w:rPr>
          <w:rtl w:val="true"/>
        </w:rPr>
        <w:t xml:space="preserve">, </w:t>
      </w:r>
      <w:r>
        <w:rPr>
          <w:rtl w:val="true"/>
        </w:rPr>
        <w:t>המשיבה טענה כי אין מקום להתערב בהם וכי העונשים שהוטלו על המערערים הולמים את חומרת מעשיהם</w:t>
      </w:r>
      <w:r>
        <w:rPr>
          <w:rtl w:val="true"/>
        </w:rPr>
        <w:t xml:space="preserve">, </w:t>
      </w:r>
      <w:r>
        <w:rPr>
          <w:rtl w:val="true"/>
        </w:rPr>
        <w:t>איש איש ועונשו</w:t>
      </w:r>
      <w:r>
        <w:rPr>
          <w:rtl w:val="true"/>
        </w:rPr>
        <w:t xml:space="preserve">, </w:t>
      </w:r>
      <w:r>
        <w:rPr>
          <w:rtl w:val="true"/>
        </w:rPr>
        <w:t>ואת מדיניות הענישה הנוהגת בעבירות נשק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עיון בפסקי הדין מושא הערעורים</w:t>
      </w:r>
      <w:r>
        <w:rPr>
          <w:rtl w:val="true"/>
        </w:rPr>
        <w:t xml:space="preserve">, </w:t>
      </w:r>
      <w:r>
        <w:rPr>
          <w:rtl w:val="true"/>
        </w:rPr>
        <w:t>בכתבי הערעור ובעיקרי הטיעון שהוגשו מטעם המשיבה</w:t>
      </w:r>
      <w:r>
        <w:rPr>
          <w:rtl w:val="true"/>
        </w:rPr>
        <w:t xml:space="preserve">, </w:t>
      </w:r>
      <w:r>
        <w:rPr>
          <w:rtl w:val="true"/>
        </w:rPr>
        <w:t>ושמיעת טענות הצדדים בדיון שנערך לפנינו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הערעורים להידחות 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תחילה לערעורו של רביע</w:t>
      </w:r>
      <w:r>
        <w:rPr>
          <w:rtl w:val="true"/>
        </w:rPr>
        <w:t xml:space="preserve">.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ערעור זה מופנה כלפי ממצאי עובדה ומהימנות של הערכאה המבררת</w:t>
      </w:r>
      <w:r>
        <w:rPr>
          <w:rtl w:val="true"/>
        </w:rPr>
        <w:t xml:space="preserve">, </w:t>
      </w:r>
      <w:r>
        <w:rPr>
          <w:rtl w:val="true"/>
        </w:rPr>
        <w:t xml:space="preserve">שאין זה מדרכה של ערכאת ערעור להתערב בהם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30.7.2020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16.12.2019</w:t>
      </w:r>
      <w:r>
        <w:rPr>
          <w:rtl w:val="true"/>
        </w:rPr>
        <w:t xml:space="preserve">)). </w:t>
      </w:r>
      <w:r>
        <w:rPr>
          <w:rtl w:val="true"/>
        </w:rPr>
        <w:t>רביע לא הצביע בערעורו על כל טעם המצדיק סטייה מכלל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הרשעתו של רביע באישום הראשון התבססה על ראיות רבות</w:t>
      </w:r>
      <w:r>
        <w:rPr>
          <w:rtl w:val="true"/>
        </w:rPr>
        <w:t xml:space="preserve">. </w:t>
      </w:r>
      <w:r>
        <w:rPr>
          <w:rtl w:val="true"/>
        </w:rPr>
        <w:t>ואאל מסר כאמור גרסה המפלילה את רביע בחקירתו במשטרה</w:t>
      </w:r>
      <w:r>
        <w:rPr>
          <w:rtl w:val="true"/>
        </w:rPr>
        <w:t xml:space="preserve">, </w:t>
      </w:r>
      <w:r>
        <w:rPr>
          <w:rtl w:val="true"/>
        </w:rPr>
        <w:t>במסגרתה סיפר כי באירוע הראשון נשלח לשטחי הרשות על ידי רביע</w:t>
      </w:r>
      <w:r>
        <w:rPr>
          <w:rtl w:val="true"/>
        </w:rPr>
        <w:t xml:space="preserve">. </w:t>
      </w:r>
      <w:r>
        <w:rPr>
          <w:rtl w:val="true"/>
        </w:rPr>
        <w:t>גרסה זו הועדפה על פני עדותו של ואאל בבית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רביע אף הודה בחקירתו במשטרה מיום </w:t>
      </w:r>
      <w:r>
        <w:rPr/>
        <w:t>13.3.2018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37-35</w:t>
      </w:r>
      <w:r>
        <w:rPr>
          <w:rtl w:val="true"/>
        </w:rPr>
        <w:t xml:space="preserve">) </w:t>
      </w:r>
      <w:r>
        <w:rPr>
          <w:rtl w:val="true"/>
        </w:rPr>
        <w:t>כי הוא שלח את ואאל להביא לו שני כלי נשק מהרשות מאדם בשם אבו אדהם</w:t>
      </w:r>
      <w:r>
        <w:rPr>
          <w:rtl w:val="true"/>
        </w:rPr>
        <w:t xml:space="preserve">, </w:t>
      </w:r>
      <w:r>
        <w:rPr>
          <w:rtl w:val="true"/>
        </w:rPr>
        <w:t>אותם העביר לתושב שפרעם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בעימות שנערך בין רביע לואאל</w:t>
      </w:r>
      <w:r>
        <w:rPr>
          <w:rtl w:val="true"/>
        </w:rPr>
        <w:t xml:space="preserve">, </w:t>
      </w:r>
      <w:r>
        <w:rPr>
          <w:rtl w:val="true"/>
        </w:rPr>
        <w:t xml:space="preserve">הטיח רביע בואאל כי הוא משקר וכי ידע שהוא הולך להביא כלי נשק גם בפעם הראשונה בה נסע לרשות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65</w:t>
      </w:r>
      <w:r>
        <w:rPr>
          <w:rtl w:val="true"/>
        </w:rPr>
        <w:t xml:space="preserve">). </w:t>
      </w:r>
      <w:r>
        <w:rPr>
          <w:rtl w:val="true"/>
        </w:rPr>
        <w:t>בחקירתו הנגדית בבית המשפט התבקש רביע ליישב את גרסתו לפיה לא היה מעורב כלל באירוע המתואר באישום הראשון לבין העובדה שהיה לו ידע לפרטי פרטים על נסיבות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וכך נאמר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6.1.2019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87-86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כשאתה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שבארה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...' </w:t>
      </w:r>
      <w:r>
        <w:rPr>
          <w:rtl w:val="true"/>
        </w:rPr>
        <w:t>מאיפה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האלו</w:t>
      </w:r>
      <w:r>
        <w:rPr>
          <w:rtl w:val="true"/>
        </w:rPr>
        <w:t xml:space="preserve">? </w:t>
      </w:r>
      <w:r>
        <w:rPr>
          <w:rtl w:val="true"/>
        </w:rPr>
        <w:t>ניחשת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."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ואאל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6.1.2019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104-103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ואאל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ששניכם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ושניכם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לואאל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התכוונתי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ואאל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'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לואאל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”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בכדי אפוא</w:t>
      </w:r>
      <w:r>
        <w:rPr>
          <w:rtl w:val="true"/>
        </w:rPr>
        <w:t xml:space="preserve">, </w:t>
      </w:r>
      <w:r>
        <w:rPr>
          <w:rtl w:val="true"/>
        </w:rPr>
        <w:t>אימץ בית המשפט את הודעותיהם של ואאל ושל רביע במשטרה והעדיף אותן על פני עדויותיהם לפניו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ראיות אובייקטיביות נוספות קושרות את רביע לעבירה</w:t>
      </w:r>
      <w:r>
        <w:rPr>
          <w:rtl w:val="true"/>
        </w:rPr>
        <w:t xml:space="preserve">.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 xml:space="preserve">פלט נסיעה של הרכב בכביש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4.3.2018</w:t>
      </w:r>
      <w:r>
        <w:rPr>
          <w:rtl w:val="true"/>
        </w:rPr>
        <w:t xml:space="preserve">, </w:t>
      </w:r>
      <w:r>
        <w:rPr>
          <w:rtl w:val="true"/>
        </w:rPr>
        <w:t xml:space="preserve">התאריך בו בוצעו העבירות המפורטות באישום הראשון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 xml:space="preserve">); </w:t>
      </w:r>
      <w:r>
        <w:rPr>
          <w:rtl w:val="true"/>
        </w:rPr>
        <w:t xml:space="preserve">איכון הטלפון של ואאל מיום </w:t>
      </w:r>
      <w:r>
        <w:rPr/>
        <w:t>4.3.2018</w:t>
      </w:r>
      <w:r>
        <w:rPr>
          <w:rtl w:val="true"/>
        </w:rPr>
        <w:t xml:space="preserve">, </w:t>
      </w:r>
      <w:r>
        <w:rPr>
          <w:rtl w:val="true"/>
        </w:rPr>
        <w:t>שמראה כי באותו יום הגיע מאזור דלית אל</w:t>
      </w:r>
      <w:r>
        <w:rPr>
          <w:rtl w:val="true"/>
        </w:rPr>
        <w:t>-</w:t>
      </w:r>
      <w:r>
        <w:rPr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 xml:space="preserve">דרך כביש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אל אזור מחסום תאנים וחזרה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 xml:space="preserve">); </w:t>
      </w:r>
      <w:r>
        <w:rPr>
          <w:rtl w:val="true"/>
        </w:rPr>
        <w:t xml:space="preserve">שיחות רבות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 </w:t>
      </w:r>
      <w:r>
        <w:rPr>
          <w:rtl w:val="true"/>
        </w:rPr>
        <w:t xml:space="preserve">שהתקיימו בין רביע לבין ואאל ביום </w:t>
      </w:r>
      <w:r>
        <w:rPr/>
        <w:t>4.3.2018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); </w:t>
      </w:r>
      <w:r>
        <w:rPr>
          <w:rtl w:val="true"/>
        </w:rPr>
        <w:t>התמונות שנמצאו במכשיר הטלפון של ואאל</w:t>
      </w:r>
      <w:r>
        <w:rPr>
          <w:rtl w:val="true"/>
        </w:rPr>
        <w:t xml:space="preserve">, </w:t>
      </w:r>
      <w:r>
        <w:rPr>
          <w:rtl w:val="true"/>
        </w:rPr>
        <w:t xml:space="preserve">בהן הוא נראה מחזיק בנשק ובחקירתו ציין כי הן צולמו ביום </w:t>
      </w:r>
      <w:r>
        <w:rPr/>
        <w:t>4.3.2018</w:t>
      </w:r>
      <w:r>
        <w:rPr>
          <w:rtl w:val="true"/>
        </w:rPr>
        <w:t xml:space="preserve"> </w:t>
      </w:r>
      <w:r>
        <w:rPr>
          <w:rtl w:val="true"/>
        </w:rPr>
        <w:t xml:space="preserve">בביתו של רביע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בנוגע לעסקה שבוצעה ביום </w:t>
      </w:r>
      <w:r>
        <w:rPr/>
        <w:t>4.3.2018</w:t>
      </w:r>
      <w:r>
        <w:rPr>
          <w:rtl w:val="true"/>
        </w:rPr>
        <w:t xml:space="preserve"> </w:t>
      </w:r>
      <w:r>
        <w:rPr>
          <w:rtl w:val="true"/>
        </w:rPr>
        <w:t>וצולמו בתאריך זה</w:t>
      </w:r>
      <w:r>
        <w:rPr>
          <w:rtl w:val="true"/>
        </w:rPr>
        <w:t xml:space="preserve">; </w:t>
      </w:r>
      <w:r>
        <w:rPr>
          <w:rtl w:val="true"/>
        </w:rPr>
        <w:t xml:space="preserve">איכון מכשיר הטלפון של רביע מיום </w:t>
      </w:r>
      <w:r>
        <w:rPr/>
        <w:t>4.3.2018</w:t>
      </w:r>
      <w:r>
        <w:rPr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, </w:t>
      </w:r>
      <w:r>
        <w:rPr>
          <w:rtl w:val="true"/>
        </w:rPr>
        <w:t>המקום בו נמסרו כלי הנשק</w:t>
      </w:r>
      <w:r>
        <w:rPr>
          <w:rtl w:val="true"/>
        </w:rPr>
        <w:t xml:space="preserve">. </w:t>
      </w:r>
      <w:r>
        <w:rPr>
          <w:rtl w:val="true"/>
        </w:rPr>
        <w:t>הרשעתו של רביע באישום הראשון הייתה אפוא מבוססת כדבעי ולא עלה בידיו להעלות במסגרת הערעור כל טענה שעשויה להוביל לשינוי התוצאה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בית המשפט בחן לעומק את טענת הזוטא של רביע ומצא כי הודאתו במשטרה ניתנה מרצונו החופשי</w:t>
      </w:r>
      <w:r>
        <w:rPr>
          <w:rtl w:val="true"/>
        </w:rPr>
        <w:t xml:space="preserve">. </w:t>
      </w:r>
      <w:r>
        <w:rPr>
          <w:rtl w:val="true"/>
        </w:rPr>
        <w:t>קביעה זו</w:t>
      </w:r>
      <w:r>
        <w:rPr>
          <w:rtl w:val="true"/>
        </w:rPr>
        <w:t xml:space="preserve">, </w:t>
      </w:r>
      <w:r>
        <w:rPr>
          <w:rtl w:val="true"/>
        </w:rPr>
        <w:t>כמו קביעות נוספות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התבססה על ממצאי מהימנות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ציין כי עדותו של רביע </w:t>
      </w:r>
      <w:r>
        <w:rPr>
          <w:rtl w:val="true"/>
        </w:rPr>
        <w:t>"</w:t>
      </w:r>
      <w:r>
        <w:rPr>
          <w:rtl w:val="true"/>
        </w:rPr>
        <w:t>לא הייתה מהימנה עלי בלשון המעטה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 </w:t>
      </w:r>
      <w:r>
        <w:rPr>
          <w:rtl w:val="true"/>
        </w:rPr>
        <w:t>ולעומת זאת מצא בית המשפט את עדויות החוקרים שהעידו על נסיבות מסירת הודאתו מהימנות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בנוגע לטענת האיומים על ידי חוקרי המשטרה</w:t>
      </w:r>
      <w:r>
        <w:rPr>
          <w:rtl w:val="true"/>
        </w:rPr>
        <w:t xml:space="preserve">, </w:t>
      </w:r>
      <w:r>
        <w:rPr>
          <w:rtl w:val="true"/>
        </w:rPr>
        <w:t>בחקירתו הנגדית לא הצליח רביע למסור גרסה סבירה</w:t>
      </w:r>
      <w:r>
        <w:rPr>
          <w:rtl w:val="true"/>
        </w:rPr>
        <w:t xml:space="preserve">. </w:t>
      </w:r>
      <w:r>
        <w:rPr>
          <w:rtl w:val="true"/>
        </w:rPr>
        <w:t xml:space="preserve">וכך אמר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6.1.2019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start="1360" w:end="1985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אשתך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1360" w:end="1985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החוקר עונה לי שיש דברים שהם לא יכולים לעשות</w:t>
      </w:r>
      <w:r>
        <w:rPr>
          <w:rtl w:val="true"/>
        </w:rPr>
        <w:t xml:space="preserve">. </w:t>
      </w:r>
      <w:r>
        <w:rPr>
          <w:rtl w:val="true"/>
        </w:rPr>
        <w:t>שאסור לי להפגש עם אשתי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lang w:val="en-GB"/>
        </w:rPr>
      </w:pPr>
      <w:r>
        <w:rPr>
          <w:rtl w:val="true"/>
        </w:rPr>
        <w:t>ובאשר לזיכויו של ואאל מהאישום הראשון בעוד רביע הורשע בו</w:t>
      </w:r>
      <w:r>
        <w:rPr>
          <w:rtl w:val="true"/>
        </w:rPr>
        <w:t xml:space="preserve">. </w:t>
      </w:r>
      <w:r>
        <w:rPr>
          <w:rtl w:val="true"/>
        </w:rPr>
        <w:t xml:space="preserve">עניינו של ואאל נוהל בהליך נפרד וזיכויו של ואאל מהאישום התבסס על כך שלא הוכחה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מודעותו</w:t>
      </w:r>
      <w:r>
        <w:rPr>
          <w:rtl w:val="true"/>
        </w:rPr>
        <w:t xml:space="preserve"> להעברת כלי הנשק באירוע המתואר באישום הראשון במידת ההוכחה הנדרשת</w:t>
      </w:r>
      <w:r>
        <w:rPr>
          <w:rtl w:val="true"/>
        </w:rPr>
        <w:t xml:space="preserve">. </w:t>
      </w:r>
      <w:r>
        <w:rPr>
          <w:rtl w:val="true"/>
        </w:rPr>
        <w:t>זאת לאחר שהתקבלה גרסתו של ואאל</w:t>
      </w:r>
      <w:r>
        <w:rPr>
          <w:rtl w:val="true"/>
        </w:rPr>
        <w:t xml:space="preserve">. </w:t>
      </w:r>
      <w:r>
        <w:rPr>
          <w:rtl w:val="true"/>
        </w:rPr>
        <w:t>בזיכויו של ואאל אין אפוא סתירה עם הרשעתו של רביע</w:t>
      </w:r>
      <w:r>
        <w:rPr>
          <w:rtl w:val="true"/>
        </w:rPr>
        <w:t xml:space="preserve">, </w:t>
      </w:r>
      <w:r>
        <w:rPr>
          <w:rtl w:val="true"/>
        </w:rPr>
        <w:t xml:space="preserve">והוא אף עולה בקנה אחד עם הרשעתו של רביע שעה שעל פי גרסתו של ואאל </w:t>
      </w:r>
      <w:r>
        <w:rPr>
          <w:rtl w:val="true"/>
        </w:rPr>
        <w:t>(</w:t>
      </w:r>
      <w:r>
        <w:rPr>
          <w:rtl w:val="true"/>
        </w:rPr>
        <w:t>שהתקבלה כאמור</w:t>
      </w:r>
      <w:r>
        <w:rPr>
          <w:rtl w:val="true"/>
        </w:rPr>
        <w:t xml:space="preserve">) </w:t>
      </w:r>
      <w:r>
        <w:rPr>
          <w:rtl w:val="true"/>
        </w:rPr>
        <w:t>רביע שלח אותו להביא את כלי הנשק</w:t>
      </w:r>
      <w:r>
        <w:rPr>
          <w:rtl w:val="true"/>
        </w:rPr>
        <w:t xml:space="preserve">, </w:t>
      </w:r>
      <w:r>
        <w:rPr>
          <w:rtl w:val="true"/>
        </w:rPr>
        <w:t>הוציא אותם מהגנרטור ואף שילם לו תמורה עבור ביצוע השליחות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גם הרשעתו של ג</w:t>
      </w:r>
      <w:r>
        <w:rPr>
          <w:rtl w:val="true"/>
        </w:rPr>
        <w:t>'</w:t>
      </w:r>
      <w:r>
        <w:rPr>
          <w:rtl w:val="true"/>
        </w:rPr>
        <w:t>ואד מבוססת על קביעות עובדה ומהימנות של בית המשפט המחוזי ולא מצאתי כל בסיס המצדיק התערבות בהן</w:t>
      </w:r>
      <w:r>
        <w:rPr>
          <w:rtl w:val="true"/>
        </w:rPr>
        <w:t xml:space="preserve">. </w:t>
      </w:r>
      <w:r>
        <w:rPr>
          <w:rtl w:val="true"/>
        </w:rPr>
        <w:t>על סמך הראיות שהובאו לפניו קבע בית המשפט כי ג</w:t>
      </w:r>
      <w:r>
        <w:rPr>
          <w:rtl w:val="true"/>
        </w:rPr>
        <w:t>'</w:t>
      </w:r>
      <w:r>
        <w:rPr>
          <w:rtl w:val="true"/>
        </w:rPr>
        <w:t>ואד היה מודע לעסקת הנשק וכי גרסתו לפיה לא היה מודע לעסקה אינה אמינה ואינה הגיונית</w:t>
      </w:r>
      <w:r>
        <w:rPr>
          <w:rtl w:val="true"/>
        </w:rPr>
        <w:t xml:space="preserve">. </w:t>
      </w:r>
      <w:r>
        <w:rPr>
          <w:rtl w:val="true"/>
        </w:rPr>
        <w:t>הרשעתו של ג</w:t>
      </w:r>
      <w:r>
        <w:rPr>
          <w:rtl w:val="true"/>
        </w:rPr>
        <w:t>'</w:t>
      </w:r>
      <w:r>
        <w:rPr>
          <w:rtl w:val="true"/>
        </w:rPr>
        <w:t>ואד התבססה על מספר אדנים</w:t>
      </w:r>
      <w:r>
        <w:rPr>
          <w:rtl w:val="true"/>
        </w:rPr>
        <w:t xml:space="preserve">: </w:t>
      </w:r>
      <w:r>
        <w:rPr>
          <w:rtl w:val="true"/>
        </w:rPr>
        <w:t>הודעותיו של ואאל במשטרה</w:t>
      </w:r>
      <w:r>
        <w:rPr>
          <w:rtl w:val="true"/>
        </w:rPr>
        <w:t xml:space="preserve">, </w:t>
      </w:r>
      <w:r>
        <w:rPr>
          <w:rtl w:val="true"/>
        </w:rPr>
        <w:t>אותן העדיף כאמור על פני עדותו בבית המשפט</w:t>
      </w:r>
      <w:r>
        <w:rPr>
          <w:rtl w:val="true"/>
        </w:rPr>
        <w:t xml:space="preserve">, </w:t>
      </w:r>
      <w:r>
        <w:rPr>
          <w:rtl w:val="true"/>
        </w:rPr>
        <w:t>בהן מסר ואאל כי באירוע השני הוא הגיע לביתו של רביע יחד עם 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שם ביקש ממנו רביע להעביר פעם נוספת כלי נשק מהרשות</w:t>
      </w:r>
      <w:r>
        <w:rPr>
          <w:rtl w:val="true"/>
        </w:rPr>
        <w:t xml:space="preserve">. </w:t>
      </w:r>
      <w:r>
        <w:rPr>
          <w:rtl w:val="true"/>
        </w:rPr>
        <w:t>השיחה בין רביע לואאל התקיימה בנוכחותו של ג</w:t>
      </w:r>
      <w:r>
        <w:rPr>
          <w:rtl w:val="true"/>
        </w:rPr>
        <w:t>'</w:t>
      </w:r>
      <w:r>
        <w:rPr>
          <w:rtl w:val="true"/>
        </w:rPr>
        <w:t>ואד ששמע את הדברים</w:t>
      </w:r>
      <w:r>
        <w:rPr>
          <w:rtl w:val="true"/>
        </w:rPr>
        <w:t xml:space="preserve">. </w:t>
      </w:r>
      <w:r>
        <w:rPr>
          <w:rtl w:val="true"/>
        </w:rPr>
        <w:t>ואאל סיפר בנוסף</w:t>
      </w:r>
      <w:r>
        <w:rPr>
          <w:rtl w:val="true"/>
        </w:rPr>
        <w:t xml:space="preserve">, </w:t>
      </w:r>
      <w:r>
        <w:rPr>
          <w:rtl w:val="true"/>
        </w:rPr>
        <w:t>כי הוא וג</w:t>
      </w:r>
      <w:r>
        <w:rPr>
          <w:rtl w:val="true"/>
        </w:rPr>
        <w:t>'</w:t>
      </w:r>
      <w:r>
        <w:rPr>
          <w:rtl w:val="true"/>
        </w:rPr>
        <w:t>ואד נכנסו ביחד לשטחי הרשות</w:t>
      </w:r>
      <w:r>
        <w:rPr>
          <w:rtl w:val="true"/>
        </w:rPr>
        <w:t xml:space="preserve">, </w:t>
      </w:r>
      <w:r>
        <w:rPr>
          <w:rtl w:val="true"/>
        </w:rPr>
        <w:t>שם אדם נוסף הביא שני כלי נשק לרכב</w:t>
      </w:r>
      <w:r>
        <w:rPr>
          <w:rtl w:val="true"/>
        </w:rPr>
        <w:t xml:space="preserve">. </w:t>
      </w:r>
      <w:r>
        <w:rPr>
          <w:rtl w:val="true"/>
        </w:rPr>
        <w:t xml:space="preserve">השניים שמו את כלי הנשק מתחת למושבי הרכב וואאל קיבל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בתמורה להעברתם</w:t>
      </w:r>
      <w:r>
        <w:rPr>
          <w:rtl w:val="true"/>
        </w:rPr>
        <w:t xml:space="preserve">. </w:t>
      </w:r>
      <w:r>
        <w:rPr>
          <w:rtl w:val="true"/>
        </w:rPr>
        <w:t>ואאל גם מסר בחקירתו במשטרה כי יומיים לפני האירוע המתואר באישום השני</w:t>
      </w:r>
      <w:r>
        <w:rPr>
          <w:rtl w:val="true"/>
        </w:rPr>
        <w:t xml:space="preserve">, </w:t>
      </w:r>
      <w:r>
        <w:rPr>
          <w:rtl w:val="true"/>
        </w:rPr>
        <w:t>הוא סיפר לג</w:t>
      </w:r>
      <w:r>
        <w:rPr>
          <w:rtl w:val="true"/>
        </w:rPr>
        <w:t>'</w:t>
      </w:r>
      <w:r>
        <w:rPr>
          <w:rtl w:val="true"/>
        </w:rPr>
        <w:t xml:space="preserve">ואד על העברת כלי הנשק משטחי הרשות באישום הראשון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58</w:t>
      </w:r>
      <w:r>
        <w:rPr>
          <w:rtl w:val="true"/>
        </w:rPr>
        <w:t xml:space="preserve">). </w:t>
      </w:r>
      <w:r>
        <w:rPr>
          <w:rtl w:val="true"/>
        </w:rPr>
        <w:t>גם בעימות שנערך בין ואאל לבין 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ציין ואאל כי הוא אמר לג</w:t>
      </w:r>
      <w:r>
        <w:rPr>
          <w:rtl w:val="true"/>
        </w:rPr>
        <w:t>'</w:t>
      </w:r>
      <w:r>
        <w:rPr>
          <w:rtl w:val="true"/>
        </w:rPr>
        <w:t>ואד שהם הולכים להביא כלי נשק</w:t>
      </w:r>
      <w:r>
        <w:rPr>
          <w:rtl w:val="true"/>
        </w:rPr>
        <w:t xml:space="preserve">. </w:t>
      </w:r>
      <w:r>
        <w:rPr>
          <w:rtl w:val="true"/>
        </w:rPr>
        <w:t>ואאל גם סיפר כי ג</w:t>
      </w:r>
      <w:r>
        <w:rPr>
          <w:rtl w:val="true"/>
        </w:rPr>
        <w:t>'</w:t>
      </w:r>
      <w:r>
        <w:rPr>
          <w:rtl w:val="true"/>
        </w:rPr>
        <w:t xml:space="preserve">ואד נכח בשיחה עם רביע ושמע את תוכן השיחה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20-18</w:t>
      </w:r>
      <w:r>
        <w:rPr>
          <w:rtl w:val="true"/>
        </w:rPr>
        <w:t>).</w:t>
      </w:r>
      <w:r>
        <w:rPr>
          <w:rtl w:val="true"/>
          <w:lang w:val="en-GB"/>
        </w:rPr>
        <w:t xml:space="preserve"> </w:t>
      </w:r>
      <w:r>
        <w:rPr>
          <w:rtl w:val="true"/>
        </w:rPr>
        <w:t>גם רביע מסר במסגרת הודעתו במשטרה</w:t>
      </w:r>
      <w:r>
        <w:rPr>
          <w:rtl w:val="true"/>
        </w:rPr>
        <w:t xml:space="preserve">, </w:t>
      </w:r>
      <w:r>
        <w:rPr>
          <w:rtl w:val="true"/>
        </w:rPr>
        <w:t>אותה העדיף כאמור בית המשפט על פני עדותו לפניו</w:t>
      </w:r>
      <w:r>
        <w:rPr>
          <w:rtl w:val="true"/>
        </w:rPr>
        <w:t xml:space="preserve">, </w:t>
      </w:r>
      <w:r>
        <w:rPr>
          <w:rtl w:val="true"/>
        </w:rPr>
        <w:t>כי באירוע השני ג</w:t>
      </w:r>
      <w:r>
        <w:rPr>
          <w:rtl w:val="true"/>
        </w:rPr>
        <w:t>'</w:t>
      </w:r>
      <w:r>
        <w:rPr>
          <w:rtl w:val="true"/>
        </w:rPr>
        <w:t>ואד היה נוכח בשיחה בינו לבין ואאל</w:t>
      </w:r>
      <w:r>
        <w:rPr>
          <w:rtl w:val="true"/>
        </w:rPr>
        <w:t xml:space="preserve">, </w:t>
      </w:r>
      <w:r>
        <w:rPr>
          <w:rtl w:val="true"/>
        </w:rPr>
        <w:t xml:space="preserve">עמד ליד ואאל וידע שמטרת הנסיעה לרשות היא הבאת כלי נשק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52-51</w:t>
      </w:r>
      <w:r>
        <w:rPr>
          <w:rtl w:val="true"/>
        </w:rPr>
        <w:t xml:space="preserve">).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נמצאה טביעת אצבע של ג</w:t>
      </w:r>
      <w:r>
        <w:rPr>
          <w:rtl w:val="true"/>
        </w:rPr>
        <w:t>'</w:t>
      </w:r>
      <w:r>
        <w:rPr>
          <w:rtl w:val="true"/>
        </w:rPr>
        <w:t xml:space="preserve">ואד על אחד מכלי הנשק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73</w:t>
      </w:r>
      <w:r>
        <w:rPr>
          <w:rtl w:val="true"/>
        </w:rPr>
        <w:t xml:space="preserve">) </w:t>
      </w:r>
      <w:r>
        <w:rPr>
          <w:rtl w:val="true"/>
        </w:rPr>
        <w:t xml:space="preserve">וגרסאותיו היו גרסאות </w:t>
      </w:r>
      <w:r>
        <w:rPr>
          <w:rtl w:val="true"/>
        </w:rPr>
        <w:t>"</w:t>
      </w:r>
      <w:r>
        <w:rPr>
          <w:rtl w:val="true"/>
        </w:rPr>
        <w:t>מתפתחות</w:t>
      </w:r>
      <w:r>
        <w:rPr>
          <w:rtl w:val="true"/>
        </w:rPr>
        <w:t xml:space="preserve">" </w:t>
      </w:r>
      <w:r>
        <w:rPr>
          <w:rtl w:val="true"/>
        </w:rPr>
        <w:t>ולא אמינות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בחקירתו הראשונה במשטרה שנערכה ביום </w:t>
      </w:r>
      <w:r>
        <w:rPr/>
        <w:t>7.3.2018</w:t>
      </w:r>
      <w:r>
        <w:rPr>
          <w:rtl w:val="true"/>
        </w:rPr>
        <w:t xml:space="preserve"> </w:t>
      </w:r>
      <w:r>
        <w:rPr>
          <w:rtl w:val="true"/>
        </w:rPr>
        <w:t>טען ג</w:t>
      </w:r>
      <w:r>
        <w:rPr>
          <w:rtl w:val="true"/>
        </w:rPr>
        <w:t>'</w:t>
      </w:r>
      <w:r>
        <w:rPr>
          <w:rtl w:val="true"/>
        </w:rPr>
        <w:t xml:space="preserve">ואד כי כלל לא ידע שיש נשק ברכב וכי חשב שמטרת הנסיעה היא הבאת כסף מנתניה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 xml:space="preserve">בחקירתו ביום </w:t>
      </w:r>
      <w:r>
        <w:rPr/>
        <w:t>9.3.2018</w:t>
      </w:r>
      <w:r>
        <w:rPr>
          <w:rtl w:val="true"/>
        </w:rPr>
        <w:t xml:space="preserve"> </w:t>
      </w:r>
      <w:r>
        <w:rPr>
          <w:rtl w:val="true"/>
        </w:rPr>
        <w:t xml:space="preserve">טען שגילה את קיומו של הנשק רק לאחר שואאל הבחין בניידת משטרה וביקש ממנו לזרוק את הנשק מהחלון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)).</w:t>
      </w:r>
      <w:r>
        <w:rPr>
          <w:rtl w:val="true"/>
          <w:lang w:val="en-GB"/>
        </w:rPr>
        <w:t xml:space="preserve"> </w:t>
      </w:r>
      <w:r>
        <w:rPr>
          <w:rtl w:val="true"/>
        </w:rPr>
        <w:t xml:space="preserve">בחקירה שהתקיימה ביום </w:t>
      </w:r>
      <w:r>
        <w:rPr/>
        <w:t>14.3.2018</w:t>
      </w:r>
      <w:r>
        <w:rPr>
          <w:rtl w:val="true"/>
        </w:rPr>
        <w:t xml:space="preserve"> </w:t>
      </w:r>
      <w:r>
        <w:rPr>
          <w:rtl w:val="true"/>
        </w:rPr>
        <w:t>שב ג</w:t>
      </w:r>
      <w:r>
        <w:rPr>
          <w:rtl w:val="true"/>
        </w:rPr>
        <w:t>'</w:t>
      </w:r>
      <w:r>
        <w:rPr>
          <w:rtl w:val="true"/>
        </w:rPr>
        <w:t>ואד לגרסתו בחקירה הראשונה לפיה לא ידע שיש כלי נשק ברכב עד למעצרם ושלל את האפשרות שמישהו מהנוסעים הצטלם איתם</w:t>
      </w:r>
      <w:r>
        <w:rPr>
          <w:rtl w:val="true"/>
        </w:rPr>
        <w:t xml:space="preserve">. </w:t>
      </w:r>
      <w:r>
        <w:rPr>
          <w:rtl w:val="true"/>
        </w:rPr>
        <w:t xml:space="preserve">כאשר הוצגה לו תמונה שצילם את פואאז אוחז בכלי הנשק שנמצאה במכשיר הטלפון שלו טען שהוא לא זוכר שצילם אותה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)). </w:t>
      </w:r>
      <w:r>
        <w:rPr>
          <w:rtl w:val="true"/>
        </w:rPr>
        <w:t>מדובר אפוא בגרסאות משתנות ומתפתלות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lang w:val="en-GB"/>
        </w:rPr>
      </w:pPr>
      <w:r>
        <w:rPr>
          <w:rtl w:val="true"/>
        </w:rPr>
        <w:t>גם לא מצאתי ממש בטענתו של ג</w:t>
      </w:r>
      <w:r>
        <w:rPr>
          <w:rtl w:val="true"/>
        </w:rPr>
        <w:t>'</w:t>
      </w:r>
      <w:r>
        <w:rPr>
          <w:rtl w:val="true"/>
        </w:rPr>
        <w:t>ואד כי אין הבדל בין המעשים בגינם הורשע לבין מעשיהם של פואאז וסנד</w:t>
      </w:r>
      <w:r>
        <w:rPr>
          <w:rtl w:val="true"/>
        </w:rPr>
        <w:t xml:space="preserve">, </w:t>
      </w:r>
      <w:r>
        <w:rPr>
          <w:rtl w:val="true"/>
        </w:rPr>
        <w:t>אשר הורשעו על פי הודאתם רק בעבירות של החזקה</w:t>
      </w:r>
      <w:r>
        <w:rPr>
          <w:rtl w:val="true"/>
        </w:rPr>
        <w:t xml:space="preserve">, </w:t>
      </w:r>
      <w:r>
        <w:rPr>
          <w:rtl w:val="true"/>
        </w:rPr>
        <w:t xml:space="preserve">נשיאה והובלה של נשק בעוד הוא הורשע כאמור בעבירה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בניגוד לג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פואאז וסנד לא השתתפו בשיחה שהתקיימה בין ואאל לרביע ולא היו מודעים לפרטי העסקה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פואאז וסנד לא נכנסו לשטחי הרשות ולא היו עדים לעסקת הנשק שהתבצעה ולהסלקת הנשק מתחת למושב הרכב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יש שוני מהותי בין חלקו של ג</w:t>
      </w:r>
      <w:r>
        <w:rPr>
          <w:rtl w:val="true"/>
        </w:rPr>
        <w:t>'</w:t>
      </w:r>
      <w:r>
        <w:rPr>
          <w:rtl w:val="true"/>
        </w:rPr>
        <w:t>ואד לחלקם של פואאז וסנד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 לואאל</w:t>
      </w:r>
      <w:r>
        <w:rPr>
          <w:rtl w:val="true"/>
        </w:rPr>
        <w:t xml:space="preserve">, </w:t>
      </w:r>
      <w:r>
        <w:rPr>
          <w:rtl w:val="true"/>
        </w:rPr>
        <w:t xml:space="preserve">הוא הודה שהחזיק את הנשק והצטלם איתו בחקירתו הנגדית בבית המשפט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18-7</w:t>
      </w:r>
      <w:r>
        <w:rPr>
          <w:rtl w:val="true"/>
        </w:rPr>
        <w:t xml:space="preserve">). </w:t>
      </w:r>
      <w:r>
        <w:rPr>
          <w:rtl w:val="true"/>
        </w:rPr>
        <w:t xml:space="preserve">אף בסיכומיו בהליך בבית המשפט המחוזי טען שהודאתו מהווה הודאה בעבירה של החזקת כלי נשק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וכי גדר המחלוקת מצטמצם לשאלה</w:t>
      </w:r>
      <w:r>
        <w:rPr>
          <w:rtl w:val="true"/>
        </w:rPr>
        <w:t xml:space="preserve">, </w:t>
      </w:r>
      <w:r>
        <w:rPr>
          <w:rtl w:val="true"/>
        </w:rPr>
        <w:t>אם בית המשפט יקבע כי מדובר בכלי נשק</w:t>
      </w:r>
      <w:r>
        <w:rPr>
          <w:rtl w:val="true"/>
        </w:rPr>
        <w:t xml:space="preserve">, </w:t>
      </w:r>
      <w:r>
        <w:rPr>
          <w:rtl w:val="true"/>
        </w:rPr>
        <w:t>כפי שאכן נקבע</w:t>
      </w:r>
      <w:r>
        <w:rPr>
          <w:rtl w:val="true"/>
        </w:rPr>
        <w:t xml:space="preserve">, </w:t>
      </w:r>
      <w:r>
        <w:rPr>
          <w:rtl w:val="true"/>
        </w:rPr>
        <w:t xml:space="preserve">האם יש להרשיעו בעבירה של החזקת נשק בלבד או בעבירת סחר בנשק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לסיכומים מיום </w:t>
      </w:r>
      <w:r>
        <w:rPr/>
        <w:t>8.7.2019</w:t>
      </w:r>
      <w:r>
        <w:rPr>
          <w:rtl w:val="true"/>
        </w:rPr>
        <w:t xml:space="preserve">).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 די בדברים אלה כדי לחרוץ את גורלו של הערעור לשבט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אולם למעלה מכך</w:t>
      </w:r>
      <w:r>
        <w:rPr>
          <w:rtl w:val="true"/>
        </w:rPr>
        <w:t xml:space="preserve">. </w:t>
      </w:r>
      <w:r>
        <w:rPr>
          <w:rtl w:val="true"/>
        </w:rPr>
        <w:t>ההחזקה של הנשק בה הודה ואאל מקיימת את כל יסודות עבירת ההחזקה</w:t>
      </w:r>
      <w:r>
        <w:rPr>
          <w:rtl w:val="true"/>
        </w:rPr>
        <w:t xml:space="preserve">. </w:t>
      </w:r>
      <w:r>
        <w:rPr>
          <w:rtl w:val="true"/>
        </w:rPr>
        <w:t>בהתאם לפסיקה</w:t>
      </w:r>
      <w:r>
        <w:rPr>
          <w:rtl w:val="true"/>
        </w:rPr>
        <w:t xml:space="preserve">, </w:t>
      </w:r>
      <w:r>
        <w:rPr>
          <w:rtl w:val="true"/>
        </w:rPr>
        <w:t xml:space="preserve">בבסיס המונח </w:t>
      </w:r>
      <w:r>
        <w:rPr>
          <w:rtl w:val="true"/>
        </w:rPr>
        <w:t>"</w:t>
      </w:r>
      <w:r>
        <w:rPr>
          <w:rtl w:val="true"/>
        </w:rPr>
        <w:t>החזקה</w:t>
      </w:r>
      <w:r>
        <w:rPr>
          <w:rtl w:val="true"/>
        </w:rPr>
        <w:t xml:space="preserve">" </w:t>
      </w:r>
      <w:r>
        <w:rPr>
          <w:rtl w:val="true"/>
        </w:rPr>
        <w:t>עומד מבחן השליטה</w:t>
      </w:r>
      <w:r>
        <w:rPr>
          <w:rtl w:val="true"/>
        </w:rPr>
        <w:t xml:space="preserve">, </w:t>
      </w:r>
      <w:r>
        <w:rPr>
          <w:rtl w:val="true"/>
        </w:rPr>
        <w:t>הן כחלק מהיסוד העובדתי של העבירה והן כחלק מהיסוד הנפשי</w:t>
      </w:r>
      <w:r>
        <w:rPr>
          <w:rtl w:val="true"/>
        </w:rPr>
        <w:t xml:space="preserve">. </w:t>
      </w:r>
      <w:r>
        <w:rPr>
          <w:rtl w:val="true"/>
        </w:rPr>
        <w:t>וכך נקבע 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7282/08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13.1.2010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בחפץ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בנכס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בהגיונם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שואאל החזיק את הנשק לזמן קצר בלבד אינה מעלה או מורידה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250/84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הוכשטט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813</w:t>
      </w:r>
      <w:r>
        <w:rPr>
          <w:rtl w:val="true"/>
        </w:rPr>
        <w:t xml:space="preserve">, </w:t>
      </w:r>
      <w:r>
        <w:rPr/>
        <w:t>825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)). </w:t>
      </w:r>
      <w:r>
        <w:rPr>
          <w:rtl w:val="true"/>
        </w:rPr>
        <w:t>ואאל</w:t>
      </w:r>
      <w:r>
        <w:rPr>
          <w:rtl w:val="true"/>
        </w:rPr>
        <w:t xml:space="preserve">, </w:t>
      </w:r>
      <w:r>
        <w:rPr>
          <w:rtl w:val="true"/>
        </w:rPr>
        <w:t>באופן מודע</w:t>
      </w:r>
      <w:r>
        <w:rPr>
          <w:rtl w:val="true"/>
        </w:rPr>
        <w:t xml:space="preserve">, </w:t>
      </w:r>
      <w:r>
        <w:rPr>
          <w:rtl w:val="true"/>
        </w:rPr>
        <w:t>החזיק והצטלם עם נשק שידע שהוא נשק בלתי חוקי שהוברח לשטח מדינת ישראל משטחי הרשות</w:t>
      </w:r>
      <w:r>
        <w:rPr>
          <w:rtl w:val="true"/>
        </w:rPr>
        <w:t xml:space="preserve">. </w:t>
      </w:r>
      <w:r>
        <w:rPr>
          <w:rtl w:val="true"/>
        </w:rPr>
        <w:t>כאשר החזיק ואאל בנשק הייתה לו שליטה פיזית מלאה והוא יכל להגיע לעשייה פיזית בו</w:t>
      </w:r>
      <w:r>
        <w:rPr>
          <w:rtl w:val="true"/>
        </w:rPr>
        <w:t xml:space="preserve">. </w:t>
      </w:r>
      <w:r>
        <w:rPr>
          <w:rtl w:val="true"/>
        </w:rPr>
        <w:t>ולו לשם דוגמה</w:t>
      </w:r>
      <w:r>
        <w:rPr>
          <w:rtl w:val="true"/>
        </w:rPr>
        <w:t xml:space="preserve">, </w:t>
      </w:r>
      <w:r>
        <w:rPr>
          <w:rtl w:val="true"/>
        </w:rPr>
        <w:t>אם ואאל היה מחליט לירות באוויר באותה עת שהחזיק בנשק</w:t>
      </w:r>
      <w:r>
        <w:rPr>
          <w:rtl w:val="true"/>
        </w:rPr>
        <w:t xml:space="preserve">, </w:t>
      </w:r>
      <w:r>
        <w:rPr>
          <w:rtl w:val="true"/>
        </w:rPr>
        <w:t>לא הייתה לו כל מניעה לעשות כן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ואאל טען בערעורו כי גם לא היה מקום להרשיעו בעבירה שעובדותיה לא נכללו בכתב האישום על סמך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מסמיך את בית המשפט להרשיע נאשם על פי עובדות שלא הוצגו בכתב האישום ובעבירות על פי הוראות חיקוק שלא צוינו בכתב האישום</w:t>
      </w:r>
      <w:r>
        <w:rPr>
          <w:rtl w:val="true"/>
        </w:rPr>
        <w:t xml:space="preserve">, </w:t>
      </w:r>
      <w:r>
        <w:rPr>
          <w:rtl w:val="true"/>
        </w:rPr>
        <w:t>וזאת בתנאי שניתנה לנאשם הזדמנות סבירה להתגונן מהרשעה</w:t>
      </w:r>
      <w:r>
        <w:rPr>
          <w:rtl w:val="true"/>
        </w:rPr>
        <w:t xml:space="preserve">. </w:t>
      </w:r>
      <w:r>
        <w:rPr>
          <w:rtl w:val="true"/>
        </w:rPr>
        <w:t>הזדמנות סבירה כאמור תתקיים</w:t>
      </w:r>
      <w:r>
        <w:rPr>
          <w:rtl w:val="true"/>
        </w:rPr>
        <w:t xml:space="preserve">, </w:t>
      </w:r>
      <w:r>
        <w:rPr>
          <w:rtl w:val="true"/>
        </w:rPr>
        <w:t>אם ניתנה לנאשם הזדמנות ממשית לחקור עדים ולהביא ראיות</w:t>
      </w:r>
      <w:r>
        <w:rPr>
          <w:rtl w:val="true"/>
        </w:rPr>
        <w:t xml:space="preserve">, </w:t>
      </w:r>
      <w:r>
        <w:rPr>
          <w:rtl w:val="true"/>
        </w:rPr>
        <w:t xml:space="preserve">ואם ניתנה לו הזדמנות לגבש ולהציג קו הגנה ביחס להרשעה החדשה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2760/14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(</w:t>
      </w:r>
      <w:r>
        <w:rPr/>
        <w:t>7.10.2015</w:t>
      </w:r>
      <w:r>
        <w:rPr>
          <w:rtl w:val="true"/>
        </w:rPr>
        <w:t xml:space="preserve">)). </w:t>
      </w:r>
      <w:r>
        <w:rPr>
          <w:rtl w:val="true"/>
        </w:rPr>
        <w:t xml:space="preserve">על הנאשם להעלות טענות קונקרטיות בדבר השאלה כיצד נפגעה הגנתו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קליין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(</w:t>
      </w:r>
      <w:r>
        <w:rPr/>
        <w:t>4.9.2007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הבהיר ואאל כיצד בדיוק נפגעה הגנתו וכתוצאה ממה היא נפגעה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 הודה בעובדות ואף גרס במסגרת ההליך כי הודאתו מהווה הודאה בעבירה של החזקת כלי נשק</w:t>
      </w:r>
      <w:r>
        <w:rPr>
          <w:rtl w:val="true"/>
        </w:rPr>
        <w:t xml:space="preserve">. </w:t>
      </w:r>
      <w:r>
        <w:rPr>
          <w:rtl w:val="true"/>
        </w:rPr>
        <w:t>למעלה מכך</w:t>
      </w:r>
      <w:r>
        <w:rPr>
          <w:rtl w:val="true"/>
        </w:rPr>
        <w:t xml:space="preserve">, </w:t>
      </w:r>
      <w:r>
        <w:rPr>
          <w:rtl w:val="true"/>
        </w:rPr>
        <w:t xml:space="preserve">יש ממש בטענת המשיבה כי לא היה צורך לפרט בכתב האישום את העובדות המקימות את עבירת ההחזקה אשר </w:t>
      </w:r>
      <w:r>
        <w:rPr>
          <w:rtl w:val="true"/>
        </w:rPr>
        <w:t>"</w:t>
      </w:r>
      <w:r>
        <w:rPr>
          <w:rtl w:val="true"/>
        </w:rPr>
        <w:t>נבלעה</w:t>
      </w:r>
      <w:r>
        <w:rPr>
          <w:rtl w:val="true"/>
        </w:rPr>
        <w:t xml:space="preserve">" </w:t>
      </w:r>
      <w:r>
        <w:rPr>
          <w:rtl w:val="true"/>
        </w:rPr>
        <w:t>בעבירות החמורות שיוחסו לו</w:t>
      </w:r>
      <w:r>
        <w:rPr>
          <w:rtl w:val="true"/>
        </w:rPr>
        <w:t xml:space="preserve">. </w:t>
      </w:r>
      <w:r>
        <w:rPr>
          <w:rtl w:val="true"/>
        </w:rPr>
        <w:t>היינו עסקה בנשק ונשיאה והובלה של נשק</w:t>
      </w:r>
      <w:r>
        <w:rPr>
          <w:rtl w:val="true"/>
        </w:rPr>
        <w:t xml:space="preserve">, </w:t>
      </w:r>
      <w:r>
        <w:rPr>
          <w:rtl w:val="true"/>
        </w:rPr>
        <w:t xml:space="preserve">ורק בשל כך לא צוינו העובדות המקימות את הרשעתו בעבירה הקלה יותר במסגרת כתב האישום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10489/06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60</w:t>
      </w:r>
      <w:r>
        <w:rPr>
          <w:rtl w:val="true"/>
        </w:rPr>
        <w:t xml:space="preserve"> (</w:t>
      </w:r>
      <w:r>
        <w:rPr/>
        <w:t>14.1.2010</w:t>
      </w:r>
      <w:r>
        <w:rPr>
          <w:rtl w:val="true"/>
        </w:rPr>
        <w:t xml:space="preserve">)). </w:t>
      </w:r>
      <w:r>
        <w:rPr>
          <w:rtl w:val="true"/>
        </w:rPr>
        <w:t>רק לאחר שזוכה מחמת הספק מהעבירות שיוחסו לו 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>ניתן היה לייחס משמעות לאותן עובדות</w:t>
      </w:r>
      <w:r>
        <w:rPr>
          <w:rtl w:val="true"/>
        </w:rPr>
        <w:t xml:space="preserve">, </w:t>
      </w:r>
      <w:r>
        <w:rPr>
          <w:rtl w:val="true"/>
        </w:rPr>
        <w:t>בגינן הורשע ואאל לבסוף בעבירה של החזקת הנשק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גם דינם של הערעורים על גזרי הדין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הלכה היא כי ערכאת הערעור אינה נוטה להתערב בחומרת העונש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זולת בנסיבות חריגות שבהן נפלה על פני הדברים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שעה שהעונש שהוטל חורג באופן קיצוני מהענישה המקובלת במקרים דומים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2.9.2020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פעילות של סחר בלתי חוקי בנשק טומנת בחובה פגיעה קשה בערכים חברתיים בעלי חשיבות רבה</w:t>
      </w:r>
      <w:r>
        <w:rPr>
          <w:rtl w:val="true"/>
        </w:rPr>
        <w:t xml:space="preserve">, </w:t>
      </w:r>
      <w:r>
        <w:rPr>
          <w:rtl w:val="true"/>
        </w:rPr>
        <w:t>בהם שלמות הגוף</w:t>
      </w:r>
      <w:r>
        <w:rPr>
          <w:rtl w:val="true"/>
        </w:rPr>
        <w:t xml:space="preserve">, </w:t>
      </w:r>
      <w:r>
        <w:rPr>
          <w:rtl w:val="true"/>
        </w:rPr>
        <w:t>חיי אדם ושלום הציבור וביטחונו</w:t>
      </w:r>
      <w:r>
        <w:rPr>
          <w:rtl w:val="true"/>
        </w:rPr>
        <w:t xml:space="preserve">. </w:t>
      </w:r>
      <w:r>
        <w:rPr>
          <w:rtl w:val="true"/>
        </w:rPr>
        <w:t>החומרה היתרה הכרוכה בעבירות נשק והסיכון הנשקף מביצוען לציבור מקבלים משנה תוקף בשים לב להיקפיה של התופעה ואופן התפשטותה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מסתמנת בפסיקה מגמת החמרה ברמת הענישה בגין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באופן ההולם את מידת הפגיעה בערכים המוגנים במטרה להרתיע מפני ביצוע עבירות אלו ולקדם את מיגור התופעה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26.7.2018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11.7.2019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8207/19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13.7.2020</w:t>
      </w:r>
      <w:r>
        <w:rPr>
          <w:rtl w:val="true"/>
        </w:rPr>
        <w:t xml:space="preserve">)). </w:t>
      </w:r>
      <w:r>
        <w:rPr>
          <w:rtl w:val="true"/>
        </w:rPr>
        <w:t xml:space="preserve">יפים לעניין זה דבריה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'</w:t>
      </w:r>
      <w:r>
        <w:rPr>
          <w:rtl w:val="true"/>
        </w:rPr>
        <w:t>התגלגלותם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>".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מטבען של עסקאות סחר בנשק שמעורבים בהן גורמים שונים שחלקו של כל אחד מהם בעסקה משתנה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>ישנה חשיבות בענישה מוחשית של כל אחת ואחת מהחוליות בשרשרת הסחר</w:t>
      </w:r>
      <w:r>
        <w:rPr>
          <w:rtl w:val="true"/>
        </w:rPr>
        <w:t xml:space="preserve">. </w:t>
      </w:r>
      <w:r>
        <w:rPr>
          <w:rtl w:val="true"/>
        </w:rPr>
        <w:t xml:space="preserve">כל אחת מאותן חוליות </w:t>
      </w:r>
      <w:r>
        <w:rPr>
          <w:rtl w:val="true"/>
        </w:rPr>
        <w:t>"</w:t>
      </w:r>
      <w:r>
        <w:rPr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tl w:val="true"/>
        </w:rPr>
        <w:t>'</w:t>
      </w:r>
      <w:r>
        <w:rPr>
          <w:rtl w:val="true"/>
        </w:rPr>
        <w:t>הצרכן הסופי</w:t>
      </w:r>
      <w:r>
        <w:rPr>
          <w:rtl w:val="true"/>
        </w:rPr>
        <w:t xml:space="preserve">' </w:t>
      </w:r>
      <w:r>
        <w:rPr>
          <w:rtl w:val="true"/>
        </w:rPr>
        <w:t>בקצה השרשרת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גרבאן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8.8.2012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שלושת המערערים הורשעו בעבירות הקשורות בסחר בנשק בלתי חוקי</w:t>
      </w:r>
      <w:r>
        <w:rPr>
          <w:rtl w:val="true"/>
        </w:rPr>
        <w:t xml:space="preserve">, </w:t>
      </w:r>
      <w:r>
        <w:rPr>
          <w:rtl w:val="true"/>
        </w:rPr>
        <w:t>הגם שחלקם בעבירות היה שונה</w:t>
      </w:r>
      <w:r>
        <w:rPr>
          <w:rtl w:val="true"/>
        </w:rPr>
        <w:t xml:space="preserve">, </w:t>
      </w:r>
      <w:r>
        <w:rPr>
          <w:rtl w:val="true"/>
        </w:rPr>
        <w:t>והעונשים שהוטלו עליהם תואמים את מדיניות הענישה הנהוגה במקרים דומים</w:t>
      </w:r>
      <w:r>
        <w:rPr>
          <w:rtl w:val="true"/>
        </w:rPr>
        <w:t xml:space="preserve">. </w:t>
      </w:r>
      <w:r>
        <w:rPr>
          <w:rtl w:val="true"/>
        </w:rPr>
        <w:t>פשיטא גם כי לא ניתן להשוות את עניינם של המערערים לעניינם של פואאז וסנד</w:t>
      </w:r>
      <w:r>
        <w:rPr>
          <w:rtl w:val="true"/>
        </w:rPr>
        <w:t xml:space="preserve">, </w:t>
      </w:r>
      <w:r>
        <w:rPr>
          <w:rtl w:val="true"/>
        </w:rPr>
        <w:t>אשר מילאו תפקיד מינורי בהרבה וגם הורשעו לבסוף על פי הודאתם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כאמור בתחילת הדברים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שלושת הערעורים על כל רכיביהם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b/>
          <w:bCs/>
          <w:sz w:val="24"/>
          <w:szCs w:val="24"/>
          <w:u w:val="single"/>
        </w:rPr>
      </w:pPr>
      <w:r>
        <w:rPr>
          <w:rFonts w:cs="Miriam"/>
          <w:b/>
          <w:bCs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22.11.2020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19075950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54678313-7595/19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7595/19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רביע סגים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ing1Char">
    <w:name w:val="Heading 1 Char"/>
    <w:qFormat/>
    <w:rPr>
      <w:rFonts w:ascii="Arial" w:hAnsi="Arial" w:cs="Arial"/>
      <w:b/>
      <w:bCs/>
      <w:kern w:val="2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14031" TargetMode="External"/><Relationship Id="rId3" Type="http://schemas.openxmlformats.org/officeDocument/2006/relationships/hyperlink" Target="http://www.nevo.co.il/case/2381402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144.b2" TargetMode="External"/><Relationship Id="rId10" Type="http://schemas.openxmlformats.org/officeDocument/2006/relationships/hyperlink" Target="http://www.nevo.co.il/law/74903/184" TargetMode="External"/><Relationship Id="rId11" Type="http://schemas.openxmlformats.org/officeDocument/2006/relationships/hyperlink" Target="http://www.nevo.co.il/case/23814031" TargetMode="External"/><Relationship Id="rId12" Type="http://schemas.openxmlformats.org/officeDocument/2006/relationships/hyperlink" Target="http://www.nevo.co.il/case/23814023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4903/184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5824995" TargetMode="External"/><Relationship Id="rId24" Type="http://schemas.openxmlformats.org/officeDocument/2006/relationships/hyperlink" Target="http://www.nevo.co.il/case/24493194" TargetMode="External"/><Relationship Id="rId25" Type="http://schemas.openxmlformats.org/officeDocument/2006/relationships/hyperlink" Target="http://www.nevo.co.il/law/74903/144.b2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case/6100203" TargetMode="External"/><Relationship Id="rId30" Type="http://schemas.openxmlformats.org/officeDocument/2006/relationships/hyperlink" Target="http://www.nevo.co.il/case/17916209" TargetMode="External"/><Relationship Id="rId31" Type="http://schemas.openxmlformats.org/officeDocument/2006/relationships/hyperlink" Target="http://www.nevo.co.il/law/74903/184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law/74903/184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case/16864081" TargetMode="External"/><Relationship Id="rId36" Type="http://schemas.openxmlformats.org/officeDocument/2006/relationships/hyperlink" Target="http://www.nevo.co.il/case/5993495" TargetMode="External"/><Relationship Id="rId37" Type="http://schemas.openxmlformats.org/officeDocument/2006/relationships/hyperlink" Target="http://www.nevo.co.il/case/6091908" TargetMode="External"/><Relationship Id="rId38" Type="http://schemas.openxmlformats.org/officeDocument/2006/relationships/hyperlink" Target="http://www.nevo.co.il/case/26538254" TargetMode="External"/><Relationship Id="rId39" Type="http://schemas.openxmlformats.org/officeDocument/2006/relationships/hyperlink" Target="http://www.nevo.co.il/case/25612982" TargetMode="External"/><Relationship Id="rId40" Type="http://schemas.openxmlformats.org/officeDocument/2006/relationships/hyperlink" Target="http://www.nevo.co.il/case/23750625" TargetMode="External"/><Relationship Id="rId41" Type="http://schemas.openxmlformats.org/officeDocument/2006/relationships/hyperlink" Target="http://www.nevo.co.il/case/23850962" TargetMode="External"/><Relationship Id="rId42" Type="http://schemas.openxmlformats.org/officeDocument/2006/relationships/hyperlink" Target="http://www.nevo.co.il/case/25430243" TargetMode="External"/><Relationship Id="rId43" Type="http://schemas.openxmlformats.org/officeDocument/2006/relationships/hyperlink" Target="http://www.nevo.co.il/case/26263927" TargetMode="External"/><Relationship Id="rId44" Type="http://schemas.openxmlformats.org/officeDocument/2006/relationships/hyperlink" Target="http://www.nevo.co.il/case/6473037" TargetMode="External"/><Relationship Id="rId45" Type="http://schemas.openxmlformats.org/officeDocument/2006/relationships/hyperlink" Target="http://www.nevo.co.il/case/5598421" TargetMode="External"/><Relationship Id="rId46" Type="http://schemas.openxmlformats.org/officeDocument/2006/relationships/hyperlink" Target="http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2021-01-19T11:21:00Z</dcterms:created>
  <dc:creator> </dc:creator>
  <dc:description/>
  <cp:keywords/>
  <dc:language>en-IL</dc:language>
  <cp:lastModifiedBy>h10</cp:lastModifiedBy>
  <cp:lastPrinted>2020-11-22T09:07:00Z</cp:lastPrinted>
  <dcterms:modified xsi:type="dcterms:W3CDTF">2021-01-19T11:21:00Z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רביע סגים;גואד נסר אלדין;ואאל בהא אלדין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23814031:2;23814023:2;25824995;24493194;6100203;17916209;16864081;5993495;6091908;26538254;25612982;23750625;23850962;25430243;26263927;6473037;5598421</vt:lpwstr>
  </property>
  <property fmtid="{D5CDD505-2E9C-101B-9397-08002B2CF9AE}" pid="5" name="DATE">
    <vt:lpwstr>20201122</vt:lpwstr>
  </property>
  <property fmtid="{D5CDD505-2E9C-101B-9397-08002B2CF9AE}" pid="6" name="ISABSTRACT">
    <vt:lpwstr>Y</vt:lpwstr>
  </property>
  <property fmtid="{D5CDD505-2E9C-101B-9397-08002B2CF9AE}" pid="7" name="JUDGE">
    <vt:lpwstr>נ' הנדל;י' עמית;ד' מינץ</vt:lpwstr>
  </property>
  <property fmtid="{D5CDD505-2E9C-101B-9397-08002B2CF9AE}" pid="8" name="LAWLISTTMP1">
    <vt:lpwstr>70301/144.a:2;144.b2:3;275</vt:lpwstr>
  </property>
  <property fmtid="{D5CDD505-2E9C-101B-9397-08002B2CF9AE}" pid="9" name="LAWLISTTMP2">
    <vt:lpwstr>74903/184:3;144.b2</vt:lpwstr>
  </property>
  <property fmtid="{D5CDD505-2E9C-101B-9397-08002B2CF9AE}" pid="10" name="LAWYER">
    <vt:lpwstr>מריה ציבלין;גאנם וליד;מור עטיה</vt:lpwstr>
  </property>
  <property fmtid="{D5CDD505-2E9C-101B-9397-08002B2CF9AE}" pid="11" name="METAKZER">
    <vt:lpwstr>פאני</vt:lpwstr>
  </property>
  <property fmtid="{D5CDD505-2E9C-101B-9397-08002B2CF9AE}" pid="12" name="NOSE11">
    <vt:lpwstr>עונשין</vt:lpwstr>
  </property>
  <property fmtid="{D5CDD505-2E9C-101B-9397-08002B2CF9AE}" pid="13" name="NOSE110">
    <vt:lpwstr/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דיון פלילי</vt:lpwstr>
  </property>
  <property fmtid="{D5CDD505-2E9C-101B-9397-08002B2CF9AE}" pid="17" name="NOSE15">
    <vt:lpwstr>דיון פלילי</vt:lpwstr>
  </property>
  <property fmtid="{D5CDD505-2E9C-101B-9397-08002B2CF9AE}" pid="18" name="NOSE16">
    <vt:lpwstr>דיון פלילי</vt:lpwstr>
  </property>
  <property fmtid="{D5CDD505-2E9C-101B-9397-08002B2CF9AE}" pid="19" name="NOSE17">
    <vt:lpwstr/>
  </property>
  <property fmtid="{D5CDD505-2E9C-101B-9397-08002B2CF9AE}" pid="20" name="NOSE18">
    <vt:lpwstr/>
  </property>
  <property fmtid="{D5CDD505-2E9C-101B-9397-08002B2CF9AE}" pid="21" name="NOSE19">
    <vt:lpwstr/>
  </property>
  <property fmtid="{D5CDD505-2E9C-101B-9397-08002B2CF9AE}" pid="22" name="NOSE1ID">
    <vt:lpwstr>77;77;77;18;18;18</vt:lpwstr>
  </property>
  <property fmtid="{D5CDD505-2E9C-101B-9397-08002B2CF9AE}" pid="23" name="NOSE21">
    <vt:lpwstr>ענישה</vt:lpwstr>
  </property>
  <property fmtid="{D5CDD505-2E9C-101B-9397-08002B2CF9AE}" pid="24" name="NOSE210">
    <vt:lpwstr/>
  </property>
  <property fmtid="{D5CDD505-2E9C-101B-9397-08002B2CF9AE}" pid="25" name="NOSE22">
    <vt:lpwstr>ענישה</vt:lpwstr>
  </property>
  <property fmtid="{D5CDD505-2E9C-101B-9397-08002B2CF9AE}" pid="26" name="NOSE23">
    <vt:lpwstr>עבירות</vt:lpwstr>
  </property>
  <property fmtid="{D5CDD505-2E9C-101B-9397-08002B2CF9AE}" pid="27" name="NOSE24">
    <vt:lpwstr>ערעור</vt:lpwstr>
  </property>
  <property fmtid="{D5CDD505-2E9C-101B-9397-08002B2CF9AE}" pid="28" name="NOSE25">
    <vt:lpwstr>ערעור</vt:lpwstr>
  </property>
  <property fmtid="{D5CDD505-2E9C-101B-9397-08002B2CF9AE}" pid="29" name="NOSE26">
    <vt:lpwstr>הרשעה</vt:lpwstr>
  </property>
  <property fmtid="{D5CDD505-2E9C-101B-9397-08002B2CF9AE}" pid="30" name="NOSE27">
    <vt:lpwstr/>
  </property>
  <property fmtid="{D5CDD505-2E9C-101B-9397-08002B2CF9AE}" pid="31" name="NOSE28">
    <vt:lpwstr/>
  </property>
  <property fmtid="{D5CDD505-2E9C-101B-9397-08002B2CF9AE}" pid="32" name="NOSE29">
    <vt:lpwstr/>
  </property>
  <property fmtid="{D5CDD505-2E9C-101B-9397-08002B2CF9AE}" pid="33" name="NOSE2ID">
    <vt:lpwstr>1446;1446;1443;504;504;465</vt:lpwstr>
  </property>
  <property fmtid="{D5CDD505-2E9C-101B-9397-08002B2CF9AE}" pid="34" name="NOSE31">
    <vt:lpwstr>מדיניות ענישה: עבירות נשק</vt:lpwstr>
  </property>
  <property fmtid="{D5CDD505-2E9C-101B-9397-08002B2CF9AE}" pid="35" name="NOSE310">
    <vt:lpwstr/>
  </property>
  <property fmtid="{D5CDD505-2E9C-101B-9397-08002B2CF9AE}" pid="36" name="NOSE32">
    <vt:lpwstr>מדיניות ענישה: שיקולים לחומרה</vt:lpwstr>
  </property>
  <property fmtid="{D5CDD505-2E9C-101B-9397-08002B2CF9AE}" pid="37" name="NOSE33">
    <vt:lpwstr>החזקת נשק שלא כדין</vt:lpwstr>
  </property>
  <property fmtid="{D5CDD505-2E9C-101B-9397-08002B2CF9AE}" pid="38" name="NOSE34">
    <vt:lpwstr>אי-התערבות בממצאים עובדתיים</vt:lpwstr>
  </property>
  <property fmtid="{D5CDD505-2E9C-101B-9397-08002B2CF9AE}" pid="39" name="NOSE35">
    <vt:lpwstr>אי-התערבות בחומרת העונש</vt:lpwstr>
  </property>
  <property fmtid="{D5CDD505-2E9C-101B-9397-08002B2CF9AE}" pid="40" name="NOSE36">
    <vt:lpwstr>בעבירה על-פי עובדות שלא נטענו</vt:lpwstr>
  </property>
  <property fmtid="{D5CDD505-2E9C-101B-9397-08002B2CF9AE}" pid="41" name="NOSE37">
    <vt:lpwstr/>
  </property>
  <property fmtid="{D5CDD505-2E9C-101B-9397-08002B2CF9AE}" pid="42" name="NOSE38">
    <vt:lpwstr/>
  </property>
  <property fmtid="{D5CDD505-2E9C-101B-9397-08002B2CF9AE}" pid="43" name="NOSE39">
    <vt:lpwstr/>
  </property>
  <property fmtid="{D5CDD505-2E9C-101B-9397-08002B2CF9AE}" pid="44" name="NOSE3ID">
    <vt:lpwstr>13800;8995;8797;3849;17692;3632</vt:lpwstr>
  </property>
  <property fmtid="{D5CDD505-2E9C-101B-9397-08002B2CF9AE}" pid="45" name="PADIDATE">
    <vt:lpwstr>20201123</vt:lpwstr>
  </property>
  <property fmtid="{D5CDD505-2E9C-101B-9397-08002B2CF9AE}" pid="46" name="PADIMAIL">
    <vt:lpwstr>YES</vt:lpwstr>
  </property>
  <property fmtid="{D5CDD505-2E9C-101B-9397-08002B2CF9AE}" pid="47" name="PROCESS">
    <vt:lpwstr>עפ;עפ;עפ</vt:lpwstr>
  </property>
  <property fmtid="{D5CDD505-2E9C-101B-9397-08002B2CF9AE}" pid="48" name="PROCNUM">
    <vt:lpwstr>7595;8667;331</vt:lpwstr>
  </property>
  <property fmtid="{D5CDD505-2E9C-101B-9397-08002B2CF9AE}" pid="49" name="PROCYEAR">
    <vt:lpwstr>19;19;20</vt:lpwstr>
  </property>
  <property fmtid="{D5CDD505-2E9C-101B-9397-08002B2CF9AE}" pid="50" name="PSAKDIN">
    <vt:lpwstr>פסק-דין</vt:lpwstr>
  </property>
  <property fmtid="{D5CDD505-2E9C-101B-9397-08002B2CF9AE}" pid="51" name="TYPE">
    <vt:lpwstr>1</vt:lpwstr>
  </property>
  <property fmtid="{D5CDD505-2E9C-101B-9397-08002B2CF9AE}" pid="52" name="TYPE_ABS_DATE">
    <vt:lpwstr>410120201122</vt:lpwstr>
  </property>
  <property fmtid="{D5CDD505-2E9C-101B-9397-08002B2CF9AE}" pid="53" name="TYPE_N_DATE">
    <vt:lpwstr>41020201122</vt:lpwstr>
  </property>
  <property fmtid="{D5CDD505-2E9C-101B-9397-08002B2CF9AE}" pid="54" name="WORDNUMPAGES">
    <vt:lpwstr>17</vt:lpwstr>
  </property>
</Properties>
</file>