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7596/20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07.</w:t>
            </w:r>
            <w:r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1906-11-18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משניות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04.10.2021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סויסה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קידר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354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 ערעור על הכרעת דין ועל גזר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במסגרתם הורשע המערער בשורת עבירות מין חמורות שביצע באחותו הצעירה ממנו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משך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מאז הייתה כבת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ונגזרו עליו </w:t>
      </w:r>
      <w:r>
        <w:rPr>
          <w:rFonts w:cs="Times New Roman" w:ascii="Times New Roman" w:hAnsi="Times New Roman"/>
          <w:spacing w:val="0"/>
          <w:sz w:val="24"/>
          <w:szCs w:val="26"/>
        </w:rPr>
        <w:t>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ופיצוי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היתר נפסק כי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יש סקאלה של עבירות מין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מקלות ועד חמורות מאוד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כדי שביהמ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 יצדיק מדוע הגיע לעונש מאסר של מספר שנים מסוים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עליו להציג הנמקה רציונלית ועניינית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כאן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יש מספר רב של פרמטרים שמראים שהעונש הוא הולם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קורבן עבירת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עדות כבושה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ערכאת 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דין ועל גזר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במסגרתם הורשע המערער בשורת עבירות מין חמורות שביצע באחותו הצעירה ממנו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משך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מאז הייתה כבת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ונגזרו עליו </w:t>
      </w:r>
      <w:r>
        <w:rPr>
          <w:rFonts w:cs="Times New Roman" w:ascii="Times New Roman" w:hAnsi="Times New Roman"/>
          <w:spacing w:val="0"/>
          <w:sz w:val="24"/>
          <w:szCs w:val="26"/>
        </w:rPr>
        <w:t>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ופיצוי בשיעור המרבי הקבוע בחוק בסך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טוען כי יש לזכותו באופן מוחלט מחמת הספק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לחלופין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מבקש להפחית את עונש המאסר ואת הפיצוי הכספי שנגזרו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המשנה לנשיאה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 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FrankRuehl" w:cs="Times New Roman"/>
          <w:spacing w:val="0"/>
          <w:sz w:val="24"/>
          <w:szCs w:val="26"/>
        </w:rPr>
      </w:pP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כלל מושרש הוא כי בימ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 זה אינו נכנס לנעלי הערכאה הדיונית ואינו בוחן מחדש את העדויות שמצאה כמהימנות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על בסיס התרשמות ישירה מהעדים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ערכאת הערעור תתערב רק כאשר יש עילה משפטית שמונעת השארת קביעותיו של ביהמ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 שבפניו נשמעו הראיות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כלל זה אינו נסוג עת מדובר בעבירות מין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המבוצעות פעמים רבות בחדרי חדרים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כאשר לא פעם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רק המעורבים הישירים במעשים יכולים להעיד עליהם מכלי ראשון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בשל העובדה כי עבירות מין עוסקות בנושא טראומטי ואינטימי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הטון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שפת הגוף וכל הגורמים שאינם שייכים ישירות לתוכן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מקבלים משקל משמעותי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באופן המקנה יתרון מובנה לערכאה הדיונית על פני ערכאת הערעור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FrankRuehl" w:cs="Times New Roman"/>
          <w:spacing w:val="0"/>
          <w:sz w:val="24"/>
          <w:szCs w:val="26"/>
        </w:rPr>
      </w:pP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במקרה דנא</w:t>
      </w:r>
      <w:r>
        <w:rPr>
          <w:rFonts w:ascii="FrankRuehl" w:hAnsi="FrankRuehl" w:eastAsia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 נוכח המאפיינים הייחודים במלאכת הכרעת הדין בעבירות מין ומשאין בנמצא תבנית 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סבירה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של התנהגות מתלוננת בעבירות מין </w:t>
      </w:r>
      <w:r>
        <w:rPr>
          <w:rFonts w:ascii="FrankRuehl" w:hAnsi="FrankRuehl" w:eastAsia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 אין בכך שהמתלוננת במקרה זה נמנעה מלשתף אחרים בסמיכות לאירועים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במשך תקופה ארוכה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כדי להצדיק סטייה מכלל אי ההתערבות של ערכאת הערעור בממצאים עובדתיים שנקבעו על ידי הערכאה ששמעה את הראיות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FrankRuehl" w:cs="Times New Roman"/>
          <w:spacing w:val="0"/>
          <w:sz w:val="24"/>
          <w:szCs w:val="26"/>
        </w:rPr>
      </w:pP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עבירות מין המבוצעות על ידי בן משפחה נעשות במחשכים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תחת מעטה של הסתרה ולעיתים גם תחושות אשמה ובושה של קורבן העבירה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באופן המסייע להבטיח את שתיקתו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נפגעת יכולתו של קורבן העבירה לספר על אודות האירועים באופן מפורט ומדויק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תוך הבאת תימוכין בדמות ראיות חיצוניות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hyperlink r:id="rId9">
        <w:r>
          <w:rPr>
            <w:rStyle w:val="Hyperlink"/>
            <w:rFonts w:ascii="Times New Roman" w:hAnsi="Times New Roman" w:eastAsia="FrankRuehl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eastAsia="FrankRuehl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FrankRuehl" w:cs="Times New Roman" w:ascii="Times New Roman" w:hAnsi="Times New Roman"/>
            <w:spacing w:val="0"/>
            <w:sz w:val="24"/>
            <w:szCs w:val="26"/>
          </w:rPr>
          <w:t>54</w:t>
        </w:r>
        <w:r>
          <w:rPr>
            <w:rStyle w:val="Hyperlink"/>
            <w:rFonts w:ascii="Times New Roman" w:hAnsi="Times New Roman" w:eastAsia="FrankRuehl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eastAsia="FrankRuehl"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eastAsia="FrankRuehl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eastAsia="FrankRuehl"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ascii="Times New Roman" w:hAnsi="Times New Roman" w:eastAsia="FrankRuehl" w:cs="Times New Roman"/>
            <w:spacing w:val="0"/>
            <w:sz w:val="24"/>
            <w:sz w:val="24"/>
            <w:szCs w:val="26"/>
            <w:rtl w:val="true"/>
          </w:rPr>
          <w:t>פקודת הראיות</w:t>
        </w:r>
      </w:hyperlink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 נועד להתמודד עם קושי זה בהוכחת ביצוע עבירות מין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ולפיו ניתן להרשיע על פי עדות יחידה של נפגע עבירה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ללא חיזוק ראייתי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בכפוף לחובת הנמקה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התרשם ביהמ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 קמא כי די היה בעדות המתלוננת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אילו הייתה עדות יחידה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על מנת לקיים את חובת ההנמקה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ישנן ראיות נוספות התומכות בגרסתה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ראיות נוספות המחזקות את גרסת המתלוננת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עדויות קרוביה על מצבה הנפשי בעת שחשפה את העבירות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עדויות שני אחים שבילדותם ראו מעשים מגונים שביצע המערער במתלוננת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התכתבויות המתלוננת עם המטפלת שלה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שקרי המערער וראשית הודאה שלו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FrankRuehl" w:cs="Times New Roman"/>
          <w:spacing w:val="0"/>
          <w:sz w:val="24"/>
          <w:szCs w:val="26"/>
        </w:rPr>
      </w:pP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גם טענת המערער באשר לקיומה של עלילת שווא שנועדה לפגוע בו ובאביהם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בשל סכסוך כספי בין המתלוננת לבין האב אינה מעוררת ספק סביר בדבר ביצוע העבירות בהן הורשע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טענה זו אינה עולה בקנה אחד עם ההיגיון והשכל הישר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שהרי לא ברור מדוע המתלוננת נזקקה לסיפור כה מורכב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המכוון נגד המערער דווקא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ולא נגד האב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FrankRuehl" w:cs="Times New Roman"/>
          <w:spacing w:val="0"/>
          <w:sz w:val="24"/>
          <w:szCs w:val="26"/>
        </w:rPr>
      </w:pP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כן נדחתה טענת המערער כי הגנתו נפגעה משום שהודעת האם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אשר שללה פגיעה במתלוננת לא צורפה לראיות שעמדו בפני ביהמ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ראשית כיוון שלא התקיימו תנאי </w:t>
      </w:r>
      <w:hyperlink r:id="rId11">
        <w:r>
          <w:rPr>
            <w:rStyle w:val="Hyperlink"/>
            <w:rFonts w:ascii="Times New Roman" w:hAnsi="Times New Roman" w:eastAsia="FrankRuehl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eastAsia="FrankRuehl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FrankRuehl" w:cs="Times New Roman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ascii="Times New Roman" w:hAnsi="Times New Roman" w:eastAsia="FrankRuehl" w:cs="Times New Roman"/>
            <w:spacing w:val="0"/>
            <w:sz w:val="24"/>
            <w:sz w:val="24"/>
            <w:szCs w:val="26"/>
            <w:rtl w:val="true"/>
          </w:rPr>
          <w:t>ב</w:t>
        </w:r>
      </w:hyperlink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12">
        <w:r>
          <w:rPr>
            <w:rStyle w:val="Hyperlink"/>
            <w:rFonts w:ascii="Times New Roman" w:hAnsi="Times New Roman" w:eastAsia="FrankRuehl" w:cs="Times New Roman"/>
            <w:spacing w:val="0"/>
            <w:sz w:val="24"/>
            <w:sz w:val="24"/>
            <w:szCs w:val="26"/>
            <w:rtl w:val="true"/>
          </w:rPr>
          <w:t>פקודת הראיות</w:t>
        </w:r>
      </w:hyperlink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בהיעדר הסכמת התביעה והיות תוכן האמרה שנוי במחלוקת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לגופם של דברים על אף שבהודעתה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האם שללה פגיעה במתלוננת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מעדות חוקרת המשטרה שגבתה את ההודעה עולה כי מצבה הבריאותי והקוגניטיבי בעת גביית העדות היה ירוד ולפיכך מדובר בעדות דלה אשר משקלה מועט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FrankRuehl" w:cs="Times New Roman"/>
          <w:spacing w:val="0"/>
          <w:sz w:val="24"/>
          <w:szCs w:val="26"/>
        </w:rPr>
      </w:pP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ערעור על גזר הדין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אכן עונש מאסר בפועל לתקופה של </w:t>
      </w:r>
      <w:r>
        <w:rPr>
          <w:rFonts w:eastAsia="FrankRuehl" w:cs="Times New Roman" w:ascii="Times New Roman" w:hAnsi="Times New Roman"/>
          <w:spacing w:val="0"/>
          <w:sz w:val="24"/>
          <w:szCs w:val="26"/>
        </w:rPr>
        <w:t>19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שנים הוא עונש כבד וקשה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העיקרון המנחה כיום לאחר תיקון מס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eastAsia="FrankRuehl" w:cs="Times New Roman" w:ascii="Times New Roman" w:hAnsi="Times New Roman"/>
          <w:spacing w:val="0"/>
          <w:sz w:val="24"/>
          <w:szCs w:val="26"/>
        </w:rPr>
        <w:t>113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ascii="Times New Roman" w:hAnsi="Times New Roman" w:eastAsia="FrankRuehl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 הוא עיקרון ההלימה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יש סקאלה של עבירות מין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מקלות ועד חמורות מאוד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כדי שביהמ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 יצדיק מדוע הגיע לתוצאה של מספר שנים מסוים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עליו להציג הנמקה רציונלית ועניינית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כאן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יש מספר רב של פרמטרים שמראים שהעונש הוא הולם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התקופה הארוכה שנמשכה </w:t>
      </w:r>
      <w:r>
        <w:rPr>
          <w:rFonts w:eastAsia="FrankRuehl" w:cs="Times New Roman" w:ascii="Times New Roman" w:hAnsi="Times New Roman"/>
          <w:spacing w:val="0"/>
          <w:sz w:val="24"/>
          <w:szCs w:val="26"/>
        </w:rPr>
        <w:t>15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במהלכה התבצעו העבירות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אמנם בתחילת התקופה המערער היה קטין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אך העבירות בוצעו עד היותו כבן </w:t>
      </w:r>
      <w:r>
        <w:rPr>
          <w:rFonts w:eastAsia="FrankRuehl" w:cs="Times New Roman" w:ascii="Times New Roman" w:hAnsi="Times New Roman"/>
          <w:spacing w:val="0"/>
          <w:sz w:val="24"/>
          <w:szCs w:val="26"/>
        </w:rPr>
        <w:t>31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לאורך התקופה משקל רב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וודאי מנקודת המבט של המתלוננת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מבחינת טיב המעשה – המערער הורשע בעבירות חמורות של מעשים מגונים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אינוס ומעשי סדום בבת משפחתו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אשר החלו בהיותה קטינה והמשיכו לתוך חייה הבוגרים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שלישית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ריבוי העבירות משקף את חומרת מעשיו של המערער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רביעית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גילה הצעיר של המתלוננת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אשר למדה לחיות בצל מעשיו של המערער מאז הייתה כבת </w:t>
      </w:r>
      <w:r>
        <w:rPr>
          <w:rFonts w:eastAsia="FrankRuehl" w:cs="Times New Roman" w:ascii="Times New Roman" w:hAnsi="Times New Roman"/>
          <w:spacing w:val="0"/>
          <w:sz w:val="24"/>
          <w:szCs w:val="26"/>
        </w:rPr>
        <w:t>6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חמישית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הקשר בין המערער לבין המתלוננת קורבן העבירה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 xml:space="preserve">אחים שפער הגילים ביניהם הוא </w:t>
      </w:r>
      <w:r>
        <w:rPr>
          <w:rFonts w:eastAsia="FrankRuehl" w:cs="Times New Roman" w:ascii="Times New Roman" w:hAnsi="Times New Roman"/>
          <w:spacing w:val="0"/>
          <w:sz w:val="24"/>
          <w:szCs w:val="26"/>
        </w:rPr>
        <w:t>10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מעיד על כך שהמערער ניצל את מרותו על אחותו הקטנה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התלויה בו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וגרם לה לפגיעה מטלטלת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חילל את צלם האדם שבה והפך את ביתה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מבצרה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המקום בו הייתה אמורה להרגיש הכי בטוחה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לבית של סיוט נמשך שאין ממנו בריחה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התיאור האמור מגלה כי לצערנו המתלוננת הייתה קורבן חסר ישע באופן מובהק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כמובן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הנימוקים מצטברים זה לזה – משך התקופה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טיב המעשים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ריבוי העבירות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גיל המתלוננת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גיל המערער והקשר המשפחתי בין המערער למתלוננת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מבליטים מאוד את החומרה הרבה שביסוד המעשים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ומצדיקים מתן עונש הולם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אשר ירתיע אחרים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על כך יש להוסיף כי גזרי דין בנסיבות דומות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המעידים על מדיניות הענישה הראויה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השיתו על נאשמים עונש דומה לעונשו של המערער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FrankRuehl" w:cs="Times New Roman"/>
          <w:spacing w:val="0"/>
          <w:sz w:val="24"/>
          <w:szCs w:val="26"/>
        </w:rPr>
      </w:pP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מתסקיר נפגעת העבירה עולה כי למעשי המערער השלכות קשות על חייה ובהן פגיעה קשה בתפקודה היום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יומי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התסקיר מדגיש את הצורך של המתלוננת בטיפול ואת החשיבות בפיצוי שיסייע לה לבצעו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המסקנה היא כי גם עונש המאסר בפועל וגם שיעור הפיצוי שהושת על המערער מהווים תגובה חברתית ראויה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השואפת להגן על בנות ובני החברה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eastAsia="FrankRuehl" w:cs="Times New Roman"/>
          <w:spacing w:val="0"/>
          <w:sz w:val="24"/>
          <w:sz w:val="24"/>
          <w:szCs w:val="26"/>
          <w:rtl w:val="true"/>
        </w:rPr>
        <w:t>לא נמצא עילה להתערב אף בגזר הדין</w:t>
      </w:r>
      <w:r>
        <w:rPr>
          <w:rFonts w:eastAsia="FrankRuehl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eastAsia="FrankRuehl" w:cs="Times New Roman"/>
          <w:spacing w:val="0"/>
          <w:sz w:val="24"/>
          <w:szCs w:val="26"/>
        </w:rPr>
      </w:pPr>
      <w:r>
        <w:rPr>
          <w:rFonts w:eastAsia="FrankRuehl"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1906-11-18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משניות</w:t>
      </w:r>
      <w:r>
        <w:rPr>
          <w:rtl w:val="true"/>
        </w:rPr>
        <w:t xml:space="preserve">), </w:t>
      </w:r>
      <w:r>
        <w:rPr>
          <w:rtl w:val="true"/>
        </w:rPr>
        <w:t>במסגרתם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והסלימו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.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לחתונה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eastAsia="Miriam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Miriam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Miriam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Miriam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Miriam" w:cs="Miriam"/>
          <w:b/>
          <w:b/>
          <w:spacing w:val="0"/>
          <w:szCs w:val="24"/>
          <w:rtl w:val="true"/>
        </w:rPr>
        <w:t>מושא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Miriam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כפר בכל העבירות שיוחסו לו בכתב האישום ולאחר ניהול הוכחות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קמא דחה את גרסתו והרשיעו פה אחד בכל האישומים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עדות המתלוננת מהימנה וכי מחזקות אותה ראיות נוספות שיכולות להוות חיזוק או סיוע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גרסת המערער נדחתה כבלתי מהימנה בשל שקריו בעניינים הרלוונטיים לבירור האשמה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נוסף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נמצאה ראשית הודאה של המערער בעבירות המיוחסות לו בכתב האישום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/>
        </w:rPr>
        <w:t>3</w:t>
      </w:r>
      <w:r>
        <w:rPr>
          <w:rFonts w:eastAsia="FrankRuehl"/>
          <w:rtl w:val="true"/>
        </w:rPr>
        <w:t>.</w:t>
        <w:tab/>
      </w:r>
      <w:r>
        <w:rPr>
          <w:rFonts w:eastAsia="FrankRuehl"/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ומנגד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פלילי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שהפסיק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לסבל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למשפחתו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</w:rPr>
        <w:t>19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בפועל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</w:rPr>
        <w:t>258,000</w:t>
      </w:r>
      <w:r>
        <w:rPr>
          <w:rFonts w:eastAsia="FrankRuehl"/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Fonts w:eastAsia="FrankRuehl"/>
          <w:rtl w:val="true"/>
        </w:rPr>
        <w:t>.</w:t>
      </w:r>
    </w:p>
    <w:p>
      <w:pPr>
        <w:pStyle w:val="Normal"/>
        <w:spacing w:before="240" w:after="240"/>
        <w:ind w:end="0"/>
        <w:jc w:val="both"/>
        <w:rPr>
          <w:rFonts w:eastAsia="FrankRuehl" w:cs="Miriam"/>
          <w:b/>
          <w:sz w:val="22"/>
        </w:rPr>
      </w:pPr>
      <w:r>
        <w:rPr>
          <w:rFonts w:eastAsia="FrankRuehl" w:cs="Miriam"/>
          <w:b/>
          <w:b/>
          <w:sz w:val="22"/>
          <w:sz w:val="22"/>
          <w:rtl w:val="true"/>
        </w:rPr>
        <w:t>טענות</w:t>
      </w:r>
      <w:r>
        <w:rPr>
          <w:rFonts w:eastAsia="Times New Roman" w:cs="Times New Roman"/>
          <w:b/>
          <w:b/>
          <w:sz w:val="22"/>
          <w:sz w:val="22"/>
          <w:rtl w:val="true"/>
        </w:rPr>
        <w:t xml:space="preserve"> </w:t>
      </w:r>
      <w:r>
        <w:rPr>
          <w:rFonts w:eastAsia="FrankRuehl" w:cs="Miriam"/>
          <w:b/>
          <w:b/>
          <w:sz w:val="22"/>
          <w:sz w:val="22"/>
          <w:rtl w:val="true"/>
        </w:rPr>
        <w:t>המערער</w:t>
      </w:r>
    </w:p>
    <w:p>
      <w:pPr>
        <w:pStyle w:val="Ruller4"/>
        <w:ind w:end="0"/>
        <w:jc w:val="both"/>
        <w:rPr>
          <w:rFonts w:eastAsia="FrankRuehl"/>
          <w:sz w:val="20"/>
        </w:rPr>
      </w:pPr>
      <w:r>
        <w:rPr>
          <w:rFonts w:eastAsia="FrankRuehl"/>
        </w:rPr>
        <w:t>4</w:t>
      </w:r>
      <w:r>
        <w:rPr>
          <w:rFonts w:eastAsia="FrankRuehl"/>
          <w:rtl w:val="true"/>
        </w:rPr>
        <w:t>.</w:t>
        <w:tab/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מוחלט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הספק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לטענתו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במהימנותה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מחברתו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שבגרה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כבשה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מניח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הדעת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כעלילת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שנועדה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ובאביהם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האב</w:t>
      </w:r>
      <w:r>
        <w:rPr>
          <w:rFonts w:eastAsia="FrankRuehl"/>
          <w:rtl w:val="true"/>
        </w:rPr>
        <w:t>.</w:t>
      </w:r>
    </w:p>
    <w:p>
      <w:pPr>
        <w:pStyle w:val="Ruller4"/>
        <w:ind w:end="0"/>
        <w:jc w:val="both"/>
        <w:rPr>
          <w:rFonts w:eastAsia="FrankRuehl"/>
          <w:sz w:val="20"/>
        </w:rPr>
      </w:pPr>
      <w:r>
        <w:rPr>
          <w:rFonts w:eastAsia="FrankRuehl"/>
          <w:sz w:val="20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כשקיבל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המטפלת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במתלוננת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מאמנת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אישית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בריאות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הנפש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ועוד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קובל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משטרה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לטעמו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בזכותו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יומו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ופגם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בשלמות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הראייתית</w:t>
      </w:r>
      <w:r>
        <w:rPr>
          <w:rFonts w:eastAsia="FrankRuehl"/>
          <w:rtl w:val="true"/>
        </w:rPr>
        <w:t>.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לחלופין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עליו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לשיטתו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מופרז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הנעדר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עובדתית</w:t>
      </w:r>
      <w:r>
        <w:rPr>
          <w:rFonts w:eastAsia="FrankRuehl"/>
          <w:rtl w:val="true"/>
        </w:rPr>
        <w:t>.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</w:rPr>
        <w:t>5</w:t>
      </w:r>
      <w:r>
        <w:rPr>
          <w:rFonts w:eastAsia="FrankRuehl"/>
          <w:rtl w:val="true"/>
        </w:rPr>
        <w:t>.</w:t>
        <w:tab/>
      </w:r>
      <w:r>
        <w:rPr>
          <w:rFonts w:eastAsia="FrankRuehl"/>
          <w:rtl w:val="true"/>
        </w:rPr>
        <w:t>מנגד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הדין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לטעמה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בהם</w:t>
      </w:r>
      <w:r>
        <w:rPr>
          <w:rFonts w:eastAsia="FrankRuehl"/>
          <w:rtl w:val="true"/>
        </w:rPr>
        <w:t>.</w:t>
      </w:r>
    </w:p>
    <w:p>
      <w:pPr>
        <w:pStyle w:val="Normal"/>
        <w:spacing w:before="240" w:after="240"/>
        <w:ind w:end="0"/>
        <w:jc w:val="both"/>
        <w:rPr>
          <w:rFonts w:eastAsia="FrankRuehl" w:cs="Miriam"/>
          <w:b/>
          <w:sz w:val="22"/>
        </w:rPr>
      </w:pPr>
      <w:r>
        <w:rPr>
          <w:rFonts w:eastAsia="FrankRuehl" w:cs="Miriam"/>
          <w:b/>
          <w:b/>
          <w:sz w:val="22"/>
          <w:sz w:val="22"/>
          <w:rtl w:val="true"/>
        </w:rPr>
        <w:t>דיון</w:t>
      </w:r>
      <w:r>
        <w:rPr>
          <w:rFonts w:eastAsia="Times New Roman" w:cs="Times New Roman"/>
          <w:b/>
          <w:b/>
          <w:sz w:val="22"/>
          <w:sz w:val="22"/>
          <w:rtl w:val="true"/>
        </w:rPr>
        <w:t xml:space="preserve"> </w:t>
      </w:r>
      <w:r>
        <w:rPr>
          <w:rFonts w:eastAsia="FrankRuehl" w:cs="Miriam"/>
          <w:b/>
          <w:b/>
          <w:sz w:val="22"/>
          <w:sz w:val="22"/>
          <w:rtl w:val="true"/>
        </w:rPr>
        <w:t>והכרעה</w:t>
      </w:r>
      <w:r>
        <w:rPr>
          <w:rFonts w:eastAsia="Times New Roman" w:cs="Times New Roman"/>
          <w:b/>
          <w:b/>
          <w:sz w:val="22"/>
          <w:sz w:val="22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</w:rPr>
        <w:t>6</w:t>
      </w:r>
      <w:r>
        <w:rPr>
          <w:rFonts w:eastAsia="FrankRuehl"/>
          <w:rtl w:val="true"/>
        </w:rPr>
        <w:t>.</w:t>
        <w:tab/>
      </w:r>
      <w:r>
        <w:rPr>
          <w:rFonts w:eastAsia="FrankRuehl"/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מושרש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לנעלי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שמצאה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כמהימנות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מהעדים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הגיון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בצידו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מהטעם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מתנהל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המבררת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מתרשמת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מהעדים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לעדשת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המבררת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מכאן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שמונעת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השארת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שבפניו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הראיות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בחדרי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חדרים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פעם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הישירים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מכלי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ראשון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עוסקות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טראומטי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ואינטימי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הטון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שפת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שייכים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לתוכן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משמעותי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יתרון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מובנה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(</w:t>
      </w:r>
      <w:hyperlink r:id="rId15">
        <w:r>
          <w:rPr>
            <w:rStyle w:val="Hyperlink"/>
            <w:rFonts w:eastAsia="FrankRuehl"/>
            <w:color w:val="0000FF"/>
            <w:u w:val="single"/>
            <w:rtl w:val="true"/>
          </w:rPr>
          <w:t>ע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"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</w:rPr>
          <w:t>6375/02</w:t>
        </w:r>
      </w:hyperlink>
      <w:r>
        <w:rPr>
          <w:rFonts w:eastAsia="FrankRuehl"/>
          <w:rtl w:val="true"/>
        </w:rPr>
        <w:t xml:space="preserve"> </w:t>
      </w:r>
      <w:r>
        <w:rPr>
          <w:rFonts w:eastAsia="FrankRuehl" w:cs="Miriam"/>
          <w:b/>
          <w:b/>
          <w:spacing w:val="0"/>
          <w:szCs w:val="24"/>
          <w:rtl w:val="true"/>
        </w:rPr>
        <w:t>בבקוב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FrankRuehl" w:cs="Miriam"/>
          <w:b/>
          <w:b/>
          <w:spacing w:val="0"/>
          <w:szCs w:val="24"/>
          <w:rtl w:val="true"/>
        </w:rPr>
        <w:t>נ</w:t>
      </w:r>
      <w:r>
        <w:rPr>
          <w:rFonts w:eastAsia="FrankRuehl" w:cs="Miriam"/>
          <w:b/>
          <w:spacing w:val="0"/>
          <w:szCs w:val="24"/>
          <w:rtl w:val="true"/>
        </w:rPr>
        <w:t xml:space="preserve">' </w:t>
      </w:r>
      <w:r>
        <w:rPr>
          <w:rFonts w:eastAsia="FrankRuehl"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FrankRuehl" w:cs="Miriam"/>
          <w:b/>
          <w:b/>
          <w:spacing w:val="0"/>
          <w:szCs w:val="24"/>
          <w:rtl w:val="true"/>
        </w:rPr>
        <w:t>ישראל</w:t>
      </w:r>
      <w:r>
        <w:rPr>
          <w:rFonts w:eastAsia="FrankRuehl" w:cs="Miriam"/>
          <w:b/>
          <w:spacing w:val="0"/>
          <w:szCs w:val="24"/>
          <w:rtl w:val="true"/>
        </w:rPr>
        <w:t>,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פ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נח</w:t>
      </w:r>
      <w:r>
        <w:rPr>
          <w:rFonts w:eastAsia="FrankRuehl"/>
          <w:rtl w:val="true"/>
        </w:rPr>
        <w:t>(</w:t>
      </w:r>
      <w:r>
        <w:rPr>
          <w:rFonts w:eastAsia="FrankRuehl"/>
        </w:rPr>
        <w:t>2</w:t>
      </w:r>
      <w:r>
        <w:rPr>
          <w:rFonts w:eastAsia="FrankRuehl"/>
          <w:rtl w:val="true"/>
        </w:rPr>
        <w:t xml:space="preserve">) </w:t>
      </w:r>
      <w:r>
        <w:rPr>
          <w:rFonts w:eastAsia="FrankRuehl"/>
        </w:rPr>
        <w:t>419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</w:rPr>
        <w:t>426-425</w:t>
      </w:r>
      <w:r>
        <w:rPr>
          <w:rFonts w:eastAsia="FrankRuehl"/>
          <w:rtl w:val="true"/>
        </w:rPr>
        <w:t xml:space="preserve"> (</w:t>
      </w:r>
      <w:r>
        <w:rPr>
          <w:rFonts w:eastAsia="FrankRuehl"/>
        </w:rPr>
        <w:t>2004</w:t>
      </w:r>
      <w:r>
        <w:rPr>
          <w:rFonts w:eastAsia="FrankRuehl"/>
          <w:rtl w:val="true"/>
        </w:rPr>
        <w:t xml:space="preserve">) </w:t>
      </w:r>
      <w:r>
        <w:rPr>
          <w:rFonts w:eastAsia="FrankRuehl"/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</w:t>
      </w:r>
      <w:hyperlink r:id="rId16">
        <w:r>
          <w:rPr>
            <w:rStyle w:val="Hyperlink"/>
            <w:rFonts w:eastAsia="FrankRuehl"/>
            <w:color w:val="0000FF"/>
            <w:u w:val="single"/>
            <w:rtl w:val="true"/>
          </w:rPr>
          <w:t>ע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"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</w:rPr>
          <w:t>5633/12</w:t>
        </w:r>
      </w:hyperlink>
      <w:r>
        <w:rPr>
          <w:rFonts w:eastAsia="FrankRuehl"/>
          <w:rtl w:val="true"/>
        </w:rPr>
        <w:t xml:space="preserve"> </w:t>
      </w:r>
      <w:r>
        <w:rPr>
          <w:rFonts w:eastAsia="FrankRuehl" w:cs="Miriam"/>
          <w:b/>
          <w:b/>
          <w:spacing w:val="0"/>
          <w:szCs w:val="24"/>
          <w:rtl w:val="true"/>
        </w:rPr>
        <w:t>ניימן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FrankRuehl" w:cs="Miriam"/>
          <w:b/>
          <w:b/>
          <w:spacing w:val="0"/>
          <w:szCs w:val="24"/>
          <w:rtl w:val="true"/>
        </w:rPr>
        <w:t>נ</w:t>
      </w:r>
      <w:r>
        <w:rPr>
          <w:rFonts w:eastAsia="FrankRuehl" w:cs="Miriam"/>
          <w:b/>
          <w:spacing w:val="0"/>
          <w:szCs w:val="24"/>
          <w:rtl w:val="true"/>
        </w:rPr>
        <w:t xml:space="preserve">' </w:t>
      </w:r>
      <w:r>
        <w:rPr>
          <w:rFonts w:eastAsia="FrankRuehl"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FrankRuehl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בנבו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FrankRuehl"/>
          <w:rtl w:val="true"/>
        </w:rPr>
        <w:t>(</w:t>
      </w:r>
      <w:r>
        <w:rPr>
          <w:rFonts w:eastAsia="FrankRuehl"/>
        </w:rPr>
        <w:t>10.7.2013</w:t>
      </w:r>
      <w:r>
        <w:rPr>
          <w:rFonts w:eastAsia="FrankRuehl"/>
          <w:rtl w:val="true"/>
        </w:rPr>
        <w:t xml:space="preserve">)). </w:t>
      </w:r>
    </w:p>
    <w:p>
      <w:pPr>
        <w:pStyle w:val="Ruller4"/>
        <w:ind w:end="0"/>
        <w:jc w:val="both"/>
        <w:rPr>
          <w:rFonts w:eastAsia="FrankRuehl"/>
          <w:sz w:val="20"/>
        </w:rPr>
      </w:pPr>
      <w:r>
        <w:rPr>
          <w:rFonts w:eastAsia="FrankRuehl"/>
          <w:sz w:val="20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ישנם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ייחודיים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במלאכת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ונכון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הנסיבות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כוונתי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כלליים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אחרות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מסייעות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כך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למשל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רכוש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נימוק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מיוחד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תגיש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לאירוע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ווריאנט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אלימות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יגיש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תלונתו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למקרה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כך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התלונה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זאת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לדוגמה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הפוגע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תגיש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מיד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שנים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כך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בקטינים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(</w:t>
      </w:r>
      <w:r>
        <w:rPr>
          <w:rFonts w:eastAsia="FrankRuehl"/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Fonts w:eastAsia="FrankRuehl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eastAsia="FrankRuehl"/>
          </w:rPr>
          <w:t>354</w:t>
        </w:r>
      </w:hyperlink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ל</w:t>
      </w:r>
      <w:hyperlink r:id="rId18">
        <w:r>
          <w:rPr>
            <w:rStyle w:val="Hyperlink"/>
            <w:rFonts w:eastAsia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העונשין</w:t>
        </w:r>
      </w:hyperlink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התשל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ז</w:t>
      </w:r>
      <w:r>
        <w:rPr>
          <w:rFonts w:eastAsia="FrankRuehl"/>
          <w:rtl w:val="true"/>
        </w:rPr>
        <w:t>-</w:t>
      </w:r>
      <w:r>
        <w:rPr>
          <w:rFonts w:eastAsia="FrankRuehl"/>
        </w:rPr>
        <w:t>1977</w:t>
      </w:r>
      <w:r>
        <w:rPr>
          <w:rFonts w:eastAsia="FrankRuehl"/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בקטין</w:t>
      </w:r>
      <w:r>
        <w:rPr>
          <w:rFonts w:eastAsia="FrankRuehl"/>
          <w:rtl w:val="true"/>
        </w:rPr>
        <w:t xml:space="preserve">). </w:t>
      </w:r>
      <w:r>
        <w:rPr>
          <w:rFonts w:eastAsia="FrankRuehl"/>
          <w:rtl w:val="true"/>
        </w:rPr>
        <w:t>כמובן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ששומע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נסיבותיו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ככלל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השוני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אחרות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מעוגן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האנושית</w:t>
      </w:r>
      <w:r>
        <w:rPr>
          <w:rFonts w:eastAsia="FrankRuehl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ועתה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הערעורית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FrankRuehl"/>
          <w:rtl w:val="true"/>
        </w:rPr>
        <w:t>.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</w:rPr>
        <w:t>7</w:t>
      </w:r>
      <w:r>
        <w:rPr>
          <w:rFonts w:eastAsia="FrankRuehl"/>
          <w:rtl w:val="true"/>
        </w:rPr>
        <w:t>.</w:t>
        <w:tab/>
      </w:r>
      <w:r>
        <w:rPr>
          <w:rFonts w:eastAsia="Miriam" w:cs="Miriam"/>
          <w:b/>
          <w:b/>
          <w:spacing w:val="0"/>
          <w:szCs w:val="24"/>
          <w:rtl w:val="true"/>
        </w:rPr>
        <w:t>מהימנות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גרסת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המתלוננת</w:t>
      </w:r>
      <w:r>
        <w:rPr>
          <w:rFonts w:eastAsia="FrankRuehl"/>
          <w:rtl w:val="true"/>
        </w:rPr>
        <w:t xml:space="preserve">: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ליבה</w:t>
      </w:r>
      <w:r>
        <w:rPr>
          <w:rFonts w:eastAsia="FrankRuehl"/>
          <w:rtl w:val="true"/>
        </w:rPr>
        <w:t xml:space="preserve">", </w:t>
      </w:r>
      <w:r>
        <w:rPr>
          <w:rFonts w:eastAsia="FrankRuehl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עקבי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סדור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וקולח</w:t>
      </w:r>
      <w:r>
        <w:rPr>
          <w:rFonts w:eastAsia="FrankRuehl"/>
          <w:rtl w:val="true"/>
        </w:rPr>
        <w:t xml:space="preserve">" </w:t>
      </w:r>
      <w:r>
        <w:rPr>
          <w:rFonts w:eastAsia="FrankRuehl"/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עז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כעדות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אותנטית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וכנה</w:t>
      </w:r>
      <w:r>
        <w:rPr>
          <w:rFonts w:eastAsia="FrankRuehl"/>
          <w:rtl w:val="true"/>
        </w:rPr>
        <w:t xml:space="preserve">". </w:t>
      </w:r>
      <w:r>
        <w:rPr>
          <w:rFonts w:eastAsia="FrankRuehl"/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נושאת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הדברים</w:t>
      </w:r>
      <w:r>
        <w:rPr>
          <w:rFonts w:eastAsia="FrankRuehl"/>
          <w:rtl w:val="true"/>
        </w:rPr>
        <w:t>" (</w:t>
      </w:r>
      <w:r>
        <w:rPr>
          <w:rFonts w:eastAsia="FrankRuehl"/>
          <w:rtl w:val="true"/>
        </w:rPr>
        <w:t>עמ</w:t>
      </w:r>
      <w:r>
        <w:rPr>
          <w:rFonts w:eastAsia="FrankRuehl"/>
          <w:rtl w:val="true"/>
        </w:rPr>
        <w:t xml:space="preserve">' </w:t>
      </w:r>
      <w:r>
        <w:rPr>
          <w:rFonts w:eastAsia="FrankRuehl"/>
        </w:rPr>
        <w:t>51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הדין</w:t>
      </w:r>
      <w:r>
        <w:rPr>
          <w:rFonts w:eastAsia="FrankRuehl"/>
          <w:rtl w:val="true"/>
        </w:rPr>
        <w:t xml:space="preserve">). </w:t>
      </w:r>
      <w:r>
        <w:rPr>
          <w:rFonts w:eastAsia="FrankRuehl"/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השתדלה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להיצמד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לעובדות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כהווייתם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להשחיר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לצורך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חיזק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בגרסתה</w:t>
      </w:r>
      <w:r>
        <w:rPr>
          <w:rFonts w:eastAsia="FrankRuehl"/>
          <w:rtl w:val="true"/>
        </w:rPr>
        <w:t>.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באמינותה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כידוע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תבנית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סבירה</w:t>
      </w:r>
      <w:r>
        <w:rPr>
          <w:rFonts w:eastAsia="FrankRuehl"/>
          <w:rtl w:val="true"/>
        </w:rPr>
        <w:t xml:space="preserve">"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</w:t>
      </w:r>
      <w:r>
        <w:rPr>
          <w:rFonts w:eastAsia="FrankRuehl"/>
          <w:rtl w:val="true"/>
        </w:rPr>
        <w:t>-</w:t>
      </w:r>
      <w:r>
        <w:rPr>
          <w:rFonts w:eastAsia="FrankRuehl"/>
          <w:rtl w:val="true"/>
        </w:rPr>
        <w:t>דיוקים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המשתרעים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ארוכה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לכן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ליבת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ולבחון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המקשה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אמינה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ומבססת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(</w:t>
      </w:r>
      <w:hyperlink r:id="rId19">
        <w:r>
          <w:rPr>
            <w:rStyle w:val="Hyperlink"/>
            <w:rFonts w:eastAsia="FrankRuehl"/>
            <w:color w:val="0000FF"/>
            <w:u w:val="single"/>
            <w:rtl w:val="true"/>
          </w:rPr>
          <w:t>ע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"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</w:rPr>
          <w:t>6773/17</w:t>
        </w:r>
      </w:hyperlink>
      <w:r>
        <w:rPr>
          <w:rFonts w:eastAsia="FrankRuehl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זליג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נ</w:t>
      </w:r>
      <w:r>
        <w:rPr>
          <w:rFonts w:eastAsia="Miriam" w:cs="Miriam"/>
          <w:b/>
          <w:spacing w:val="0"/>
          <w:szCs w:val="24"/>
          <w:rtl w:val="true"/>
        </w:rPr>
        <w:t xml:space="preserve">' </w:t>
      </w:r>
      <w:r>
        <w:rPr>
          <w:rFonts w:eastAsia="Miriam"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ישראל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</w:rPr>
        <w:t>39</w:t>
      </w:r>
      <w:r>
        <w:rPr>
          <w:rFonts w:eastAsia="FrankRuehl"/>
          <w:rtl w:val="true"/>
        </w:rPr>
        <w:t xml:space="preserve"> 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בנבו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FrankRuehl"/>
          <w:rtl w:val="true"/>
        </w:rPr>
        <w:t>(</w:t>
      </w:r>
      <w:r>
        <w:rPr>
          <w:rFonts w:eastAsia="FrankRuehl"/>
        </w:rPr>
        <w:t>3.4.2019</w:t>
      </w:r>
      <w:r>
        <w:rPr>
          <w:rFonts w:eastAsia="FrankRuehl"/>
          <w:rtl w:val="true"/>
        </w:rPr>
        <w:t xml:space="preserve">)). 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הורגלה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ובמרותו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עליה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מחברתו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להתעמת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גדלה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והתבגרה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בצל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הפגיעה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ואכן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במחיצת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הפוגע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להפגין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איבה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(</w:t>
      </w:r>
      <w:r>
        <w:rPr>
          <w:rFonts w:eastAsia="FrankRuehl"/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Fonts w:eastAsia="FrankRuehl"/>
            <w:color w:val="0000FF"/>
            <w:u w:val="single"/>
            <w:rtl w:val="true"/>
          </w:rPr>
          <w:t>ע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"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</w:rPr>
          <w:t>5582/09</w:t>
        </w:r>
      </w:hyperlink>
      <w:r>
        <w:rPr>
          <w:rFonts w:eastAsia="FrankRuehl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נ</w:t>
      </w:r>
      <w:r>
        <w:rPr>
          <w:rFonts w:eastAsia="Miriam" w:cs="Miriam"/>
          <w:b/>
          <w:spacing w:val="0"/>
          <w:szCs w:val="24"/>
          <w:rtl w:val="true"/>
        </w:rPr>
        <w:t xml:space="preserve">' </w:t>
      </w:r>
      <w:r>
        <w:rPr>
          <w:rFonts w:eastAsia="Miriam"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ישראל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</w:rPr>
        <w:t>87</w:t>
      </w:r>
      <w:r>
        <w:rPr>
          <w:rFonts w:eastAsia="FrankRuehl"/>
          <w:rtl w:val="true"/>
        </w:rPr>
        <w:t xml:space="preserve"> 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בנבו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FrankRuehl"/>
          <w:rtl w:val="true"/>
        </w:rPr>
        <w:t>(</w:t>
      </w:r>
      <w:r>
        <w:rPr>
          <w:rFonts w:eastAsia="FrankRuehl"/>
        </w:rPr>
        <w:t>20.10.2010</w:t>
      </w:r>
      <w:r>
        <w:rPr>
          <w:rFonts w:eastAsia="FrankRuehl"/>
          <w:rtl w:val="true"/>
        </w:rPr>
        <w:t xml:space="preserve">)). </w:t>
      </w:r>
      <w:r>
        <w:rPr>
          <w:rFonts w:eastAsia="FrankRuehl"/>
          <w:rtl w:val="true"/>
        </w:rPr>
        <w:t>בענייננו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גרעין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הקשה</w:t>
      </w:r>
      <w:r>
        <w:rPr>
          <w:rFonts w:eastAsia="FrankRuehl"/>
          <w:rtl w:val="true"/>
        </w:rPr>
        <w:t xml:space="preserve">"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האירועים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ממשיות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משקל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בכללותו</w:t>
      </w:r>
      <w:r>
        <w:rPr>
          <w:rFonts w:eastAsia="FrankRuehl"/>
          <w:rtl w:val="true"/>
        </w:rPr>
        <w:t>.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תשתף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ברם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מחקרים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פסיכולוגיים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כבישת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אופיינית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בפרט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להסבר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מניח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ממוקמת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בדלת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החוויה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שנכפתה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ודוקו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סביר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ברם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צפונות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ולאיש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בפרט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מורכבותה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הייחודית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זו</w:t>
      </w:r>
      <w:r>
        <w:rPr>
          <w:rFonts w:eastAsia="FrankRuehl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במקרנו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הפכו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אצלה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לשגרה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מורגלת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שחשה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מפניו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שיתק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אותה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שהחליטה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האירועים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קרוביה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במשטרה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אמנם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במסירת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למשטרה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מיטבית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הכרוכים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בכך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אולם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יתרשם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הדברים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לשמוע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מקיפה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וישירה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הקורבן</w:t>
      </w:r>
      <w:r>
        <w:rPr>
          <w:rFonts w:eastAsia="FrankRuehl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ככלל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טומנת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בסבירות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ראשית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בדרישה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הסביר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הפוגעת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ופוצעת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הנפש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אחרות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שנית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והנקודות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לזו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מסופקני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להגדיר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מיהו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סביר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כך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כמובן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דורש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להחליט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להאמין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מסוים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הראיות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לפניו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אולם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במסע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חקר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להיעזר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בחזקות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תואמות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מגוון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התגובות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האנושיות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הנחות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מוטעות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המוטעית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אחרת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ירחיקו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מההגעה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לחקר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עניינית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ומקצועית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לכן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משבית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ובשכנוע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מלשתף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לאירועים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ארוכה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מכלל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ששמעה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הראיות</w:t>
      </w:r>
      <w:r>
        <w:rPr>
          <w:rFonts w:eastAsia="FrankRuehl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</w:rPr>
        <w:t>8</w:t>
      </w:r>
      <w:r>
        <w:rPr>
          <w:rFonts w:eastAsia="FrankRuehl"/>
          <w:rtl w:val="true"/>
        </w:rPr>
        <w:t>.</w:t>
        <w:tab/>
      </w:r>
      <w:r>
        <w:rPr>
          <w:rFonts w:eastAsia="FrankRuehl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נעשות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במחשכים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הסתרה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ובושה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שתיקתו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אלה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מפורט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ומדויק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הבאת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חיצוניות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(</w:t>
      </w:r>
      <w:hyperlink r:id="rId21">
        <w:r>
          <w:rPr>
            <w:rStyle w:val="Hyperlink"/>
            <w:rFonts w:eastAsia="FrankRuehl"/>
            <w:color w:val="0000FF"/>
            <w:u w:val="single"/>
            <w:rtl w:val="true"/>
          </w:rPr>
          <w:t>ע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"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</w:rPr>
          <w:t>1442/06</w:t>
        </w:r>
      </w:hyperlink>
      <w:r>
        <w:rPr>
          <w:rFonts w:eastAsia="FrankRuehl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נ</w:t>
      </w:r>
      <w:r>
        <w:rPr>
          <w:rFonts w:eastAsia="Miriam" w:cs="Miriam"/>
          <w:b/>
          <w:spacing w:val="0"/>
          <w:szCs w:val="24"/>
          <w:rtl w:val="true"/>
        </w:rPr>
        <w:t xml:space="preserve">' </w:t>
      </w:r>
      <w:r>
        <w:rPr>
          <w:rFonts w:eastAsia="Miriam" w:cs="Miriam"/>
          <w:b/>
          <w:b/>
          <w:spacing w:val="0"/>
          <w:szCs w:val="24"/>
          <w:rtl w:val="true"/>
        </w:rPr>
        <w:t>פלוני</w:t>
      </w:r>
      <w:r>
        <w:rPr>
          <w:rFonts w:eastAsia="FrankRuehl"/>
          <w:b/>
          <w:spacing w:val="0"/>
          <w:rtl w:val="true"/>
        </w:rPr>
        <w:t>,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</w:rPr>
        <w:t>26</w:t>
      </w:r>
      <w:r>
        <w:rPr>
          <w:rFonts w:eastAsia="FrankRuehl"/>
          <w:rtl w:val="true"/>
        </w:rPr>
        <w:t xml:space="preserve"> 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בנבו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FrankRuehl"/>
          <w:rtl w:val="true"/>
        </w:rPr>
        <w:t>(</w:t>
      </w:r>
      <w:r>
        <w:rPr>
          <w:rFonts w:eastAsia="FrankRuehl"/>
        </w:rPr>
        <w:t>1.9.2008</w:t>
      </w:r>
      <w:r>
        <w:rPr>
          <w:rFonts w:eastAsia="FrankRuehl"/>
          <w:rtl w:val="true"/>
        </w:rPr>
        <w:t xml:space="preserve">)). </w:t>
      </w:r>
      <w:hyperlink r:id="rId22">
        <w:r>
          <w:rPr>
            <w:rStyle w:val="Hyperlink"/>
            <w:rFonts w:eastAsia="FrankRuehl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eastAsia="FrankRuehl"/>
          </w:rPr>
          <w:t>54</w:t>
        </w:r>
        <w:r>
          <w:rPr>
            <w:rStyle w:val="Hyperlink"/>
            <w:rFonts w:eastAsia="FrankRuehl"/>
            <w:rtl w:val="true"/>
          </w:rPr>
          <w:t>א</w:t>
        </w:r>
        <w:r>
          <w:rPr>
            <w:rStyle w:val="Hyperlink"/>
            <w:rFonts w:eastAsia="FrankRuehl"/>
            <w:rtl w:val="true"/>
          </w:rPr>
          <w:t>(</w:t>
        </w:r>
        <w:r>
          <w:rPr>
            <w:rStyle w:val="Hyperlink"/>
            <w:rFonts w:eastAsia="FrankRuehl"/>
            <w:rtl w:val="true"/>
          </w:rPr>
          <w:t>ב</w:t>
        </w:r>
        <w:r>
          <w:rPr>
            <w:rStyle w:val="Hyperlink"/>
            <w:rFonts w:eastAsia="FrankRuehl"/>
            <w:rtl w:val="true"/>
          </w:rPr>
          <w:t>)</w:t>
        </w:r>
      </w:hyperlink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ל</w:t>
      </w:r>
      <w:hyperlink r:id="rId23">
        <w:r>
          <w:rPr>
            <w:rStyle w:val="Hyperlink"/>
            <w:rFonts w:eastAsia="FrankRuehl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[</w:t>
      </w:r>
      <w:r>
        <w:rPr>
          <w:rFonts w:eastAsia="FrankRuehl"/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חדש</w:t>
      </w:r>
      <w:r>
        <w:rPr>
          <w:rFonts w:eastAsia="FrankRuehl"/>
          <w:rtl w:val="true"/>
        </w:rPr>
        <w:t xml:space="preserve">], </w:t>
      </w:r>
      <w:r>
        <w:rPr>
          <w:rFonts w:eastAsia="FrankRuehl"/>
          <w:rtl w:val="true"/>
        </w:rPr>
        <w:t>התשל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א</w:t>
      </w:r>
      <w:r>
        <w:rPr>
          <w:rFonts w:eastAsia="FrankRuehl"/>
          <w:rtl w:val="true"/>
        </w:rPr>
        <w:t>-</w:t>
      </w:r>
      <w:r>
        <w:rPr>
          <w:rFonts w:eastAsia="FrankRuehl"/>
        </w:rPr>
        <w:t>1971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בהוכחת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יחידה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ראייתי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הנמקה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בענייננו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יחידה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ההנמקה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ברם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בגרסתה</w:t>
      </w:r>
      <w:r>
        <w:rPr>
          <w:rFonts w:eastAsia="FrankRuehl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Miriam"/>
        </w:rPr>
        <w:t>9</w:t>
      </w:r>
      <w:r>
        <w:rPr>
          <w:rFonts w:eastAsia="Miriam"/>
          <w:rtl w:val="true"/>
        </w:rPr>
        <w:t>.</w:t>
        <w:tab/>
      </w:r>
      <w:r>
        <w:rPr>
          <w:rFonts w:eastAsia="Miriam" w:cs="Miriam"/>
          <w:b/>
          <w:b/>
          <w:spacing w:val="0"/>
          <w:szCs w:val="24"/>
          <w:rtl w:val="true"/>
        </w:rPr>
        <w:t>ראיות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נוספות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המחזקות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את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גרסת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המתלוננת</w:t>
      </w:r>
      <w:r>
        <w:rPr>
          <w:rFonts w:eastAsia="FrankRuehl"/>
          <w:rtl w:val="true"/>
        </w:rPr>
        <w:t xml:space="preserve">: </w:t>
      </w:r>
      <w:r>
        <w:rPr>
          <w:rFonts w:eastAsia="FrankRuehl"/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קרוביה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שחשפה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שבילדותם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במתלוננת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התכתבויות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המטפלת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וראשית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שלו</w:t>
      </w:r>
      <w:r>
        <w:rPr>
          <w:rFonts w:eastAsia="FrankRuehl"/>
          <w:rtl w:val="true"/>
        </w:rPr>
        <w:t>.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קרוביה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אמינות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מגוללות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הארוך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שהחליטה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במשטרה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מהעדויות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מחזקות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גרסתה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מאחיה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בילדותו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מגונה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תכתובת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הוואטסאפ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המטפלת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המורכב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והממושך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שהעזה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העבירות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שהמטפלת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מאמנת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אישית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לבריאות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העדויות</w:t>
      </w:r>
      <w:r>
        <w:rPr>
          <w:rFonts w:eastAsia="FrankRuehl"/>
          <w:rtl w:val="true"/>
        </w:rPr>
        <w:t>.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</w:rPr>
        <w:t>10</w:t>
      </w:r>
      <w:r>
        <w:rPr>
          <w:rFonts w:eastAsia="FrankRuehl"/>
          <w:rtl w:val="true"/>
        </w:rPr>
        <w:t>.</w:t>
        <w:tab/>
      </w:r>
      <w:r>
        <w:rPr>
          <w:rFonts w:eastAsia="Miriam" w:cs="Miriam"/>
          <w:b/>
          <w:b/>
          <w:spacing w:val="0"/>
          <w:szCs w:val="24"/>
          <w:rtl w:val="true"/>
        </w:rPr>
        <w:t>גרסת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המערער</w:t>
      </w:r>
      <w:r>
        <w:rPr>
          <w:rFonts w:eastAsia="FrankRuehl"/>
          <w:rtl w:val="true"/>
        </w:rPr>
        <w:t xml:space="preserve">: </w:t>
      </w:r>
      <w:r>
        <w:rPr>
          <w:rFonts w:eastAsia="FrankRuehl"/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משמעי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לבירור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האשמה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המחזקת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ראשון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טענתה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בפורנוגרפיה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בפורנוגרפיה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/>
        <w:t>DVD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הרלוונטית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שני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בודד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ביקר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בפנימייה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נסתרה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בעדויותיה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במשטרה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בהסכמה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לשקרים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מצטרפות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כראשית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הודאה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המחזקות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נגיד</w:t>
      </w:r>
      <w:r>
        <w:rPr>
          <w:rFonts w:eastAsia="FrankRuehl"/>
          <w:rtl w:val="true"/>
        </w:rPr>
        <w:t xml:space="preserve">". </w:t>
      </w:r>
      <w:r>
        <w:rPr>
          <w:rFonts w:eastAsia="FrankRuehl"/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אישתו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שיכור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העולים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ממנה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מניח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הדעת</w:t>
      </w:r>
      <w:r>
        <w:rPr>
          <w:rFonts w:eastAsia="FrankRuehl"/>
          <w:rtl w:val="true"/>
        </w:rPr>
        <w:t>.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עלילת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הורשע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נגדו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לנקום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באביהם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להיענות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לדרישותיה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הכספיות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ממנו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ברם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והשכל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הישר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נזקקה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לסיפור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מורכב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המכוון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דווקא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האב</w:t>
      </w:r>
      <w:r>
        <w:rPr>
          <w:rFonts w:eastAsia="FrankRuehl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שהודעת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צורפה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זאת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במשטרה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Fonts w:eastAsia="FrankRuehl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eastAsia="FrankRuehl"/>
          </w:rPr>
          <w:t>10</w:t>
        </w:r>
        <w:r>
          <w:rPr>
            <w:rStyle w:val="Hyperlink"/>
            <w:rFonts w:eastAsia="FrankRuehl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</w:t>
      </w:r>
      <w:hyperlink r:id="rId25">
        <w:r>
          <w:rPr>
            <w:rStyle w:val="Hyperlink"/>
            <w:rFonts w:eastAsia="FrankRuehl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הראיות</w:t>
        </w:r>
      </w:hyperlink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האמרה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במחלוקת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שבהודעתה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במתלוננת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שגבתה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והקוגניטיבי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גביית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ירוד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משקלה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מועט</w:t>
      </w:r>
      <w:r>
        <w:rPr>
          <w:rFonts w:eastAsia="FrankRuehl"/>
          <w:rtl w:val="true"/>
        </w:rPr>
        <w:t>.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</w:rPr>
        <w:t>11</w:t>
      </w:r>
      <w:r>
        <w:rPr>
          <w:rFonts w:eastAsia="FrankRuehl"/>
          <w:rtl w:val="true"/>
        </w:rPr>
        <w:t>.</w:t>
        <w:tab/>
      </w:r>
      <w:r>
        <w:rPr>
          <w:rFonts w:eastAsia="Miriam" w:cs="Miriam"/>
          <w:b/>
          <w:b/>
          <w:spacing w:val="0"/>
          <w:szCs w:val="24"/>
          <w:rtl w:val="true"/>
        </w:rPr>
        <w:t>ערעור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על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גזר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הדין</w:t>
      </w:r>
      <w:r>
        <w:rPr>
          <w:rFonts w:eastAsia="FrankRuehl" w:cs="Miriam"/>
          <w:b/>
          <w:spacing w:val="0"/>
          <w:szCs w:val="24"/>
          <w:rtl w:val="true"/>
        </w:rPr>
        <w:t>: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</w:rPr>
        <w:t>19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וקשה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ברם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</w:t>
      </w:r>
      <w:r>
        <w:rPr>
          <w:rFonts w:eastAsia="FrankRuehl"/>
          <w:rtl w:val="true"/>
        </w:rPr>
        <w:t xml:space="preserve">' </w:t>
      </w:r>
      <w:r>
        <w:rPr>
          <w:rFonts w:eastAsia="FrankRuehl"/>
        </w:rPr>
        <w:t>113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ל</w:t>
      </w:r>
      <w:hyperlink r:id="rId26">
        <w:r>
          <w:rPr>
            <w:rStyle w:val="Hyperlink"/>
            <w:rFonts w:eastAsia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(</w:t>
      </w:r>
      <w:hyperlink r:id="rId27">
        <w:r>
          <w:rPr>
            <w:rStyle w:val="Hyperlink"/>
            <w:rFonts w:eastAsia="FrankRuehl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eastAsia="FrankRuehl"/>
          </w:rPr>
          <w:t>40</w:t>
        </w:r>
        <w:r>
          <w:rPr>
            <w:rStyle w:val="Hyperlink"/>
            <w:rFonts w:eastAsia="FrankRuehl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העונשין</w:t>
      </w:r>
      <w:r>
        <w:rPr>
          <w:rFonts w:eastAsia="FrankRuehl"/>
          <w:rtl w:val="true"/>
        </w:rPr>
        <w:t xml:space="preserve">). </w:t>
      </w:r>
      <w:r>
        <w:rPr>
          <w:rFonts w:eastAsia="FrankRuehl"/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בדרגת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</w:rPr>
        <w:t>20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שנה</w:t>
      </w:r>
      <w:r>
        <w:rPr>
          <w:rFonts w:eastAsia="FrankRuehl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מחשב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מחשבת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הנטייה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המוצדקת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תחליף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הנידון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בפניו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סקאלה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מקלות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מאוד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יצדיק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מסוים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הנמקה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רציונלית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ועניינית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כאן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פרמטרים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שמראים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הולם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ראשית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שנמשכה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</w:rPr>
        <w:t>15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שנים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התבצעו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העבירות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קטין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</w:rPr>
        <w:t>31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וודאי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שנית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הבוגרים</w:t>
      </w:r>
      <w:r>
        <w:rPr>
          <w:rtl w:val="true"/>
        </w:rPr>
        <w:t xml:space="preserve">. </w:t>
      </w:r>
      <w:r>
        <w:rPr>
          <w:rFonts w:eastAsia="FrankRuehl"/>
          <w:rtl w:val="true"/>
        </w:rPr>
        <w:t>שלישית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התקופה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רביעית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בצל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</w:rPr>
        <w:t>6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חמישית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אחים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שפער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הגילים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</w:rPr>
        <w:t>10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שנים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מרותו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הקטנה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התלויה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מטלטלת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חילל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והפך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ביתה</w:t>
      </w:r>
      <w:r>
        <w:rPr>
          <w:rFonts w:eastAsia="FrankRuehl"/>
          <w:rtl w:val="true"/>
        </w:rPr>
        <w:t>-</w:t>
      </w:r>
      <w:r>
        <w:rPr>
          <w:rFonts w:eastAsia="FrankRuehl"/>
          <w:rtl w:val="true"/>
        </w:rPr>
        <w:t>מבצרה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להרגיש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בטוחה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סיוט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בריחה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לצערנו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מובהק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כמובן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מצטברים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התקופה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המעשים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למתלוננת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מבליטים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שביסוד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המעשים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ומצדיקים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הולם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ירתיע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אחרים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דומות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הראויה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השיתו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לעונשו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(</w:t>
      </w:r>
      <w:r>
        <w:rPr>
          <w:rFonts w:eastAsia="FrankRuehl"/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Fonts w:eastAsia="FrankRuehl"/>
            <w:color w:val="0000FF"/>
            <w:u w:val="single"/>
            <w:rtl w:val="true"/>
          </w:rPr>
          <w:t>ע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"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</w:rPr>
          <w:t>3231/09</w:t>
        </w:r>
      </w:hyperlink>
      <w:r>
        <w:rPr>
          <w:rFonts w:eastAsia="FrankRuehl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נ</w:t>
      </w:r>
      <w:r>
        <w:rPr>
          <w:rFonts w:eastAsia="Miriam" w:cs="Miriam"/>
          <w:b/>
          <w:spacing w:val="0"/>
          <w:szCs w:val="24"/>
          <w:rtl w:val="true"/>
        </w:rPr>
        <w:t xml:space="preserve">' </w:t>
      </w:r>
      <w:r>
        <w:rPr>
          <w:rFonts w:eastAsia="Miriam"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בנבו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FrankRuehl"/>
          <w:rtl w:val="true"/>
        </w:rPr>
        <w:t>(</w:t>
      </w:r>
      <w:r>
        <w:rPr>
          <w:rFonts w:eastAsia="FrankRuehl"/>
        </w:rPr>
        <w:t>31.5.2010</w:t>
      </w:r>
      <w:r>
        <w:rPr>
          <w:rFonts w:eastAsia="FrankRuehl"/>
          <w:rtl w:val="true"/>
        </w:rPr>
        <w:t xml:space="preserve">); </w:t>
      </w:r>
      <w:hyperlink r:id="rId29">
        <w:r>
          <w:rPr>
            <w:rStyle w:val="Hyperlink"/>
            <w:rFonts w:eastAsia="FrankRuehl"/>
            <w:color w:val="0000FF"/>
            <w:u w:val="single"/>
            <w:rtl w:val="true"/>
          </w:rPr>
          <w:t>ע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"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</w:rPr>
          <w:t>4528/18</w:t>
        </w:r>
      </w:hyperlink>
      <w:r>
        <w:rPr>
          <w:rFonts w:eastAsia="FrankRuehl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נ</w:t>
      </w:r>
      <w:r>
        <w:rPr>
          <w:rFonts w:eastAsia="Miriam" w:cs="Miriam"/>
          <w:b/>
          <w:spacing w:val="0"/>
          <w:szCs w:val="24"/>
          <w:rtl w:val="true"/>
        </w:rPr>
        <w:t xml:space="preserve">' </w:t>
      </w:r>
      <w:r>
        <w:rPr>
          <w:rFonts w:eastAsia="Miriam"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Miriam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FrankRuehl" w:cs="David"/>
          <w:spacing w:val="0"/>
          <w:szCs w:val="24"/>
          <w:rtl w:val="true"/>
        </w:rPr>
        <w:t>בנבו</w:t>
      </w:r>
      <w:r>
        <w:rPr>
          <w:rFonts w:eastAsia="FrankRuehl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FrankRuehl"/>
          <w:rtl w:val="true"/>
        </w:rPr>
        <w:t>(</w:t>
      </w:r>
      <w:r>
        <w:rPr>
          <w:rFonts w:eastAsia="FrankRuehl"/>
        </w:rPr>
        <w:t>16.6.2019</w:t>
      </w:r>
      <w:r>
        <w:rPr>
          <w:rFonts w:eastAsia="FrankRuehl"/>
          <w:rtl w:val="true"/>
        </w:rPr>
        <w:t>)).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ונסיים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במבט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בשנים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מנצל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ומרגיל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בצל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התופת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בתפקודה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היום</w:t>
      </w:r>
      <w:r>
        <w:rPr>
          <w:rFonts w:eastAsia="FrankRuehl"/>
          <w:rtl w:val="true"/>
        </w:rPr>
        <w:t>-</w:t>
      </w:r>
      <w:r>
        <w:rPr>
          <w:rFonts w:eastAsia="FrankRuehl"/>
          <w:rtl w:val="true"/>
        </w:rPr>
        <w:t>יומי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בטיפול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שנסקרו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לעיל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שיסייע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לבצעו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ראויה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השואפת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החברה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הדין</w:t>
      </w:r>
      <w:r>
        <w:rPr>
          <w:rFonts w:eastAsia="FrankRuehl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Normal"/>
        <w:spacing w:before="240" w:after="240"/>
        <w:ind w:end="0"/>
        <w:jc w:val="both"/>
        <w:rPr>
          <w:rFonts w:eastAsia="FrankRuehl" w:cs="Miriam"/>
          <w:b/>
          <w:sz w:val="22"/>
        </w:rPr>
      </w:pPr>
      <w:r>
        <w:rPr>
          <w:rFonts w:eastAsia="FrankRuehl" w:cs="Miriam"/>
          <w:b/>
          <w:b/>
          <w:sz w:val="22"/>
          <w:sz w:val="22"/>
          <w:rtl w:val="true"/>
        </w:rPr>
        <w:t>סוף</w:t>
      </w:r>
      <w:r>
        <w:rPr>
          <w:rFonts w:eastAsia="Times New Roman" w:cs="Times New Roman"/>
          <w:b/>
          <w:b/>
          <w:sz w:val="22"/>
          <w:sz w:val="22"/>
          <w:rtl w:val="true"/>
        </w:rPr>
        <w:t xml:space="preserve"> </w:t>
      </w:r>
      <w:r>
        <w:rPr>
          <w:rFonts w:eastAsia="FrankRuehl" w:cs="Miriam"/>
          <w:b/>
          <w:b/>
          <w:sz w:val="22"/>
          <w:sz w:val="22"/>
          <w:rtl w:val="true"/>
        </w:rPr>
        <w:t>דבר</w:t>
      </w:r>
    </w:p>
    <w:p>
      <w:pPr>
        <w:pStyle w:val="Normal"/>
        <w:spacing w:before="240" w:after="240"/>
        <w:ind w:end="0"/>
        <w:jc w:val="both"/>
        <w:rPr>
          <w:rFonts w:eastAsia="FrankRuehl" w:cs="Miriam"/>
          <w:b/>
          <w:sz w:val="22"/>
        </w:rPr>
      </w:pPr>
      <w:r>
        <w:rPr>
          <w:rFonts w:eastAsia="FrankRuehl" w:cs="Miriam"/>
          <w:b/>
          <w:sz w:val="22"/>
          <w:rtl w:val="true"/>
        </w:rPr>
      </w:r>
    </w:p>
    <w:p>
      <w:pPr>
        <w:pStyle w:val="Ruller4"/>
        <w:ind w:end="0"/>
        <w:jc w:val="both"/>
        <w:rPr>
          <w:rFonts w:eastAsia="FrankRuehl"/>
          <w:sz w:val="20"/>
        </w:rPr>
      </w:pPr>
      <w:r>
        <w:rPr>
          <w:rFonts w:eastAsia="FrankRuehl"/>
        </w:rPr>
        <w:t>12</w:t>
      </w:r>
      <w:r>
        <w:rPr>
          <w:rFonts w:eastAsia="FrankRuehl"/>
          <w:rtl w:val="true"/>
        </w:rPr>
        <w:t>.</w:t>
        <w:tab/>
      </w:r>
      <w:r>
        <w:rPr>
          <w:rFonts w:eastAsia="FrankRuehl"/>
          <w:rtl w:val="true"/>
        </w:rPr>
        <w:t>באומץ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פרצה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השתיקה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שנכפה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וחשפה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המהימנה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הנתמכת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נוספות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שנותן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מעשיו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חלקיו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כנו</w:t>
      </w:r>
      <w:r>
        <w:rPr>
          <w:rFonts w:eastAsia="FrankRuehl"/>
          <w:rtl w:val="true"/>
        </w:rPr>
        <w:t>.</w:t>
      </w:r>
    </w:p>
    <w:p>
      <w:pPr>
        <w:pStyle w:val="Ruller4"/>
        <w:ind w:end="0"/>
        <w:jc w:val="both"/>
        <w:rPr>
          <w:rFonts w:eastAsia="FrankRuehl"/>
          <w:sz w:val="20"/>
        </w:rPr>
      </w:pPr>
      <w:r>
        <w:rPr>
          <w:rFonts w:eastAsia="FrankRuehl"/>
          <w:sz w:val="20"/>
          <w:rtl w:val="true"/>
        </w:rPr>
      </w:r>
    </w:p>
    <w:p>
      <w:pPr>
        <w:pStyle w:val="Ruller4"/>
        <w:ind w:end="0"/>
        <w:jc w:val="both"/>
        <w:rPr>
          <w:rFonts w:eastAsia="FrankRuehl"/>
          <w:sz w:val="20"/>
        </w:rPr>
      </w:pPr>
      <w:r>
        <w:rPr>
          <w:rFonts w:eastAsia="FrankRuehl"/>
          <w:sz w:val="20"/>
          <w:rtl w:val="true"/>
        </w:rPr>
      </w:r>
    </w:p>
    <w:p>
      <w:pPr>
        <w:pStyle w:val="Ruller4"/>
        <w:ind w:end="0"/>
        <w:jc w:val="both"/>
        <w:rPr>
          <w:rFonts w:eastAsia="FrankRuehl"/>
          <w:sz w:val="20"/>
        </w:rPr>
      </w:pPr>
      <w:r>
        <w:rPr>
          <w:rFonts w:eastAsia="Arial TUR;Arial" w:cs="Arial TUR;Arial"/>
          <w:sz w:val="20"/>
          <w:rtl w:val="true"/>
        </w:rPr>
        <w:t xml:space="preserve">                                                                                                  </w:t>
      </w:r>
      <w:r>
        <w:rPr>
          <w:rFonts w:eastAsia="FrankRuehl"/>
          <w:sz w:val="20"/>
          <w:sz w:val="20"/>
          <w:rtl w:val="true"/>
        </w:rPr>
        <w:t>המשנה</w:t>
      </w:r>
      <w:r>
        <w:rPr>
          <w:rFonts w:eastAsia="Arial TUR;Arial" w:cs="Arial TUR;Arial"/>
          <w:sz w:val="20"/>
          <w:sz w:val="20"/>
          <w:rtl w:val="true"/>
        </w:rPr>
        <w:t xml:space="preserve"> </w:t>
      </w:r>
      <w:r>
        <w:rPr>
          <w:rFonts w:eastAsia="FrankRuehl"/>
          <w:sz w:val="20"/>
          <w:sz w:val="20"/>
          <w:rtl w:val="true"/>
        </w:rPr>
        <w:t>לנשיאה</w:t>
      </w:r>
    </w:p>
    <w:p>
      <w:pPr>
        <w:pStyle w:val="Ruller4"/>
        <w:ind w:end="0"/>
        <w:jc w:val="both"/>
        <w:rPr>
          <w:rFonts w:eastAsia="FrankRuehl"/>
          <w:sz w:val="20"/>
        </w:rPr>
      </w:pPr>
      <w:r>
        <w:rPr>
          <w:rFonts w:eastAsia="FrankRuehl"/>
          <w:sz w:val="20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Miriam"/>
          <w:b/>
          <w:spacing w:val="0"/>
          <w:szCs w:val="24"/>
          <w:u w:val="single"/>
        </w:rPr>
      </w:pPr>
      <w:r>
        <w:rPr>
          <w:rFonts w:ascii="Century" w:hAnsi="Century" w:eastAsia="FrankRuehl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eastAsia="FrankRuehl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eastAsia="FrankRuehl"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eastAsia="FrankRuehl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eastAsia="FrankRuehl"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eastAsia="FrankRuehl" w:cs="Miriam"/>
          <w:b/>
          <w:spacing w:val="0"/>
          <w:szCs w:val="24"/>
          <w:u w:val="single"/>
        </w:rPr>
      </w:pPr>
      <w:r>
        <w:rPr>
          <w:rFonts w:eastAsia="FrankRuehl"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  <w:tab/>
      </w:r>
      <w:r>
        <w:rPr>
          <w:rFonts w:ascii="Century" w:hAnsi="Century" w:eastAsia="FrankRuehl" w:cs="Century"/>
          <w:rtl w:val="true"/>
        </w:rPr>
        <w:t>אני מסכים</w:t>
      </w:r>
      <w:r>
        <w:rPr>
          <w:rFonts w:eastAsia="FrankRuehl"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Century" w:cs="Century" w:ascii="Century" w:hAnsi="Century"/>
          <w:rtl w:val="true"/>
        </w:rPr>
        <w:t xml:space="preserve">                                                                                                       </w:t>
      </w:r>
      <w:r>
        <w:rPr>
          <w:rFonts w:ascii="Century" w:hAnsi="Century" w:eastAsia="FrankRuehl" w:cs="Century"/>
          <w:rtl w:val="true"/>
        </w:rPr>
        <w:t>ש ו פ ט</w:t>
      </w:r>
    </w:p>
    <w:p>
      <w:pPr>
        <w:pStyle w:val="Ruller4"/>
        <w:ind w:end="0"/>
        <w:jc w:val="both"/>
        <w:rPr>
          <w:rFonts w:ascii="Century" w:hAnsi="Century" w:eastAsia="FrankRuehl" w:cs="Miriam"/>
          <w:b/>
          <w:spacing w:val="0"/>
          <w:szCs w:val="24"/>
          <w:u w:val="single"/>
        </w:rPr>
      </w:pPr>
      <w:r>
        <w:rPr>
          <w:rFonts w:ascii="Century" w:hAnsi="Century" w:eastAsia="FrankRuehl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eastAsia="FrankRuehl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eastAsia="FrankRuehl"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eastAsia="FrankRuehl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eastAsia="FrankRuehl"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eastAsia="FrankRuehl" w:cs="Century"/>
          <w:b/>
          <w:spacing w:val="0"/>
          <w:szCs w:val="24"/>
          <w:u w:val="single"/>
        </w:rPr>
      </w:pPr>
      <w:r>
        <w:rPr>
          <w:rFonts w:eastAsia="FrankRuehl" w:cs="Century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  <w:tab/>
      </w:r>
      <w:r>
        <w:rPr>
          <w:rFonts w:ascii="Century" w:hAnsi="Century" w:eastAsia="FrankRuehl" w:cs="Century"/>
          <w:rtl w:val="true"/>
        </w:rPr>
        <w:t>אני מסכים</w:t>
      </w:r>
      <w:r>
        <w:rPr>
          <w:rFonts w:eastAsia="FrankRuehl"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Century" w:cs="Century" w:ascii="Century" w:hAnsi="Century"/>
          <w:rtl w:val="true"/>
        </w:rPr>
        <w:t xml:space="preserve">                                                                                                       </w:t>
      </w:r>
      <w:r>
        <w:rPr>
          <w:rFonts w:ascii="Century" w:hAnsi="Century" w:eastAsia="FrankRuehl" w:cs="Century"/>
          <w:rtl w:val="true"/>
        </w:rPr>
        <w:t>ש ו פ ט</w:t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  <w:tab/>
      </w:r>
      <w:r>
        <w:rPr>
          <w:rFonts w:ascii="Century" w:hAnsi="Century" w:eastAsia="FrankRuehl" w:cs="Century"/>
          <w:rtl w:val="true"/>
        </w:rPr>
        <w:t>אשר על כן</w:t>
      </w:r>
      <w:r>
        <w:rPr>
          <w:rFonts w:eastAsia="FrankRuehl" w:cs="Century" w:ascii="Century" w:hAnsi="Century"/>
          <w:rtl w:val="true"/>
        </w:rPr>
        <w:t xml:space="preserve">, </w:t>
      </w:r>
      <w:r>
        <w:rPr>
          <w:rFonts w:ascii="Century" w:hAnsi="Century" w:eastAsia="FrankRuehl" w:cs="Century"/>
          <w:rtl w:val="true"/>
        </w:rPr>
        <w:t>הוחלט כאמור בפסק דינו של המשנה לנשיאה נ</w:t>
      </w:r>
      <w:r>
        <w:rPr>
          <w:rFonts w:eastAsia="FrankRuehl" w:cs="Century" w:ascii="Century" w:hAnsi="Century"/>
          <w:rtl w:val="true"/>
        </w:rPr>
        <w:t xml:space="preserve">' </w:t>
      </w:r>
      <w:r>
        <w:rPr>
          <w:rFonts w:ascii="Century" w:hAnsi="Century" w:eastAsia="FrankRuehl" w:cs="Century"/>
          <w:rtl w:val="true"/>
        </w:rPr>
        <w:t>הנדל</w:t>
      </w:r>
      <w:r>
        <w:rPr>
          <w:rFonts w:eastAsia="FrankRuehl"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bookmarkStart w:id="1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eastAsia="FrankRuehl" w:cs="Century"/>
          <w:rtl w:val="true"/>
        </w:rPr>
        <w:t>ניתן</w:t>
      </w:r>
      <w:r>
        <w:rPr>
          <w:rFonts w:ascii="Century" w:hAnsi="Century" w:eastAsia="FrankRuehl" w:cs="Century"/>
          <w:rtl w:val="true"/>
        </w:rPr>
        <w:t xml:space="preserve"> </w:t>
      </w:r>
      <w:r>
        <w:rPr>
          <w:rFonts w:ascii="Century" w:hAnsi="Century" w:eastAsia="FrankRuehl" w:cs="Century"/>
          <w:rtl w:val="true"/>
        </w:rPr>
        <w:t>היום</w:t>
      </w:r>
      <w:r>
        <w:rPr>
          <w:rFonts w:eastAsia="FrankRuehl" w:cs="Century" w:ascii="Century" w:hAnsi="Century"/>
          <w:rtl w:val="true"/>
        </w:rPr>
        <w:t>, ‏</w:t>
      </w:r>
      <w:r>
        <w:rPr>
          <w:rFonts w:ascii="Century" w:hAnsi="Century" w:eastAsia="FrankRuehl" w:cs="Century"/>
          <w:rtl w:val="true"/>
        </w:rPr>
        <w:t>י</w:t>
      </w:r>
      <w:r>
        <w:rPr>
          <w:rFonts w:eastAsia="FrankRuehl" w:cs="Century" w:ascii="Century" w:hAnsi="Century"/>
          <w:rtl w:val="true"/>
        </w:rPr>
        <w:t>"</w:t>
      </w:r>
      <w:r>
        <w:rPr>
          <w:rFonts w:ascii="Century" w:hAnsi="Century" w:eastAsia="FrankRuehl" w:cs="Century"/>
          <w:rtl w:val="true"/>
        </w:rPr>
        <w:t>ג</w:t>
      </w:r>
      <w:r>
        <w:rPr>
          <w:rFonts w:ascii="Century" w:hAnsi="Century" w:eastAsia="FrankRuehl" w:cs="Century"/>
          <w:rtl w:val="true"/>
        </w:rPr>
        <w:t xml:space="preserve"> </w:t>
      </w:r>
      <w:r>
        <w:rPr>
          <w:rFonts w:ascii="Century" w:hAnsi="Century" w:eastAsia="FrankRuehl" w:cs="Century"/>
          <w:rtl w:val="true"/>
        </w:rPr>
        <w:t>באדר</w:t>
      </w:r>
      <w:r>
        <w:rPr>
          <w:rFonts w:ascii="Century" w:hAnsi="Century" w:eastAsia="FrankRuehl" w:cs="Century"/>
          <w:rtl w:val="true"/>
        </w:rPr>
        <w:t xml:space="preserve"> </w:t>
      </w:r>
      <w:r>
        <w:rPr>
          <w:rFonts w:ascii="Century" w:hAnsi="Century" w:eastAsia="FrankRuehl" w:cs="Century"/>
          <w:rtl w:val="true"/>
        </w:rPr>
        <w:t>ב</w:t>
      </w:r>
      <w:r>
        <w:rPr>
          <w:rFonts w:ascii="Century" w:hAnsi="Century" w:eastAsia="FrankRuehl" w:cs="Century"/>
          <w:rtl w:val="true"/>
        </w:rPr>
        <w:t xml:space="preserve"> </w:t>
      </w:r>
      <w:r>
        <w:rPr>
          <w:rFonts w:ascii="Century" w:hAnsi="Century" w:eastAsia="FrankRuehl" w:cs="Century"/>
          <w:rtl w:val="true"/>
        </w:rPr>
        <w:t>התשפ</w:t>
      </w:r>
      <w:r>
        <w:rPr>
          <w:rFonts w:eastAsia="FrankRuehl" w:cs="Century" w:ascii="Century" w:hAnsi="Century"/>
          <w:rtl w:val="true"/>
        </w:rPr>
        <w:t>"</w:t>
      </w:r>
      <w:r>
        <w:rPr>
          <w:rFonts w:ascii="Century" w:hAnsi="Century" w:eastAsia="FrankRuehl" w:cs="Century"/>
          <w:rtl w:val="true"/>
        </w:rPr>
        <w:t>ב</w:t>
      </w:r>
      <w:r>
        <w:rPr>
          <w:rFonts w:ascii="Century" w:hAnsi="Century" w:eastAsia="FrankRuehl" w:cs="Century"/>
          <w:rtl w:val="true"/>
        </w:rPr>
        <w:t xml:space="preserve"> </w:t>
      </w:r>
      <w:r>
        <w:rPr>
          <w:rFonts w:eastAsia="FrankRuehl" w:cs="Century" w:ascii="Century" w:hAnsi="Century"/>
          <w:rtl w:val="true"/>
        </w:rPr>
        <w:t>(‏</w:t>
      </w:r>
      <w:r>
        <w:rPr>
          <w:rFonts w:eastAsia="FrankRuehl" w:cs="Century" w:ascii="Century" w:hAnsi="Century"/>
        </w:rPr>
        <w:t>16.3.2022</w:t>
      </w:r>
      <w:r>
        <w:rPr>
          <w:rFonts w:eastAsia="FrankRuehl" w:cs="Century" w:ascii="Century" w:hAnsi="Century"/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FrankRuehl" w:cs="Century"/>
        </w:rPr>
      </w:pPr>
      <w:r>
        <w:rPr>
          <w:rFonts w:eastAsia="FrankRuehl"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20075960</w:t>
      </w:r>
      <w:r>
        <w:rPr>
          <w:sz w:val="16"/>
          <w:rtl w:val="true"/>
        </w:rPr>
        <w:t>_</w:t>
      </w:r>
      <w:r>
        <w:rPr>
          <w:sz w:val="16"/>
        </w:rPr>
        <w:t>Z05.docx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54678313-7596/20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7596/20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10562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354" TargetMode="External"/><Relationship Id="rId6" Type="http://schemas.openxmlformats.org/officeDocument/2006/relationships/hyperlink" Target="http://www.nevo.co.il/law/98569" TargetMode="External"/><Relationship Id="rId7" Type="http://schemas.openxmlformats.org/officeDocument/2006/relationships/hyperlink" Target="http://www.nevo.co.il/law/98569/10b" TargetMode="External"/><Relationship Id="rId8" Type="http://schemas.openxmlformats.org/officeDocument/2006/relationships/hyperlink" Target="http://www.nevo.co.il/law/98569/54a.b" TargetMode="External"/><Relationship Id="rId9" Type="http://schemas.openxmlformats.org/officeDocument/2006/relationships/hyperlink" Target="http://www.nevo.co.il/law/98569/54a.b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10b" TargetMode="External"/><Relationship Id="rId12" Type="http://schemas.openxmlformats.org/officeDocument/2006/relationships/hyperlink" Target="http://www.nevo.co.il/law/9856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5105627" TargetMode="External"/><Relationship Id="rId15" Type="http://schemas.openxmlformats.org/officeDocument/2006/relationships/hyperlink" Target="http://www.nevo.co.il/case/5758600" TargetMode="External"/><Relationship Id="rId16" Type="http://schemas.openxmlformats.org/officeDocument/2006/relationships/hyperlink" Target="http://www.nevo.co.il/case/6246489" TargetMode="External"/><Relationship Id="rId17" Type="http://schemas.openxmlformats.org/officeDocument/2006/relationships/hyperlink" Target="http://www.nevo.co.il/law/70301/35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2948019" TargetMode="External"/><Relationship Id="rId20" Type="http://schemas.openxmlformats.org/officeDocument/2006/relationships/hyperlink" Target="http://www.nevo.co.il/case/6246452" TargetMode="External"/><Relationship Id="rId21" Type="http://schemas.openxmlformats.org/officeDocument/2006/relationships/hyperlink" Target="http://www.nevo.co.il/case/6199917" TargetMode="External"/><Relationship Id="rId22" Type="http://schemas.openxmlformats.org/officeDocument/2006/relationships/hyperlink" Target="http://www.nevo.co.il/law/98569/54a.b" TargetMode="External"/><Relationship Id="rId23" Type="http://schemas.openxmlformats.org/officeDocument/2006/relationships/hyperlink" Target="http://www.nevo.co.il/law/98569" TargetMode="External"/><Relationship Id="rId24" Type="http://schemas.openxmlformats.org/officeDocument/2006/relationships/hyperlink" Target="http://www.nevo.co.il/law/98569/10b" TargetMode="External"/><Relationship Id="rId25" Type="http://schemas.openxmlformats.org/officeDocument/2006/relationships/hyperlink" Target="http://www.nevo.co.il/law/9856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b" TargetMode="External"/><Relationship Id="rId28" Type="http://schemas.openxmlformats.org/officeDocument/2006/relationships/hyperlink" Target="http://www.nevo.co.il/case/5903871" TargetMode="External"/><Relationship Id="rId29" Type="http://schemas.openxmlformats.org/officeDocument/2006/relationships/hyperlink" Target="http://www.nevo.co.il/case/24287809" TargetMode="External"/><Relationship Id="rId30" Type="http://schemas.openxmlformats.org/officeDocument/2006/relationships/hyperlink" Target="https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2022-03-17T08:25:00Z</dcterms:created>
  <dc:creator>h4</dc:creator>
  <dc:description/>
  <cp:keywords/>
  <dc:language>en-IL</dc:language>
  <cp:lastModifiedBy>orly</cp:lastModifiedBy>
  <cp:lastPrinted>2022-03-16T09:00:00Z</cp:lastPrinted>
  <dcterms:modified xsi:type="dcterms:W3CDTF">2022-03-17T08:25:00Z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25105627:2;5758600;6246489;22948019;6246452;6199917;5903871;24287809</vt:lpwstr>
  </property>
  <property fmtid="{D5CDD505-2E9C-101B-9397-08002B2CF9AE}" pid="9" name="CITY">
    <vt:lpwstr/>
  </property>
  <property fmtid="{D5CDD505-2E9C-101B-9397-08002B2CF9AE}" pid="10" name="DATE">
    <vt:lpwstr>20220316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פוגלמן;י' עמית;נ' הנדל</vt:lpwstr>
  </property>
  <property fmtid="{D5CDD505-2E9C-101B-9397-08002B2CF9AE}" pid="14" name="LAWLISTTMP1">
    <vt:lpwstr>70301/354;040b</vt:lpwstr>
  </property>
  <property fmtid="{D5CDD505-2E9C-101B-9397-08002B2CF9AE}" pid="15" name="LAWLISTTMP2">
    <vt:lpwstr>98569/054a.b;010b</vt:lpwstr>
  </property>
  <property fmtid="{D5CDD505-2E9C-101B-9397-08002B2CF9AE}" pid="16" name="LAWYER">
    <vt:lpwstr>יובל קידר;מאיר סויסה;אמנון גולן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ראיות</vt:lpwstr>
  </property>
  <property fmtid="{D5CDD505-2E9C-101B-9397-08002B2CF9AE}" pid="30" name="NOSE13">
    <vt:lpwstr>ראיות</vt:lpwstr>
  </property>
  <property fmtid="{D5CDD505-2E9C-101B-9397-08002B2CF9AE}" pid="31" name="NOSE14">
    <vt:lpwstr>עונשין</vt:lpwstr>
  </property>
  <property fmtid="{D5CDD505-2E9C-101B-9397-08002B2CF9AE}" pid="32" name="NOSE15">
    <vt:lpwstr>דיון פלילי</vt:lpwstr>
  </property>
  <property fmtid="{D5CDD505-2E9C-101B-9397-08002B2CF9AE}" pid="33" name="NOSE16">
    <vt:lpwstr>ראיות</vt:lpwstr>
  </property>
  <property fmtid="{D5CDD505-2E9C-101B-9397-08002B2CF9AE}" pid="34" name="NOSE17">
    <vt:lpwstr>עונשין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77;89;89;77;18;89;77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עדות</vt:lpwstr>
  </property>
  <property fmtid="{D5CDD505-2E9C-101B-9397-08002B2CF9AE}" pid="41" name="NOSE23">
    <vt:lpwstr>עדות</vt:lpwstr>
  </property>
  <property fmtid="{D5CDD505-2E9C-101B-9397-08002B2CF9AE}" pid="42" name="NOSE24">
    <vt:lpwstr>ענישה</vt:lpwstr>
  </property>
  <property fmtid="{D5CDD505-2E9C-101B-9397-08002B2CF9AE}" pid="43" name="NOSE25">
    <vt:lpwstr>ערעור</vt:lpwstr>
  </property>
  <property fmtid="{D5CDD505-2E9C-101B-9397-08002B2CF9AE}" pid="44" name="NOSE26">
    <vt:lpwstr>מהימנות</vt:lpwstr>
  </property>
  <property fmtid="{D5CDD505-2E9C-101B-9397-08002B2CF9AE}" pid="45" name="NOSE27">
    <vt:lpwstr>ענישה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1443;1654;1654;1446;504;1635;1446</vt:lpwstr>
  </property>
  <property fmtid="{D5CDD505-2E9C-101B-9397-08002B2CF9AE}" pid="49" name="NOSE31">
    <vt:lpwstr>עבירות מין במשפחה</vt:lpwstr>
  </property>
  <property fmtid="{D5CDD505-2E9C-101B-9397-08002B2CF9AE}" pid="50" name="NOSE310">
    <vt:lpwstr/>
  </property>
  <property fmtid="{D5CDD505-2E9C-101B-9397-08002B2CF9AE}" pid="51" name="NOSE32">
    <vt:lpwstr>קורבן עבירת מין</vt:lpwstr>
  </property>
  <property fmtid="{D5CDD505-2E9C-101B-9397-08002B2CF9AE}" pid="52" name="NOSE33">
    <vt:lpwstr>עדות כבושה</vt:lpwstr>
  </property>
  <property fmtid="{D5CDD505-2E9C-101B-9397-08002B2CF9AE}" pid="53" name="NOSE34">
    <vt:lpwstr>מדיניות ענישה: עבירות מין</vt:lpwstr>
  </property>
  <property fmtid="{D5CDD505-2E9C-101B-9397-08002B2CF9AE}" pid="54" name="NOSE35">
    <vt:lpwstr>אי-התערבות בממצאים עובדתיים</vt:lpwstr>
  </property>
  <property fmtid="{D5CDD505-2E9C-101B-9397-08002B2CF9AE}" pid="55" name="NOSE36">
    <vt:lpwstr>בחינתה על-ידי ערכאת הערעור</vt:lpwstr>
  </property>
  <property fmtid="{D5CDD505-2E9C-101B-9397-08002B2CF9AE}" pid="56" name="NOSE37">
    <vt:lpwstr>מדיניות ענישה: שיקולים לחומרה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12407;12270;10410;8988;3849;10196;8995</vt:lpwstr>
  </property>
  <property fmtid="{D5CDD505-2E9C-101B-9397-08002B2CF9AE}" pid="60" name="PADIDATE">
    <vt:lpwstr>20220317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7596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410120220316</vt:lpwstr>
  </property>
  <property fmtid="{D5CDD505-2E9C-101B-9397-08002B2CF9AE}" pid="70" name="TYPE_N_DATE">
    <vt:lpwstr>41020220316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