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764/21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986/21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764/21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986/21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 </w:t>
            </w:r>
            <w:r>
              <w:rPr>
                <w:rFonts w:cs="David" w:ascii="David" w:hAnsi="David"/>
              </w:rPr>
              <w:t>764/21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986/21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764/21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מרגי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13852-01-20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855"/>
        <w:gridCol w:w="1278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85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27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764/21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986/21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 </w:t>
            </w:r>
            <w:r>
              <w:rPr>
                <w:rFonts w:cs="David" w:ascii="David" w:hAnsi="David"/>
              </w:rPr>
              <w:t>764/21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986/21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סייף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קמחי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המשיבים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764/21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sz w:val="20"/>
                <w:sz w:val="20"/>
                <w:szCs w:val="26"/>
                <w:rtl w:val="true"/>
              </w:rPr>
              <w:t>בשם</w:t>
            </w:r>
            <w:r>
              <w:rPr>
                <w:rFonts w:cs="Times New Roman"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sz w:val="20"/>
                <w:sz w:val="20"/>
                <w:szCs w:val="26"/>
                <w:rtl w:val="true"/>
              </w:rPr>
              <w:t>שירות</w:t>
            </w:r>
            <w:r>
              <w:rPr>
                <w:rFonts w:cs="Times New Roman"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sz w:val="20"/>
                <w:sz w:val="20"/>
                <w:szCs w:val="26"/>
                <w:rtl w:val="true"/>
              </w:rPr>
              <w:t>המבחן</w:t>
            </w:r>
            <w:r>
              <w:rPr>
                <w:rFonts w:cs="Times New Roman"/>
                <w:sz w:val="20"/>
                <w:sz w:val="20"/>
                <w:szCs w:val="26"/>
                <w:rtl w:val="true"/>
              </w:rPr>
              <w:t xml:space="preserve"> </w:t>
            </w:r>
            <w:r>
              <w:rPr>
                <w:sz w:val="20"/>
                <w:sz w:val="20"/>
                <w:szCs w:val="26"/>
                <w:rtl w:val="true"/>
              </w:rPr>
              <w:t>למבוגרים</w:t>
            </w:r>
            <w:r>
              <w:rPr>
                <w:sz w:val="20"/>
                <w:szCs w:val="26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ערעור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986/21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הורשע בעבירת המתה בקלות דעת של הילד איתי מרגי במהלך יום הכיפורים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עונש המאסר בן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בפועל שהושת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הפחית את גובה הפיצויים לתשלום לנפגעי העבירה כך שיעמדו על סך של </w:t>
      </w:r>
      <w:r>
        <w:rPr>
          <w:rFonts w:cs="Times New Roman" w:ascii="Times New Roman" w:hAnsi="Times New Roman"/>
          <w:spacing w:val="0"/>
          <w:sz w:val="24"/>
          <w:szCs w:val="26"/>
        </w:rPr>
        <w:t>120,000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כי אלה ישולמו באופן מידי ולא לאחר ריצוי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תאונות דרכים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986/21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בעבירות המתה בקלות דעת של הילד איתי מרגי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סחר בסם מסוכן והחזקת סם מסוכן שלא לצריכה עצמית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הערעורים נסבים על 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בגדרו הוטל על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986/21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פסילה בת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מלהחזיק או לקבל רישיון נהיגה החל מיום שחרורו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ופיצויים לנפגעי העבירה בסך </w:t>
      </w:r>
      <w:r>
        <w:rPr>
          <w:rFonts w:cs="Times New Roman" w:ascii="Times New Roman" w:hAnsi="Times New Roman"/>
          <w:spacing w:val="0"/>
          <w:sz w:val="24"/>
          <w:szCs w:val="26"/>
        </w:rPr>
        <w:t>250,000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ישולמו לאחר ריצוי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המערער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986/21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 כנגד חומרת העונש ברכיב המאסר וברכיב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המדינה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764/21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מופנה כנגד קביעת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לפיה ישולמו הפיצויים לאחר סיום ריצוי עונש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קרא ובהסכמת השופטים קרא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הערעורים בחלקם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מצא מקום להתערב בעונש המאסר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אין זה מקרה המצדיק התערבות ערכאת הערעור במידת העונש שהטילה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הפסיקה התוותה את עקרונות הענישה ביחס למי שגרמו לתאונה 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להחמיר בעבירות מסוג זה נוכח עקרון קדושת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לשקול את מידת האשמה של גורם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פי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הנהג אשר גרם לתאונה נסוגות מפני חומרת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קבע כי בתאונה קיפח את חייו ילד רך בשנים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שלא חטא בדבר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אלה עקרון קדושת החיים מחייב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האשם שדבקה במעשי המערער גבוהה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בעבירת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המצביעה על קיומו של יסוד נפשי במסגרתו היה מודע המערער לטיב הסיכון שנשקף ממעשיו ובכל זאת בחר לנהוג בדרך בה בחר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בקלות דעת ברף גבוה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חריגה וייחודית בחומרתה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העובדה כי המערער נסע במהירות המצויה הרבה מעל למהירות המותרת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בטבורה של 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בשיאו של יום הכיפורים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מודע למוסכמה החברתית באשר לשימוש בדרכים ביום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את הנסיעה כשברשותו סמים מסוכנים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שביצע מספר עסקאות סמים וכשהוא בדרכו לבצע עסקה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גם נסיבות לקולא אך לפי עקרונות הענישה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בהן כדי לאיין את הצורך בענישה המשקפת את חומרת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רף קלות הדעת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איננו מאפשר גזירה שווה מפסיקה מקלה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המאסר שנגזרו על המערער משקפות לא רק את חומרת עבירת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גם את חומרת עבירות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אינה מצביעה על הקלה נורמטיבית בכל הנוגע להמתה בתאונת דרכים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והעונש המירבי בגין המתה בקלות דעת הועמד על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על מנת לשקף את רמת הענישה ולא מתוך כוונה לשנותה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קבע כי יש מקום להתערב ברכיב הפיצוי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מטרת הפיצויים לפי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אינה מתן פיצוי מלא לנזקם של נפגעי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מתן סעד שהוא בגדר עזרה 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ונכון להעמיד את הפיצוי על </w:t>
      </w:r>
      <w:r>
        <w:rPr>
          <w:rFonts w:cs="Times New Roman" w:ascii="Times New Roman" w:hAnsi="Times New Roman"/>
          <w:spacing w:val="0"/>
          <w:szCs w:val="26"/>
        </w:rPr>
        <w:t>120,000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נפסק כי המערער ישלם את רכיב הפיצויים החל מיום </w:t>
      </w:r>
      <w:r>
        <w:rPr>
          <w:rFonts w:cs="Times New Roman" w:ascii="Times New Roman" w:hAnsi="Times New Roman"/>
          <w:spacing w:val="0"/>
          <w:szCs w:val="26"/>
        </w:rPr>
        <w:t>1.7.21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תכליות הפיצוי בהליך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בהן הצורך בסעד מידי לנפגע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הכרה בסבלו וקידום הליך שיקומו של העבריין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לדחות את תחילת תשלום הפיצויים שהושתו על המערער עד לתום תקופת 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הנזק והסבל הקשים ביותר אשר נגרמו לבני 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מחסור כלכלי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עדיפות למתן תשלום מידי על פני תשלום מקסימלי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30"/>
          <w:szCs w:val="36"/>
        </w:rPr>
      </w:pPr>
      <w:r>
        <w:rPr>
          <w:sz w:val="30"/>
          <w:szCs w:val="36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29.12.2020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13852-01-20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986/21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764/21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23.6.2020</w:t>
      </w:r>
      <w:r>
        <w:rPr>
          <w:rtl w:val="true"/>
        </w:rPr>
        <w:t xml:space="preserve">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המתה בקלות דעת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סחר בסם מסוכן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המסוכנים</w:t>
      </w:r>
      <w:r>
        <w:rPr>
          <w:rtl w:val="true"/>
        </w:rPr>
        <w:t xml:space="preserve">); </w:t>
      </w:r>
      <w:r>
        <w:rPr>
          <w:rtl w:val="true"/>
        </w:rPr>
        <w:t xml:space="preserve">והחזקת סם מסוכן שלא לצריכה עצמית לפי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הסמים המסוכנים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/>
        <w:t>9.10.2019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LSD</w:t>
      </w:r>
      <w:r>
        <w:rPr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צרכנים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13:47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LSD</w:t>
      </w:r>
      <w:r>
        <w:rPr>
          <w:rtl w:val="true"/>
        </w:rPr>
        <w:t xml:space="preserve"> </w:t>
      </w:r>
      <w:r>
        <w:rPr>
          <w:rtl w:val="true"/>
        </w:rPr>
        <w:t>לצרכן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14:07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14:55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15:07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,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בוטינסקי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94.1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-</w:t>
      </w:r>
      <w:r>
        <w:rPr>
          <w:rtl w:val="true"/>
        </w:rPr>
        <w:t>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מרכבו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עשיתי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הוזעקה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ופינתה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איכילוב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ורוכבי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בפני בית משפט קמא הונחו הן תסקיר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והן תסקיר נפגעי עבירה ביחס למשפחת המנוח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התסקיר בעניינו של המערער עמד על גילו הצעיר</w:t>
      </w:r>
      <w:r>
        <w:rPr>
          <w:rtl w:val="true"/>
        </w:rPr>
        <w:t xml:space="preserve">; </w:t>
      </w:r>
      <w:r>
        <w:rPr>
          <w:rtl w:val="true"/>
        </w:rPr>
        <w:t>היעדרו של עבר פלילי</w:t>
      </w:r>
      <w:r>
        <w:rPr>
          <w:rtl w:val="true"/>
        </w:rPr>
        <w:t xml:space="preserve">; </w:t>
      </w:r>
      <w:r>
        <w:rPr>
          <w:rtl w:val="true"/>
        </w:rPr>
        <w:t>ועל השלכותיה הטראומטיות של התאונה עליו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סבר שירות המבחן כי יש מקום להתחשב בכל אלה בעת קביעת אורכו של עונש המאסר וכן לאפשר דחיית מועד לצורך הכנה לריצוי העונש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לקראת הדיון בערעור הוגש תסקיר משלים בעניינו של המערער</w:t>
      </w:r>
      <w:r>
        <w:rPr>
          <w:rtl w:val="true"/>
        </w:rPr>
        <w:t xml:space="preserve">, </w:t>
      </w:r>
      <w:r>
        <w:rPr>
          <w:rtl w:val="true"/>
        </w:rPr>
        <w:t>ולפיו הוא מתקשה להכיל את משמעות אורך המאסר שנגזר 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בעמודים</w:t>
      </w:r>
      <w:r>
        <w:rPr>
          <w:rFonts w:eastAsia="Arial TUR;Arial" w:cs="Arial TUR;Arial"/>
          <w:rtl w:val="true"/>
        </w:rPr>
        <w:t xml:space="preserve">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קבע כי אין מקום לראות במעשיו העבריינים של המערער אירוע אחד</w:t>
      </w:r>
      <w:r>
        <w:rPr>
          <w:rtl w:val="true"/>
        </w:rPr>
        <w:t xml:space="preserve">, </w:t>
      </w:r>
      <w:r>
        <w:rPr>
          <w:rtl w:val="true"/>
        </w:rPr>
        <w:t>ולפיכך מצא לקבוע מתחמי ענישה נפרדים ביחס לעבירת ההמתה וביחס לעבירות הסמים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ביחס לעבירת ההמתה בקלות דעת</w:t>
      </w:r>
      <w:r>
        <w:rPr>
          <w:rtl w:val="true"/>
        </w:rPr>
        <w:t xml:space="preserve">, </w:t>
      </w:r>
      <w:r>
        <w:rPr>
          <w:rtl w:val="true"/>
        </w:rPr>
        <w:t>עמד בית המשפט על הפגיעה בערך החברתי המוגן של קדושת החיים</w:t>
      </w:r>
      <w:r>
        <w:rPr>
          <w:rtl w:val="true"/>
        </w:rPr>
        <w:t xml:space="preserve">; </w:t>
      </w:r>
      <w:r>
        <w:rPr>
          <w:rtl w:val="true"/>
        </w:rPr>
        <w:t>וכן על הפגיעה בבטיחותם</w:t>
      </w:r>
      <w:r>
        <w:rPr>
          <w:rtl w:val="true"/>
        </w:rPr>
        <w:t xml:space="preserve">, </w:t>
      </w:r>
      <w:r>
        <w:rPr>
          <w:rtl w:val="true"/>
        </w:rPr>
        <w:t>בריאותם ושלמות גופם של המשתמשים בדרך</w:t>
      </w:r>
      <w:r>
        <w:rPr>
          <w:rtl w:val="true"/>
        </w:rPr>
        <w:t xml:space="preserve">. </w:t>
      </w:r>
      <w:r>
        <w:rPr>
          <w:rtl w:val="true"/>
        </w:rPr>
        <w:t>עוד עמד בית משפט קמא על נסיבות ביצוע העבירה</w:t>
      </w:r>
      <w:r>
        <w:rPr>
          <w:rtl w:val="true"/>
        </w:rPr>
        <w:t xml:space="preserve">: </w:t>
      </w:r>
      <w:r>
        <w:rPr>
          <w:rtl w:val="true"/>
        </w:rPr>
        <w:t>נסיעה במהירות העולה ב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 לערך על המהירות המותרת במקום</w:t>
      </w:r>
      <w:r>
        <w:rPr>
          <w:rtl w:val="true"/>
        </w:rPr>
        <w:t xml:space="preserve">, </w:t>
      </w:r>
      <w:r>
        <w:rPr>
          <w:rtl w:val="true"/>
        </w:rPr>
        <w:t>בצהרי יום הכיפורים</w:t>
      </w:r>
      <w:r>
        <w:rPr>
          <w:rtl w:val="true"/>
        </w:rPr>
        <w:t xml:space="preserve">, </w:t>
      </w:r>
      <w:r>
        <w:rPr>
          <w:rtl w:val="true"/>
        </w:rPr>
        <w:t>אף שהמערער היה מודע לתנאי השימוש הייחודיים בדרך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על מנת לבצע עסקה אסורה בסמים מסוכנים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הפגיעה</w:t>
      </w:r>
      <w:r>
        <w:rPr>
          <w:rtl w:val="true"/>
        </w:rPr>
        <w:t xml:space="preserve">, </w:t>
      </w:r>
      <w:r>
        <w:rPr>
          <w:rtl w:val="true"/>
        </w:rPr>
        <w:t>לא נמלט המערער</w:t>
      </w:r>
      <w:r>
        <w:rPr>
          <w:rtl w:val="true"/>
        </w:rPr>
        <w:t xml:space="preserve">, </w:t>
      </w:r>
      <w:r>
        <w:rPr>
          <w:rtl w:val="true"/>
        </w:rPr>
        <w:t>אלא יצא מרכבו והבין את משמעות התאונה לה גרם</w:t>
      </w:r>
      <w:r>
        <w:rPr>
          <w:rtl w:val="true"/>
        </w:rPr>
        <w:t xml:space="preserve">. </w:t>
      </w:r>
      <w:r>
        <w:rPr>
          <w:rtl w:val="true"/>
        </w:rPr>
        <w:t>אך בכך לא היה כדי להניעו לקרוא לכוחות ההצלה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ביקש המערער לצמצם את אשמתו</w:t>
      </w:r>
      <w:r>
        <w:rPr>
          <w:rtl w:val="true"/>
        </w:rPr>
        <w:t xml:space="preserve">, </w:t>
      </w:r>
      <w:r>
        <w:rPr>
          <w:rtl w:val="true"/>
        </w:rPr>
        <w:t>ובחר להסתיר את הסמים שנשא בשיחים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לזאת</w:t>
      </w:r>
      <w:r>
        <w:rPr>
          <w:rtl w:val="true"/>
        </w:rPr>
        <w:t xml:space="preserve">, </w:t>
      </w:r>
      <w:r>
        <w:rPr>
          <w:rtl w:val="true"/>
        </w:rPr>
        <w:t>ולאחר שנתן דעתו על מדיניות הענישה הנהוגה בעבירות ממין זה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משפט קמא את מתחם הענישה ביחס לעבירת ההמתה בקלות דעת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ביחס לעבירות הסמים</w:t>
      </w:r>
      <w:r>
        <w:rPr>
          <w:rtl w:val="true"/>
        </w:rPr>
        <w:t xml:space="preserve">, </w:t>
      </w:r>
      <w:r>
        <w:rPr>
          <w:rtl w:val="true"/>
        </w:rPr>
        <w:t>הדגיש בית משפט קמא את הפגיעה בערכים המוגנים של בריאות הציבור וביטחונו</w:t>
      </w:r>
      <w:r>
        <w:rPr>
          <w:rtl w:val="true"/>
        </w:rPr>
        <w:t xml:space="preserve">. </w:t>
      </w:r>
      <w:r>
        <w:rPr>
          <w:rtl w:val="true"/>
        </w:rPr>
        <w:t>בית המשפט נתן דעתו על כך שהמערער הספיק לבצע ארבע עסקאות סמים בטרם התאונה ועל כך שהיה בדרכו לבצע עסקה נוספת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בעקבות תכנון מוקדם ומתוחכם של העסקאות ומתוך מניע של בצע כסף</w:t>
      </w:r>
      <w:r>
        <w:rPr>
          <w:rtl w:val="true"/>
        </w:rPr>
        <w:t xml:space="preserve">. </w:t>
      </w:r>
      <w:r>
        <w:rPr>
          <w:rtl w:val="true"/>
        </w:rPr>
        <w:t>היבט מחמיר לעניין זה מצא בית המשפט המחוזי בכך שהעסקה שתכנן המערער כרוכה בנהיגתו הפרועה</w:t>
      </w:r>
      <w:r>
        <w:rPr>
          <w:rtl w:val="true"/>
        </w:rPr>
        <w:t xml:space="preserve">, </w:t>
      </w:r>
      <w:r>
        <w:rPr>
          <w:rtl w:val="true"/>
        </w:rPr>
        <w:t>שתוצאתה בתאונה הקטלנית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עמד על מדיניות הענישה הנהוגה בפסיקה בעבירות סמים מסוג זה והעמיד את מתחם העונש ההולם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משפט קמא מצא לגזור את עונשו של המערער במאוחד</w:t>
      </w:r>
      <w:r>
        <w:rPr>
          <w:rtl w:val="true"/>
        </w:rPr>
        <w:t xml:space="preserve">, </w:t>
      </w:r>
      <w:r>
        <w:rPr>
          <w:rtl w:val="true"/>
        </w:rPr>
        <w:t>ביחס לכלל העבירות</w:t>
      </w:r>
      <w:r>
        <w:rPr>
          <w:rtl w:val="true"/>
        </w:rPr>
        <w:t xml:space="preserve">. </w:t>
      </w:r>
      <w:r>
        <w:rPr>
          <w:rtl w:val="true"/>
        </w:rPr>
        <w:t>בעת קביעת העונש ההולם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שיקולים לקולא</w:t>
      </w:r>
      <w:r>
        <w:rPr>
          <w:rtl w:val="true"/>
        </w:rPr>
        <w:t xml:space="preserve">, </w:t>
      </w:r>
      <w:r>
        <w:rPr>
          <w:rtl w:val="true"/>
        </w:rPr>
        <w:t>בהם גילו הצעיר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>משך הזמן בו נתון בתנאים מגבילים ללא הפרתם</w:t>
      </w:r>
      <w:r>
        <w:rPr>
          <w:rtl w:val="true"/>
        </w:rPr>
        <w:t xml:space="preserve">; </w:t>
      </w:r>
      <w:r>
        <w:rPr>
          <w:rtl w:val="true"/>
        </w:rPr>
        <w:t xml:space="preserve">היות העונש </w:t>
      </w:r>
      <w:r>
        <w:rPr>
          <w:rtl w:val="true"/>
        </w:rPr>
        <w:t>–</w:t>
      </w:r>
      <w:r>
        <w:rPr>
          <w:rtl w:val="true"/>
        </w:rPr>
        <w:t xml:space="preserve"> עונש מאסר ראשון עבור המערער</w:t>
      </w:r>
      <w:r>
        <w:rPr>
          <w:rtl w:val="true"/>
        </w:rPr>
        <w:t xml:space="preserve">; </w:t>
      </w:r>
      <w:r>
        <w:rPr>
          <w:rtl w:val="true"/>
        </w:rPr>
        <w:t>השפעת העונש על המערער ובני משפחתו</w:t>
      </w:r>
      <w:r>
        <w:rPr>
          <w:rtl w:val="true"/>
        </w:rPr>
        <w:t xml:space="preserve">, </w:t>
      </w:r>
      <w:r>
        <w:rPr>
          <w:rtl w:val="true"/>
        </w:rPr>
        <w:t>בהם אביו בן ה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; </w:t>
      </w:r>
      <w:r>
        <w:rPr>
          <w:rtl w:val="true"/>
        </w:rPr>
        <w:t>הנזקים שנגרמו למערער עצמו בהם תסמינים פוסט טראומטיים</w:t>
      </w:r>
      <w:r>
        <w:rPr>
          <w:rtl w:val="true"/>
        </w:rPr>
        <w:t xml:space="preserve">; </w:t>
      </w:r>
      <w:r>
        <w:rPr>
          <w:rtl w:val="true"/>
        </w:rPr>
        <w:t>העדר עבר פלילי</w:t>
      </w:r>
      <w:r>
        <w:rPr>
          <w:rtl w:val="true"/>
        </w:rPr>
        <w:t xml:space="preserve">; </w:t>
      </w:r>
      <w:r>
        <w:rPr>
          <w:rtl w:val="true"/>
        </w:rPr>
        <w:t xml:space="preserve">וכן קיומו של עבר תעבורתי הכולל הרשעה אחת בלבד בגין התנהגות בלתי זהירה משנת </w:t>
      </w:r>
      <w:r>
        <w:rPr/>
        <w:t>2018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 בית משפט קמא על הודיית המערער והפנמת המעשה האסור</w:t>
      </w:r>
      <w:r>
        <w:rPr>
          <w:rtl w:val="true"/>
        </w:rPr>
        <w:t xml:space="preserve">, </w:t>
      </w:r>
      <w:r>
        <w:rPr>
          <w:rtl w:val="true"/>
        </w:rPr>
        <w:t>והערכת שירות המבחן את סיכויי שיקומו של המערער כטובים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בית המשפט נתן דעתו על תסקיר נפגעי העבירה המצביע על הנזקים הקשים מנשוא שהסב המערער למשפחת 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הן המערער והן המדינה לא השלימו עם פסק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מכאן הערעורים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986/21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 מלין על חומרת העונש שנגזר עליו</w:t>
      </w:r>
      <w:r>
        <w:rPr>
          <w:rtl w:val="true"/>
        </w:rPr>
        <w:t xml:space="preserve">, </w:t>
      </w:r>
      <w:r>
        <w:rPr>
          <w:rtl w:val="true"/>
        </w:rPr>
        <w:t>הן ברכיב המאסר והן ברכיב הפיצויים</w:t>
      </w:r>
      <w:r>
        <w:rPr>
          <w:rtl w:val="true"/>
        </w:rPr>
        <w:t>.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חרג בית משפט קמא באופן קיצוני מרמת הענישה הנוהגת</w:t>
      </w:r>
      <w:r>
        <w:rPr>
          <w:rtl w:val="true"/>
        </w:rPr>
        <w:t xml:space="preserve">, </w:t>
      </w:r>
      <w:r>
        <w:rPr>
          <w:rtl w:val="true"/>
        </w:rPr>
        <w:t>באופן הפוגם בעיקרון אחידות הענישה ומחייב את התערבות בית משפט זה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נטען כי בית המשפט טעה בקבעו כי נהיגתו של המערער נבעה מחשש להיתפס על ידי המשטרה בעת שהוא נושא סמים למטרות סחר</w:t>
      </w:r>
      <w:r>
        <w:rPr>
          <w:rtl w:val="true"/>
        </w:rPr>
        <w:t xml:space="preserve">, </w:t>
      </w:r>
      <w:r>
        <w:rPr>
          <w:rtl w:val="true"/>
        </w:rPr>
        <w:t>וכי התביעה כלל לא טענה לכך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כאשר קבע שאין מדובר במעשה עברייני אחד</w:t>
      </w:r>
      <w:r>
        <w:rPr>
          <w:rtl w:val="true"/>
        </w:rPr>
        <w:t xml:space="preserve">, </w:t>
      </w:r>
      <w:r>
        <w:rPr>
          <w:rtl w:val="true"/>
        </w:rPr>
        <w:t>וכי נכון היה לראות את המעשים כאירוע עברייני אחד ובהתאם לקבוע מתחם ענישה יחיד לכלל העבירות בהן הודה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תשלומו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בתגובתה לערעור המערער</w:t>
      </w:r>
      <w:r>
        <w:rPr>
          <w:rtl w:val="true"/>
        </w:rPr>
        <w:t xml:space="preserve">, </w:t>
      </w:r>
      <w:r>
        <w:rPr>
          <w:rtl w:val="true"/>
        </w:rPr>
        <w:t>ביקשה המדינה לדחות את הערעור הן ביחס למשך תקופת המאסר והן ביחס לגובה הפיצויים</w:t>
      </w:r>
      <w:r>
        <w:rPr>
          <w:rtl w:val="true"/>
        </w:rPr>
        <w:t xml:space="preserve">. </w:t>
      </w:r>
      <w:r>
        <w:rPr>
          <w:rtl w:val="true"/>
        </w:rPr>
        <w:t>באת כוח המדינה ציינה כי אמנם</w:t>
      </w:r>
      <w:r>
        <w:rPr>
          <w:rtl w:val="true"/>
        </w:rPr>
        <w:t xml:space="preserve">, </w:t>
      </w:r>
      <w:r>
        <w:rPr>
          <w:rtl w:val="true"/>
        </w:rPr>
        <w:t xml:space="preserve">התביעה לא עמדה על פיצויים בסך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בבית המשפט המחוזי</w:t>
      </w:r>
      <w:r>
        <w:rPr>
          <w:rtl w:val="true"/>
        </w:rPr>
        <w:t xml:space="preserve">, </w:t>
      </w:r>
      <w:r>
        <w:rPr>
          <w:rtl w:val="true"/>
        </w:rPr>
        <w:t>ואולם לדבריה הפסיקה ראויה נוכח היקף הנזקים שנגרמו למשפחת המנוח</w:t>
      </w:r>
      <w:r>
        <w:rPr>
          <w:rtl w:val="true"/>
        </w:rPr>
        <w:t xml:space="preserve">. </w:t>
      </w:r>
      <w:r>
        <w:rPr>
          <w:rtl w:val="true"/>
        </w:rPr>
        <w:t>בא כוח משפחת המנוח ציין ופירט אף הוא את היקפי הנזק אשר גרמה התאונה למשפחה</w:t>
      </w:r>
      <w:r>
        <w:rPr>
          <w:rtl w:val="true"/>
        </w:rPr>
        <w:t xml:space="preserve">, </w:t>
      </w:r>
      <w:r>
        <w:rPr>
          <w:rtl w:val="true"/>
        </w:rPr>
        <w:t>ואת הקשיים הכלכליים אליהם נקלעה בעקבות מות המנוח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 עמדה באת כוח המדינה בדיון</w:t>
      </w:r>
      <w:r>
        <w:rPr>
          <w:rtl w:val="true"/>
        </w:rPr>
        <w:t xml:space="preserve">, </w:t>
      </w:r>
      <w:r>
        <w:rPr>
          <w:rtl w:val="true"/>
        </w:rPr>
        <w:t>על שורת הנסיבות המחמירות בעניינו של המערער</w:t>
      </w:r>
      <w:r>
        <w:rPr>
          <w:rtl w:val="true"/>
        </w:rPr>
        <w:t xml:space="preserve">, </w:t>
      </w:r>
      <w:r>
        <w:rPr>
          <w:rtl w:val="true"/>
        </w:rPr>
        <w:t>אשר דרס את המנוח בדרכו לביצוע עסקת סמים</w:t>
      </w:r>
      <w:r>
        <w:rPr>
          <w:rtl w:val="true"/>
        </w:rPr>
        <w:t xml:space="preserve">, </w:t>
      </w:r>
      <w:r>
        <w:rPr>
          <w:rtl w:val="true"/>
        </w:rPr>
        <w:t>ביום כיפור</w:t>
      </w:r>
      <w:r>
        <w:rPr>
          <w:rtl w:val="true"/>
        </w:rPr>
        <w:t xml:space="preserve">, </w:t>
      </w:r>
      <w:r>
        <w:rPr>
          <w:rtl w:val="true"/>
        </w:rPr>
        <w:t>תוך נהיגה במהירות גבוהה בהרבה מהמותר</w:t>
      </w:r>
      <w:r>
        <w:rPr>
          <w:rtl w:val="true"/>
        </w:rPr>
        <w:t xml:space="preserve">. </w:t>
      </w:r>
      <w:r>
        <w:rPr>
          <w:rtl w:val="true"/>
        </w:rPr>
        <w:t>נסיבות אלה מצדיקות</w:t>
      </w:r>
      <w:r>
        <w:rPr>
          <w:rtl w:val="true"/>
        </w:rPr>
        <w:t xml:space="preserve">,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>את עונש המאסר הממושך שנגזר על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764/21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ערעור המדינה מתמקד בהחלטת בית המשפט המחוזי לפיה רכיב הפיצויים בגזר הדין ישולם בתום ריצוי עונש המאסר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המדובר בהחלטה המנוגדת ללשון החוק ולפסיקת בית משפט זה</w:t>
      </w:r>
      <w:r>
        <w:rPr>
          <w:rtl w:val="true"/>
        </w:rPr>
        <w:t xml:space="preserve">, </w:t>
      </w:r>
      <w:r>
        <w:rPr>
          <w:rtl w:val="true"/>
        </w:rPr>
        <w:t>ולא היה מקום לדחות את מועד תחילת תשלום הפיצויים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והזדהות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תוגש</w:t>
      </w:r>
      <w:r>
        <w:rPr>
          <w:rtl w:val="true"/>
        </w:rPr>
        <w:t xml:space="preserve">,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נזקיהם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start="72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בתשובתו לערעור המדינה</w:t>
      </w:r>
      <w:r>
        <w:rPr>
          <w:rtl w:val="true"/>
        </w:rPr>
        <w:t xml:space="preserve">, </w:t>
      </w:r>
      <w:r>
        <w:rPr>
          <w:rtl w:val="true"/>
        </w:rPr>
        <w:t>ביקש בא כוח המערער להותיר את החלטת בית משפט קמא באשר למועד תשלום הפיצויים על כנה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המערער מגיע ממשפחה קשת יום</w:t>
      </w:r>
      <w:r>
        <w:rPr>
          <w:rtl w:val="true"/>
        </w:rPr>
        <w:t xml:space="preserve">, </w:t>
      </w:r>
      <w:r>
        <w:rPr>
          <w:rtl w:val="true"/>
        </w:rPr>
        <w:t>ואין מקום להורות לו לשלם את הפיצויים במקביל לשהותו מאחורי סורג ובריח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986/21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הגעתי לכלל מסקנה כי ערעור המערער על עונש המאסר יידחה</w:t>
      </w:r>
      <w:r>
        <w:rPr>
          <w:rtl w:val="true"/>
        </w:rPr>
        <w:t xml:space="preserve">, </w:t>
      </w:r>
      <w:r>
        <w:rPr>
          <w:rtl w:val="true"/>
        </w:rPr>
        <w:t>ואולם ערעורו על גובה הפיצויים יתקבל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מצאתי להדגיש כי אין ממש בטענת המערער</w:t>
      </w:r>
      <w:r>
        <w:rPr>
          <w:rtl w:val="true"/>
        </w:rPr>
        <w:t xml:space="preserve">, </w:t>
      </w:r>
      <w:r>
        <w:rPr>
          <w:rtl w:val="true"/>
        </w:rPr>
        <w:t>כי בית משפט קמא שגה כאשר מצא לקבוע מתחמי ענישה נפרדים ביחס לעבירת ההמתה וביחס לעבירות הסמים</w:t>
      </w:r>
      <w:r>
        <w:rPr>
          <w:rtl w:val="true"/>
        </w:rPr>
        <w:t xml:space="preserve">, </w:t>
      </w:r>
      <w:r>
        <w:rPr>
          <w:rtl w:val="true"/>
        </w:rPr>
        <w:t xml:space="preserve">באופן המצדיק את התערבות בית משפט זה </w:t>
      </w:r>
      <w:r>
        <w:rPr>
          <w:rtl w:val="true"/>
        </w:rPr>
        <w:t>(</w:t>
      </w:r>
      <w:r>
        <w:rPr>
          <w:rtl w:val="true"/>
        </w:rPr>
        <w:t>ראה לעניין זה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הלכה היא כי בית משפט שלערעור בוחן</w:t>
      </w:r>
      <w:r>
        <w:rPr>
          <w:rtl w:val="true"/>
        </w:rPr>
        <w:t xml:space="preserve">,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את התוצאה העונשית הסופית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 xml:space="preserve">גם אם נפלה טעות כלשהי באופן הפעלת מנגנון הבניית שיקול הדעת שעוגן בהוראות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אין בכך כדי להצדיק קבלת ערעור כאשר התוצאה העונשית אינה מצדיקה התערבות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tl w:val="true"/>
        </w:rPr>
        <w:t xml:space="preserve"> (</w:t>
      </w:r>
      <w:r>
        <w:rPr/>
        <w:t>19.1.2021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tl w:val="true"/>
        </w:rPr>
        <w:t xml:space="preserve">)).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כמקובל</w:t>
      </w:r>
      <w:r>
        <w:rPr>
          <w:rtl w:val="true"/>
        </w:rPr>
        <w:t xml:space="preserve">, </w:t>
      </w:r>
      <w:r>
        <w:rPr>
          <w:rtl w:val="true"/>
        </w:rPr>
        <w:t xml:space="preserve">מצאתי לתת דעתי על העונש כמכלול </w:t>
      </w:r>
      <w:r>
        <w:rPr>
          <w:rtl w:val="true"/>
        </w:rPr>
        <w:t>–</w:t>
      </w:r>
      <w:r>
        <w:rPr>
          <w:rtl w:val="true"/>
        </w:rPr>
        <w:t xml:space="preserve"> ולא לבחון את מתחמי הענישה שנקבעו בנפרד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 מצאתי אף כי יש מקום להתערב בעונש המאסר אשר נגזר על המערער</w:t>
      </w:r>
      <w:r>
        <w:rPr>
          <w:rtl w:val="true"/>
        </w:rPr>
        <w:t xml:space="preserve">.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 xml:space="preserve">טען המערער כי עונש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הינו עונש מופרז וחריג בהינתן המעשים בהם הודה והורשע</w:t>
      </w:r>
      <w:r>
        <w:rPr>
          <w:rtl w:val="true"/>
        </w:rPr>
        <w:t xml:space="preserve">. </w:t>
      </w:r>
      <w:r>
        <w:rPr>
          <w:rtl w:val="true"/>
        </w:rPr>
        <w:t>על פי הטענה</w:t>
      </w:r>
      <w:r>
        <w:rPr>
          <w:rtl w:val="true"/>
        </w:rPr>
        <w:t xml:space="preserve">, </w:t>
      </w:r>
      <w:r>
        <w:rPr>
          <w:rtl w:val="true"/>
        </w:rPr>
        <w:t>המדובר בעונש החורג מרף הענישה המקובל באופן המצדיק את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נוטה שלא להתערב במידת העונש שהטילה הערכאה הדיונית למעט במקרים חריגים שנפלה בהם טעות מהותית או שמתגלה בהם חריגה קיצונית ממדיניות הענישה הנהוגה במקרים דומים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 xml:space="preserve">)). </w:t>
      </w:r>
      <w:r>
        <w:rPr>
          <w:rtl w:val="true"/>
        </w:rPr>
        <w:t>עונש המאסר אשר נגזר על המערער אינו נמנה על מקרים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הפסיקה התוותה זה מכבר את עקרונות הענישה ביחס למי שגרמו לתאונה קטלנית</w:t>
      </w:r>
      <w:r>
        <w:rPr>
          <w:rtl w:val="true"/>
        </w:rPr>
        <w:t xml:space="preserve">. </w:t>
      </w:r>
      <w:r>
        <w:rPr>
          <w:rtl w:val="true"/>
        </w:rPr>
        <w:t>כלל ראשון הוא כי יש להחמיר בעבירות מסוג זה נוכח עקרון קדושת החיים</w:t>
      </w:r>
      <w:r>
        <w:rPr>
          <w:rtl w:val="true"/>
        </w:rPr>
        <w:t xml:space="preserve">; </w:t>
      </w:r>
      <w:r>
        <w:rPr>
          <w:rtl w:val="true"/>
        </w:rPr>
        <w:t>כלל שני מורה לשקול את מידת האשמה של גורם התאונה</w:t>
      </w:r>
      <w:r>
        <w:rPr>
          <w:rtl w:val="true"/>
        </w:rPr>
        <w:t xml:space="preserve">; </w:t>
      </w:r>
      <w:r>
        <w:rPr>
          <w:rtl w:val="true"/>
        </w:rPr>
        <w:t>כלל שלישי מוסיף כי על פי רוב</w:t>
      </w:r>
      <w:r>
        <w:rPr>
          <w:rtl w:val="true"/>
        </w:rPr>
        <w:t xml:space="preserve">, </w:t>
      </w:r>
      <w:r>
        <w:rPr>
          <w:rtl w:val="true"/>
        </w:rPr>
        <w:t xml:space="preserve">נסיבותיו האישיות של הנהג אשר גרם לתאונה נסוגות מפני חומרת התוצאה </w:t>
      </w:r>
      <w:r>
        <w:rPr>
          <w:rtl w:val="true"/>
        </w:rPr>
        <w:t>(</w:t>
      </w:r>
      <w:r>
        <w:rPr>
          <w:rtl w:val="true"/>
        </w:rPr>
        <w:t>ראו למשל 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26.6.2019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קיפח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המצביעה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וייחודית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המותרת</w:t>
      </w:r>
      <w:r>
        <w:rPr>
          <w:rtl w:val="true"/>
        </w:rPr>
        <w:t xml:space="preserve">, </w:t>
      </w:r>
      <w:r>
        <w:rPr>
          <w:rtl w:val="true"/>
        </w:rPr>
        <w:t>בטבורה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בשיאו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הכיפורים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כמוזכר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מתסקיר שירות המבחן עולה כי ישנן גם נסיבות לקולא</w:t>
      </w:r>
      <w:r>
        <w:rPr>
          <w:rtl w:val="true"/>
        </w:rPr>
        <w:t xml:space="preserve">, </w:t>
      </w:r>
      <w:r>
        <w:rPr>
          <w:rtl w:val="true"/>
        </w:rPr>
        <w:t>שיש לשקול לטובת המערער</w:t>
      </w:r>
      <w:r>
        <w:rPr>
          <w:rtl w:val="true"/>
        </w:rPr>
        <w:t xml:space="preserve">, </w:t>
      </w:r>
      <w:r>
        <w:rPr>
          <w:rtl w:val="true"/>
        </w:rPr>
        <w:t>בהן גילו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הנזק הצפוי למשפחתו</w:t>
      </w:r>
      <w:r>
        <w:rPr>
          <w:rtl w:val="true"/>
        </w:rPr>
        <w:t xml:space="preserve">, </w:t>
      </w:r>
      <w:r>
        <w:rPr>
          <w:rtl w:val="true"/>
        </w:rPr>
        <w:t>עברו הנקי מהרשעות וסיכויי שיקומו הטובים</w:t>
      </w:r>
      <w:r>
        <w:rPr>
          <w:rtl w:val="true"/>
        </w:rPr>
        <w:t xml:space="preserve">. </w:t>
      </w:r>
      <w:r>
        <w:rPr>
          <w:rtl w:val="true"/>
        </w:rPr>
        <w:t>המערער מלין על כך שבית משפט קמא לא נתן לתסקיר ולנסיבות אלה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דיי משקל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לפי עקרונות הענישה אשר צוינו מעלה</w:t>
      </w:r>
      <w:r>
        <w:rPr>
          <w:rtl w:val="true"/>
        </w:rPr>
        <w:t xml:space="preserve">, </w:t>
      </w:r>
      <w:r>
        <w:rPr>
          <w:rtl w:val="true"/>
        </w:rPr>
        <w:t>אין בשיקולים אלה כדי לאיין את הצורך בענישה חמורה ומשמעותית</w:t>
      </w:r>
      <w:r>
        <w:rPr>
          <w:rtl w:val="true"/>
        </w:rPr>
        <w:t xml:space="preserve">, </w:t>
      </w:r>
      <w:r>
        <w:rPr>
          <w:rtl w:val="true"/>
        </w:rPr>
        <w:t>המשקפת את חומרת המעשים בהם הודה המערער</w:t>
      </w:r>
      <w:r>
        <w:rPr>
          <w:rtl w:val="true"/>
        </w:rPr>
        <w:t xml:space="preserve">. </w:t>
      </w:r>
      <w:r>
        <w:rPr>
          <w:rtl w:val="true"/>
        </w:rPr>
        <w:t>בית משפט קמא אף נתן דעתו על שיקולים מקלים אלה בעת גזירת העונש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המערער הפנה לפסיקה קודמת של בית משפט זה</w:t>
      </w:r>
      <w:r>
        <w:rPr>
          <w:rtl w:val="true"/>
        </w:rPr>
        <w:t xml:space="preserve">, </w:t>
      </w:r>
      <w:r>
        <w:rPr>
          <w:rtl w:val="true"/>
        </w:rPr>
        <w:t>במסגרתה נגזרו עונשים נמוכים יותר על נאשמים אשר גרמו לתאונות קטלניות בנסיבות מחמירות שונות</w:t>
      </w:r>
      <w:r>
        <w:rPr>
          <w:rtl w:val="true"/>
        </w:rPr>
        <w:t xml:space="preserve">, </w:t>
      </w:r>
      <w:r>
        <w:rPr>
          <w:rtl w:val="true"/>
        </w:rPr>
        <w:t>באופן המלמד לטענתו על החריגה ממתחמי הענישה המקובלים</w:t>
      </w:r>
      <w:r>
        <w:rPr>
          <w:rtl w:val="true"/>
        </w:rPr>
        <w:t xml:space="preserve">. </w:t>
      </w:r>
      <w:r>
        <w:rPr>
          <w:rtl w:val="true"/>
        </w:rPr>
        <w:t>לאחר עיון בפסיקה זו</w:t>
      </w:r>
      <w:r>
        <w:rPr>
          <w:rtl w:val="true"/>
        </w:rPr>
        <w:t xml:space="preserve">, </w:t>
      </w:r>
      <w:r>
        <w:rPr>
          <w:rtl w:val="true"/>
        </w:rPr>
        <w:t>לא מצאתי כי יש ממש בטענה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היא לעולם אינדיבידואלית ותלויה בנסיבות המעשה והעושה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 (</w:t>
      </w:r>
      <w:r>
        <w:rPr/>
        <w:t>25.2.2021</w:t>
      </w:r>
      <w:r>
        <w:rPr>
          <w:rtl w:val="true"/>
        </w:rPr>
        <w:t xml:space="preserve">)). </w:t>
      </w:r>
      <w:r>
        <w:rPr>
          <w:rtl w:val="true"/>
        </w:rPr>
        <w:t>הדברים יפים לא רק למקרים בהם נסיבות המעשה והעושה המסוימים הן בגדר שיקולים לקולא</w:t>
      </w:r>
      <w:r>
        <w:rPr>
          <w:rtl w:val="true"/>
        </w:rPr>
        <w:t xml:space="preserve">, </w:t>
      </w:r>
      <w:r>
        <w:rPr>
          <w:rtl w:val="true"/>
        </w:rPr>
        <w:t xml:space="preserve">כי אם גם למצב דברים כבענייננו </w:t>
      </w:r>
      <w:r>
        <w:rPr>
          <w:rtl w:val="true"/>
        </w:rPr>
        <w:t>–</w:t>
      </w:r>
      <w:r>
        <w:rPr>
          <w:rtl w:val="true"/>
        </w:rPr>
        <w:t xml:space="preserve"> בו המעשה בוצע בנסיבות חמורות במיוחד</w:t>
      </w:r>
      <w:r>
        <w:rPr>
          <w:rtl w:val="true"/>
        </w:rPr>
        <w:t xml:space="preserve">, </w:t>
      </w:r>
      <w:r>
        <w:rPr>
          <w:rtl w:val="true"/>
        </w:rPr>
        <w:t xml:space="preserve">מה גם שבהחלט נגזרו בעבר עונשים דומים בגין עבירות של המתה בתאונות דרכים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שיבלי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30.11.2010</w:t>
      </w:r>
      <w:r>
        <w:rPr>
          <w:rtl w:val="true"/>
        </w:rPr>
        <w:t xml:space="preserve">), </w:t>
      </w:r>
      <w:r>
        <w:rPr>
          <w:rtl w:val="true"/>
        </w:rPr>
        <w:t>שם הורשע המערער בעבירת הריגה לאחר שנהג בפראות ביום הכיפורים וגרם למותה של ילדה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נסיעה כגון זו שביצע המערער</w:t>
      </w:r>
      <w:r>
        <w:rPr>
          <w:rtl w:val="true"/>
        </w:rPr>
        <w:t xml:space="preserve">, </w:t>
      </w:r>
      <w:r>
        <w:rPr>
          <w:rtl w:val="true"/>
        </w:rPr>
        <w:t>שאין לתארה אלא כפרועה ואשר מטרתה לבצע עבירה פלילית נוספת עם ההגעה ליעד</w:t>
      </w:r>
      <w:r>
        <w:rPr>
          <w:rtl w:val="true"/>
        </w:rPr>
        <w:t xml:space="preserve">, </w:t>
      </w:r>
      <w:r>
        <w:rPr>
          <w:rtl w:val="true"/>
        </w:rPr>
        <w:t>בתנאי הדרך להם היה מודע המערער</w:t>
      </w:r>
      <w:r>
        <w:rPr>
          <w:rtl w:val="true"/>
        </w:rPr>
        <w:t xml:space="preserve">, </w:t>
      </w:r>
      <w:r>
        <w:rPr>
          <w:rtl w:val="true"/>
        </w:rPr>
        <w:t>ביום הכיפורים</w:t>
      </w:r>
      <w:r>
        <w:rPr>
          <w:rtl w:val="true"/>
        </w:rPr>
        <w:t xml:space="preserve">, </w:t>
      </w:r>
      <w:r>
        <w:rPr>
          <w:rtl w:val="true"/>
        </w:rPr>
        <w:t>הינה בגדר קלות דעת ברף גבוה ביותר</w:t>
      </w:r>
      <w:r>
        <w:rPr>
          <w:rtl w:val="true"/>
        </w:rPr>
        <w:t xml:space="preserve">. </w:t>
      </w:r>
      <w:r>
        <w:rPr>
          <w:rtl w:val="true"/>
        </w:rPr>
        <w:t>רף זה של קלות דעת</w:t>
      </w:r>
      <w:r>
        <w:rPr>
          <w:rtl w:val="true"/>
        </w:rPr>
        <w:t xml:space="preserve">, </w:t>
      </w:r>
      <w:r>
        <w:rPr>
          <w:rtl w:val="true"/>
        </w:rPr>
        <w:t>איננו מאפשר גזירה שווה מפסיקה מקלה יותר בעניינים אחרים לענייננו</w:t>
      </w:r>
      <w:r>
        <w:rPr>
          <w:rtl w:val="true"/>
        </w:rPr>
        <w:t xml:space="preserve">. </w:t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כי כזכור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המאסר שנגזרו על המערער משקפות לא רק את חומרת עבירת ההמתה בה הורשע</w:t>
      </w:r>
      <w:r>
        <w:rPr>
          <w:rtl w:val="true"/>
        </w:rPr>
        <w:t xml:space="preserve">, </w:t>
      </w:r>
      <w:r>
        <w:rPr>
          <w:rtl w:val="true"/>
        </w:rPr>
        <w:t>כי אם גם את חומרת עבירות הסמים שביצע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הוספת עבירת ההמתה בקלות דעת לספר החוקים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 נועדה להוביל להפחתה בענישתם של האחראים למעשה ההמתה שפעלו מתוך יסוד נפשי של קלות דעת</w:t>
      </w:r>
      <w:r>
        <w:rPr>
          <w:rtl w:val="true"/>
        </w:rPr>
        <w:t xml:space="preserve">. </w:t>
      </w:r>
      <w:r>
        <w:rPr>
          <w:rtl w:val="true"/>
        </w:rPr>
        <w:t>דברי ההסבר להצעת החוק מדגישים</w:t>
      </w:r>
      <w:r>
        <w:rPr>
          <w:rtl w:val="true"/>
        </w:rPr>
        <w:t xml:space="preserve">, </w:t>
      </w:r>
      <w:r>
        <w:rPr>
          <w:rtl w:val="true"/>
        </w:rPr>
        <w:t>כי הענישה במסגרת העבירה אף נועדה לשמר את העונשים שבתי המשפט נוהגים לגזור בעבירות הריגה בנסיבות של תאונות דרכים</w:t>
      </w:r>
      <w:r>
        <w:rPr>
          <w:rtl w:val="true"/>
        </w:rPr>
        <w:t xml:space="preserve">, </w:t>
      </w:r>
      <w:r>
        <w:rPr>
          <w:rtl w:val="true"/>
        </w:rPr>
        <w:t xml:space="preserve">במקרים בהם היסוד הנפשי הוא קלות דעת </w:t>
      </w:r>
      <w:r>
        <w:rPr>
          <w:rtl w:val="true"/>
        </w:rPr>
        <w:t>(</w:t>
      </w:r>
      <w:r>
        <w:rPr>
          <w:rtl w:val="true"/>
        </w:rPr>
        <w:t xml:space="preserve">דברי הסבר להצעת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הממשלה </w:t>
      </w:r>
      <w:r>
        <w:rPr/>
        <w:t>972</w:t>
      </w:r>
      <w:r>
        <w:rPr>
          <w:rtl w:val="true"/>
        </w:rPr>
        <w:t xml:space="preserve">, </w:t>
      </w:r>
      <w:r>
        <w:rPr/>
        <w:t>177</w:t>
      </w:r>
      <w:r>
        <w:rPr>
          <w:rtl w:val="true"/>
        </w:rPr>
        <w:t xml:space="preserve">). </w:t>
      </w:r>
      <w:r>
        <w:rPr>
          <w:rtl w:val="true"/>
        </w:rPr>
        <w:t>אף בית משפט זה עמד על כך</w:t>
      </w:r>
      <w:r>
        <w:rPr>
          <w:rtl w:val="true"/>
        </w:rPr>
        <w:t xml:space="preserve">, </w:t>
      </w:r>
      <w:r>
        <w:rPr>
          <w:rtl w:val="true"/>
        </w:rPr>
        <w:t>שהרפורמה בעבירות ההמתה אינה מצביעה על הקלה נורמטיבית בכל הנוגע להמתה בתאונת דרכים</w:t>
      </w:r>
      <w:r>
        <w:rPr>
          <w:rtl w:val="true"/>
        </w:rPr>
        <w:t xml:space="preserve">, </w:t>
      </w:r>
      <w:r>
        <w:rPr>
          <w:rtl w:val="true"/>
        </w:rPr>
        <w:t xml:space="preserve">וכי העונש המירבי בגין המתה בקלות דעת הועמד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שנים על מנת לשקף את רמת הענישה ולא מתוך כוונה לשנותה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אנקרי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מצאתי כי יש מקום להתערב ברכיב הפיצוי אשר נגזר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ולהעמידו על סך של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תחת הסך של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שפסק בית משפט 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מורה לבית המשפט לקבוע את הפיצוי במסגרת ההליך הפלילי</w:t>
      </w:r>
      <w:r>
        <w:rPr>
          <w:rtl w:val="true"/>
        </w:rPr>
        <w:t xml:space="preserve">, </w:t>
      </w:r>
      <w:r>
        <w:rPr>
          <w:rtl w:val="true"/>
        </w:rPr>
        <w:t>לפי מידת הנזק או הסבל שנגרמו ביום ביצוע העבירה או ביום מתן ההחלטה על הפיצויים</w:t>
      </w:r>
      <w:r>
        <w:rPr>
          <w:rtl w:val="true"/>
        </w:rPr>
        <w:t xml:space="preserve">. </w:t>
      </w:r>
      <w:r>
        <w:rPr>
          <w:rtl w:val="true"/>
        </w:rPr>
        <w:t>תכליות פסיקתם של פיצויים לפי הסעיף</w:t>
      </w:r>
      <w:r>
        <w:rPr>
          <w:rtl w:val="true"/>
        </w:rPr>
        <w:t xml:space="preserve">, </w:t>
      </w:r>
      <w:r>
        <w:rPr>
          <w:rtl w:val="true"/>
        </w:rPr>
        <w:t>כוללות את הצורך ליתן סעד מיידי לנפגע</w:t>
      </w:r>
      <w:r>
        <w:rPr>
          <w:rtl w:val="true"/>
        </w:rPr>
        <w:t xml:space="preserve">; </w:t>
      </w:r>
      <w:r>
        <w:rPr>
          <w:rtl w:val="true"/>
        </w:rPr>
        <w:t>להכיר בסבלו</w:t>
      </w:r>
      <w:r>
        <w:rPr>
          <w:rtl w:val="true"/>
        </w:rPr>
        <w:t xml:space="preserve">; </w:t>
      </w:r>
      <w:r>
        <w:rPr>
          <w:rtl w:val="true"/>
        </w:rPr>
        <w:t>ולקדם אפשרות להיטהרות העבריין עצמו</w:t>
      </w:r>
      <w:r>
        <w:rPr>
          <w:rtl w:val="true"/>
        </w:rPr>
        <w:t xml:space="preserve">, </w:t>
      </w:r>
      <w:r>
        <w:rPr>
          <w:rtl w:val="true"/>
        </w:rPr>
        <w:t xml:space="preserve">באופן העשוי לתרום לשיקומו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גליקסמן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 פ</w:t>
      </w:r>
      <w:r>
        <w:rPr>
          <w:rtl w:val="true"/>
        </w:rPr>
        <w:t>"</w:t>
      </w:r>
      <w:r>
        <w:rPr>
          <w:rtl w:val="true"/>
        </w:rPr>
        <w:t>ד סב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802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גליקסמן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המשפט המחוזי חייב את המערער בתשלום פיצוי בן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</w:t>
      </w:r>
      <w:r>
        <w:rPr>
          <w:rtl w:val="true"/>
        </w:rPr>
        <w:t xml:space="preserve">. </w:t>
      </w:r>
      <w:r>
        <w:rPr>
          <w:rtl w:val="true"/>
        </w:rPr>
        <w:t xml:space="preserve">זאת אף שהתביעה עצמה לא עמדה על תשלום סכום זה </w:t>
      </w:r>
      <w:r>
        <w:rPr>
          <w:rtl w:val="true"/>
        </w:rPr>
        <w:t>–</w:t>
      </w:r>
      <w:r>
        <w:rPr>
          <w:rtl w:val="true"/>
        </w:rPr>
        <w:t xml:space="preserve"> הקרוב לסכום המרבי הקבוע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במסגרת טיעוניה לעונש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מטרת הפיצויים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אינה מתן פיצוי מלא לנזקם של נפגעי עבירה</w:t>
      </w:r>
      <w:r>
        <w:rPr>
          <w:rtl w:val="true"/>
        </w:rPr>
        <w:t xml:space="preserve">, </w:t>
      </w:r>
      <w:r>
        <w:rPr>
          <w:rtl w:val="true"/>
        </w:rPr>
        <w:t>כי אם כאמור מתן סעד שהוא בגדר עזרה ראשונה</w:t>
      </w:r>
      <w:r>
        <w:rPr>
          <w:rtl w:val="true"/>
        </w:rPr>
        <w:t xml:space="preserve">. </w:t>
      </w:r>
      <w:r>
        <w:rPr>
          <w:rtl w:val="true"/>
        </w:rPr>
        <w:t>פסיקת פיצוי לפי סעיף זה לא נועדה למצות את הנזק הכולל שנגרם לנפגע העבירה</w:t>
      </w:r>
      <w:r>
        <w:rPr>
          <w:rtl w:val="true"/>
        </w:rPr>
        <w:t xml:space="preserve">, </w:t>
      </w:r>
      <w:r>
        <w:rPr>
          <w:rtl w:val="true"/>
        </w:rPr>
        <w:t>לו עומדת הזכות להגיש תביעה אזרחית בגין מלוא נזקיו</w:t>
      </w:r>
      <w:r>
        <w:rPr>
          <w:rtl w:val="true"/>
        </w:rPr>
        <w:t xml:space="preserve">. </w:t>
      </w:r>
      <w:r>
        <w:rPr>
          <w:rtl w:val="true"/>
        </w:rPr>
        <w:t>הפיצוי בהליך הפלילי נבדל במובן זה מן הפיצוי בהליך הנזיקי</w:t>
      </w:r>
      <w:r>
        <w:rPr>
          <w:rtl w:val="true"/>
        </w:rPr>
        <w:t xml:space="preserve">, </w:t>
      </w:r>
      <w:r>
        <w:rPr>
          <w:rtl w:val="true"/>
        </w:rPr>
        <w:t xml:space="preserve">בכך שהפיצוי בהליך הפלילי אינו מחייב הוכחת נזק מדויק </w:t>
      </w:r>
      <w:r>
        <w:rPr>
          <w:rtl w:val="true"/>
        </w:rPr>
        <w:t>–</w:t>
      </w:r>
      <w:r>
        <w:rPr>
          <w:rtl w:val="true"/>
        </w:rPr>
        <w:t xml:space="preserve"> אך מאידך</w:t>
      </w:r>
      <w:r>
        <w:rPr>
          <w:rtl w:val="true"/>
        </w:rPr>
        <w:t xml:space="preserve">, </w:t>
      </w:r>
      <w:r>
        <w:rPr>
          <w:rtl w:val="true"/>
        </w:rPr>
        <w:t xml:space="preserve">הוא מתוחם יותר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7186/19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בפסקאות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8.1.2020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טובי</w:t>
      </w:r>
      <w:r>
        <w:rPr>
          <w:rtl w:val="true"/>
        </w:rPr>
        <w:t xml:space="preserve">)). </w:t>
      </w:r>
      <w:r>
        <w:rPr>
          <w:rtl w:val="true"/>
        </w:rPr>
        <w:t xml:space="preserve">בית המשפט העדיף לפסוק פיצוי בשיעור גבוה </w:t>
      </w:r>
      <w:r>
        <w:rPr>
          <w:rtl w:val="true"/>
        </w:rPr>
        <w:t>–</w:t>
      </w:r>
      <w:r>
        <w:rPr>
          <w:rtl w:val="true"/>
        </w:rPr>
        <w:t xml:space="preserve"> חרף עובדת היות הפיצוי בפלילים כזה שאינו מכוון להחליף פיצוי נזיקי או לכסות על כלל הנזקים אשר נגרמו כתוצאה מהתאונה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בקבעו כך</w:t>
      </w:r>
      <w:r>
        <w:rPr>
          <w:rtl w:val="true"/>
        </w:rPr>
        <w:t xml:space="preserve">, </w:t>
      </w:r>
      <w:r>
        <w:rPr>
          <w:rtl w:val="true"/>
        </w:rPr>
        <w:t>בית משפט קמא לא חישב את שיעור הנזק המדויק אשר מצדיק את פסיקת הפיצויים</w:t>
      </w:r>
      <w:r>
        <w:rPr>
          <w:rtl w:val="true"/>
        </w:rPr>
        <w:t xml:space="preserve">. </w:t>
      </w:r>
      <w:r>
        <w:rPr>
          <w:rtl w:val="true"/>
        </w:rPr>
        <w:t>נוכח אופיו של הפיצוי בפלילים</w:t>
      </w:r>
      <w:r>
        <w:rPr>
          <w:rtl w:val="true"/>
        </w:rPr>
        <w:t xml:space="preserve">, </w:t>
      </w:r>
      <w:r>
        <w:rPr>
          <w:rtl w:val="true"/>
        </w:rPr>
        <w:t>הוא גם לא נדרש לעשות זאת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השתכנעתי כי לא היה מקום לפסוק פיצוי הקרוב לפיצוי המרבי 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נכון היה להעמיד את הפיצוי על סך של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בא כוח המשפחה מסר כי תביעת הפיצויים אותה זכאית המשפחה להגיש לקרנית טרם הוגשה</w:t>
      </w:r>
      <w:r>
        <w:rPr>
          <w:rtl w:val="true"/>
        </w:rPr>
        <w:t xml:space="preserve">. </w:t>
      </w:r>
      <w:r>
        <w:rPr>
          <w:rtl w:val="true"/>
        </w:rPr>
        <w:t>יתכן כי תביעה כזו הינה בגדר אפיק נוסף</w:t>
      </w:r>
      <w:r>
        <w:rPr>
          <w:rtl w:val="true"/>
        </w:rPr>
        <w:t xml:space="preserve">, </w:t>
      </w:r>
      <w:r>
        <w:rPr>
          <w:rtl w:val="true"/>
        </w:rPr>
        <w:t>במסגרתה יוכלו בני משפחת המנוח לקבל פיצויים בעבור הנזקים הקשים אשר הסבה להם התאונה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764/21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מצאתי כי דין ערעור המדינה על מועד תחילת תשלום רכיב הפיצויים בעונש להתקבל בחלקו</w:t>
      </w:r>
      <w:r>
        <w:rPr>
          <w:rtl w:val="true"/>
        </w:rPr>
        <w:t xml:space="preserve">, </w:t>
      </w:r>
      <w:r>
        <w:rPr>
          <w:rtl w:val="true"/>
        </w:rPr>
        <w:t>כך שהמערער ישלם את רכיב הפיצויים בהם חויב בעשרה תשלומים שווים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1.7.2021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הפסיקה עמדה על תכליותיו של הפיצוי בהליך הפלילי</w:t>
      </w:r>
      <w:r>
        <w:rPr>
          <w:rtl w:val="true"/>
        </w:rPr>
        <w:t xml:space="preserve">, </w:t>
      </w:r>
      <w:r>
        <w:rPr>
          <w:rtl w:val="true"/>
        </w:rPr>
        <w:t>בהן הצורך בסעד מידי לנפגע העבירה</w:t>
      </w:r>
      <w:r>
        <w:rPr>
          <w:rtl w:val="true"/>
        </w:rPr>
        <w:t xml:space="preserve">; </w:t>
      </w:r>
      <w:r>
        <w:rPr>
          <w:rtl w:val="true"/>
        </w:rPr>
        <w:t>הכרה בסבלו</w:t>
      </w:r>
      <w:r>
        <w:rPr>
          <w:rtl w:val="true"/>
        </w:rPr>
        <w:t xml:space="preserve">; </w:t>
      </w:r>
      <w:r>
        <w:rPr>
          <w:rtl w:val="true"/>
        </w:rPr>
        <w:t xml:space="preserve">וקידום הליך היטהרותו ושיקומו של העבריין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גליקסמן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). </w:t>
      </w:r>
      <w:r>
        <w:rPr>
          <w:rtl w:val="true"/>
        </w:rPr>
        <w:t>נוכח תכליות אלה</w:t>
      </w:r>
      <w:r>
        <w:rPr>
          <w:rtl w:val="true"/>
        </w:rPr>
        <w:t xml:space="preserve">, </w:t>
      </w:r>
      <w:r>
        <w:rPr>
          <w:rtl w:val="true"/>
        </w:rPr>
        <w:t>מצאתי ממש בטענת המדינה</w:t>
      </w:r>
      <w:r>
        <w:rPr>
          <w:rtl w:val="true"/>
        </w:rPr>
        <w:t xml:space="preserve">, </w:t>
      </w:r>
      <w:r>
        <w:rPr>
          <w:rtl w:val="true"/>
        </w:rPr>
        <w:t>לפיה אין מקום לדחות את תחילת תשלום הפיצויים אשר הושתו על המערער עד לתום תקופת מאסרו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תסקירי נפגע העבירה מלמדים על הנזק והסבל הקשים ביותר אשר נגרמו לבני משפחת המנוח</w:t>
      </w:r>
      <w:r>
        <w:rPr>
          <w:rtl w:val="true"/>
        </w:rPr>
        <w:t xml:space="preserve">. </w:t>
      </w:r>
      <w:r>
        <w:rPr>
          <w:rtl w:val="true"/>
        </w:rPr>
        <w:t>הנזק אינו מתמצה בתחושת האובדן הקשה כי אם גם במחסור כלכלי ממשי</w:t>
      </w:r>
      <w:r>
        <w:rPr>
          <w:rtl w:val="true"/>
        </w:rPr>
        <w:t xml:space="preserve">, </w:t>
      </w:r>
      <w:r>
        <w:rPr>
          <w:rtl w:val="true"/>
        </w:rPr>
        <w:t>נוכח הקושי של הורי המנוח ואחיו לחזור למסלול חייהם בעקבות מות המנוח והעובדה שנדרשו לעבור דירות</w:t>
      </w:r>
      <w:r>
        <w:rPr>
          <w:rtl w:val="true"/>
        </w:rPr>
        <w:t xml:space="preserve">. </w:t>
      </w:r>
      <w:r>
        <w:rPr>
          <w:rtl w:val="true"/>
        </w:rPr>
        <w:t>נוכח האמור בתסקירי נפגעי העבירה</w:t>
      </w:r>
      <w:r>
        <w:rPr>
          <w:rtl w:val="true"/>
        </w:rPr>
        <w:t xml:space="preserve">, </w:t>
      </w:r>
      <w:r>
        <w:rPr>
          <w:rtl w:val="true"/>
        </w:rPr>
        <w:t>אני סבור שישנה עדיפות למתן תשלום מידי על פני תשלום מקסימלי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תכליות מתן סעד מידי לנפגע</w:t>
      </w:r>
      <w:r>
        <w:rPr>
          <w:rtl w:val="true"/>
        </w:rPr>
        <w:t xml:space="preserve">, </w:t>
      </w:r>
      <w:r>
        <w:rPr>
          <w:rtl w:val="true"/>
        </w:rPr>
        <w:t>כמו גם ההכרה בסבלו</w:t>
      </w:r>
      <w:r>
        <w:rPr>
          <w:rtl w:val="true"/>
        </w:rPr>
        <w:t xml:space="preserve">, </w:t>
      </w:r>
      <w:r>
        <w:rPr>
          <w:rtl w:val="true"/>
        </w:rPr>
        <w:t>וכל זאת בפרט לאור קיומו של צורך כלכלי מידי</w:t>
      </w:r>
      <w:r>
        <w:rPr>
          <w:rtl w:val="true"/>
        </w:rPr>
        <w:t xml:space="preserve">, </w:t>
      </w:r>
      <w:r>
        <w:rPr>
          <w:rtl w:val="true"/>
        </w:rPr>
        <w:t>מחייבות לטעמי כי הפיצויים יחלו להשתלם מוקדם ככל האפשר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אף תכלית קידום שיקומו והיטהרותו של המערער מצדיקה שלא לדחות את התשלום בשנים רבות עד לאחר תום ריצוי עונש המאסר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פסק דינו של בית המשפט המחוזי לא איזן נכונה בין תכליות הפיצוי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ובכללן החשיבות הטמונה במידיות התשלום</w:t>
      </w:r>
      <w:r>
        <w:rPr>
          <w:rtl w:val="true"/>
        </w:rPr>
        <w:t xml:space="preserve">. </w:t>
      </w:r>
      <w:r>
        <w:rPr>
          <w:rtl w:val="true"/>
        </w:rPr>
        <w:t>נדמה כי תחת זאת</w:t>
      </w:r>
      <w:r>
        <w:rPr>
          <w:rtl w:val="true"/>
        </w:rPr>
        <w:t xml:space="preserve">, </w:t>
      </w:r>
      <w:r>
        <w:rPr>
          <w:rtl w:val="true"/>
        </w:rPr>
        <w:t xml:space="preserve">העדיף בית המשפט תשלום בשיעור גבוה </w:t>
      </w:r>
      <w:r>
        <w:rPr>
          <w:rtl w:val="true"/>
        </w:rPr>
        <w:t>–</w:t>
      </w:r>
      <w:r>
        <w:rPr>
          <w:rtl w:val="true"/>
        </w:rPr>
        <w:t xml:space="preserve"> חרף היות הפיצוי העונשי כזה שאינו מכוון להחליף את פיצויי הנזיקין</w:t>
      </w:r>
      <w:r>
        <w:rPr>
          <w:rtl w:val="true"/>
        </w:rPr>
        <w:t xml:space="preserve">, </w:t>
      </w:r>
      <w:r>
        <w:rPr>
          <w:rtl w:val="true"/>
        </w:rPr>
        <w:t xml:space="preserve">אלא לשמש עזרה ראשונה לנפגע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מצאתי כי ראוי שהמערער יחל לשלם את הפיצויים בהקדם</w:t>
      </w:r>
      <w:r>
        <w:rPr>
          <w:rtl w:val="true"/>
        </w:rPr>
        <w:t xml:space="preserve">, </w:t>
      </w:r>
      <w:r>
        <w:rPr>
          <w:rtl w:val="true"/>
        </w:rPr>
        <w:t>לאחר תקופה קצרה לצורך התארגנות וגיוס המשאבים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דין הערעור והערעור שכנגד להתקבל בחלקם</w:t>
      </w:r>
      <w:r>
        <w:rPr>
          <w:rtl w:val="true"/>
        </w:rPr>
        <w:t xml:space="preserve">, </w:t>
      </w:r>
      <w:r>
        <w:rPr>
          <w:rtl w:val="true"/>
        </w:rPr>
        <w:t>כך שרכיב הפיצויים יופחת ל</w:t>
      </w:r>
      <w:r>
        <w:rPr>
          <w:rtl w:val="true"/>
        </w:rPr>
        <w:t>-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וסכום זה ישולם בעשרה חלקים שווים</w:t>
      </w:r>
      <w:r>
        <w:rPr>
          <w:rtl w:val="true"/>
        </w:rPr>
        <w:t xml:space="preserve">, </w:t>
      </w:r>
      <w:r>
        <w:rPr>
          <w:rtl w:val="true"/>
        </w:rPr>
        <w:t>באחד לכל חודש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1.7.2021</w:t>
      </w:r>
      <w:r>
        <w:rPr>
          <w:rtl w:val="true"/>
        </w:rPr>
        <w:t xml:space="preserve">. </w:t>
      </w:r>
      <w:r>
        <w:rPr>
          <w:rtl w:val="true"/>
        </w:rPr>
        <w:t>עונש המאסר ויתר רכיבי גזר דינו של בית המשפט המחוזי יעמדו בעינם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כב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שטיין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כב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</w:rPr>
      </w:pPr>
      <w:r>
        <w:rPr>
          <w:rFonts w:cs="Miriam"/>
          <w:sz w:val="24"/>
          <w:rtl w:val="true"/>
        </w:rPr>
      </w:r>
    </w:p>
    <w:p>
      <w:pPr>
        <w:pStyle w:val="11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סוגיות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השיעור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  <w:r>
        <w:rPr>
          <w:rtl w:val="true"/>
        </w:rPr>
        <w:t>השלישית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142"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0"/>
        </w:numPr>
        <w:ind w:hanging="0" w:start="142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ומועד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לשיעור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מסתפק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שהזכירה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מסקנתו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קטגור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מהקטגור</w:t>
      </w:r>
      <w:r>
        <w:rPr>
          <w:rtl w:val="true"/>
        </w:rPr>
        <w:t xml:space="preserve">". </w:t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נשען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לבקש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סוגיה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ודורשת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21.4.2021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21007640</w:t>
      </w:r>
      <w:r>
        <w:rPr>
          <w:sz w:val="16"/>
          <w:rtl w:val="true"/>
        </w:rPr>
        <w:t>_</w:t>
      </w:r>
      <w:r>
        <w:rPr>
          <w:sz w:val="16"/>
        </w:rPr>
        <w:t>Q04.docx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54678313-764/21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764/21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אבו לבן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i w:val="false"/>
        <w:shadow w:val="false"/>
        <w:u w:val="none"/>
        <w:b w:val="false"/>
        <w:kern w:val="0"/>
        <w:iCs w:val="false"/>
        <w:bCs w:val="false"/>
        <w:em w:val="none"/>
        <w:vanish w:val="false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cs="FrankRueh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kern w:val="0"/>
      <w:position w:val="0"/>
      <w:sz w:val="24"/>
      <w:u w:val="none"/>
      <w:vertAlign w:val="baseline"/>
      <w:em w:val="none"/>
    </w:rPr>
  </w:style>
  <w:style w:type="character" w:styleId="WW8Num12z0">
    <w:name w:val="WW8Num12z0"/>
    <w:qFormat/>
    <w:rPr>
      <w:rFonts w:cs="FrankRuehl"/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1">
    <w:name w:val="סגנון1 תו"/>
    <w:qFormat/>
    <w:rPr>
      <w:rFonts w:ascii="Calibri" w:hAnsi="Calibri" w:eastAsia="Calibri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11">
    <w:name w:val="סגנון1"/>
    <w:basedOn w:val="Normal"/>
    <w:qFormat/>
    <w:pPr>
      <w:numPr>
        <w:ilvl w:val="0"/>
        <w:numId w:val="1"/>
      </w:numPr>
      <w:spacing w:lineRule="auto" w:line="360"/>
      <w:jc w:val="both"/>
      <w:textAlignment w:val="auto"/>
    </w:pPr>
    <w:rPr>
      <w:rFonts w:ascii="Calibri" w:hAnsi="Calibri" w:eastAsia="Calibri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384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77.a" TargetMode="External"/><Relationship Id="rId6" Type="http://schemas.openxmlformats.org/officeDocument/2006/relationships/hyperlink" Target="http://www.nevo.co.il/law/70301/77.b" TargetMode="External"/><Relationship Id="rId7" Type="http://schemas.openxmlformats.org/officeDocument/2006/relationships/hyperlink" Target="http://www.nevo.co.il/law/70301/301c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70301/301c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70301/77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1309372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6541540" TargetMode="External"/><Relationship Id="rId23" Type="http://schemas.openxmlformats.org/officeDocument/2006/relationships/hyperlink" Target="http://www.nevo.co.il/case/25424970" TargetMode="External"/><Relationship Id="rId24" Type="http://schemas.openxmlformats.org/officeDocument/2006/relationships/hyperlink" Target="http://www.nevo.co.il/case/24360092" TargetMode="External"/><Relationship Id="rId25" Type="http://schemas.openxmlformats.org/officeDocument/2006/relationships/hyperlink" Target="http://www.nevo.co.il/case/27313460" TargetMode="External"/><Relationship Id="rId26" Type="http://schemas.openxmlformats.org/officeDocument/2006/relationships/hyperlink" Target="http://www.nevo.co.il/case/575641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77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6158650" TargetMode="External"/><Relationship Id="rId32" Type="http://schemas.openxmlformats.org/officeDocument/2006/relationships/hyperlink" Target="http://www.nevo.co.il/law/70301/77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77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6142566" TargetMode="External"/><Relationship Id="rId37" Type="http://schemas.openxmlformats.org/officeDocument/2006/relationships/hyperlink" Target="http://www.nevo.co.il/law/70301/77" TargetMode="External"/><Relationship Id="rId38" Type="http://schemas.openxmlformats.org/officeDocument/2006/relationships/hyperlink" Target="http://www.nevo.co.il/law/70301/77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2021-04-22T09:11:00Z</dcterms:created>
  <dc:creator>h4</dc:creator>
  <dc:description/>
  <cp:keywords/>
  <dc:language>en-IL</dc:language>
  <cp:lastModifiedBy>orly</cp:lastModifiedBy>
  <cp:lastPrinted>2021-04-21T16:20:00Z</cp:lastPrinted>
  <dcterms:modified xsi:type="dcterms:W3CDTF">2021-04-22T09:11:00Z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אבו לבן;נפגעי העבירה משפחת המנוח איתי מרגי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26338440;13093721;26541540;25424970;24360092;27313460;5756419;6158650;26142566</vt:lpwstr>
  </property>
  <property fmtid="{D5CDD505-2E9C-101B-9397-08002B2CF9AE}" pid="9" name="CITY">
    <vt:lpwstr/>
  </property>
  <property fmtid="{D5CDD505-2E9C-101B-9397-08002B2CF9AE}" pid="10" name="DATE">
    <vt:lpwstr>20210421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קרא;א' שטיין</vt:lpwstr>
  </property>
  <property fmtid="{D5CDD505-2E9C-101B-9397-08002B2CF9AE}" pid="14" name="LAWLISTTMP1">
    <vt:lpwstr>70301/301c;077:4;077.b;077.a</vt:lpwstr>
  </property>
  <property fmtid="{D5CDD505-2E9C-101B-9397-08002B2CF9AE}" pid="15" name="LAWLISTTMP2">
    <vt:lpwstr>4216/013;007.a;007.c</vt:lpwstr>
  </property>
  <property fmtid="{D5CDD505-2E9C-101B-9397-08002B2CF9AE}" pid="16" name="LAWYER">
    <vt:lpwstr>ראיס אבו סייף;עמיר קמחי;ברכה וייס;קרן רוט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תאונות דרכים</vt:lpwstr>
  </property>
  <property fmtid="{D5CDD505-2E9C-101B-9397-08002B2CF9AE}" pid="50" name="NOSE310">
    <vt:lpwstr/>
  </property>
  <property fmtid="{D5CDD505-2E9C-101B-9397-08002B2CF9AE}" pid="51" name="NOSE32">
    <vt:lpwstr>מדיניות ענישה: שיקולים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דרכי ענישה: פיצויים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11753;8994;8982;8968</vt:lpwstr>
  </property>
  <property fmtid="{D5CDD505-2E9C-101B-9397-08002B2CF9AE}" pid="60" name="PADIDATE">
    <vt:lpwstr>20210422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764;986</vt:lpwstr>
  </property>
  <property fmtid="{D5CDD505-2E9C-101B-9397-08002B2CF9AE}" pid="66" name="PROCYEAR">
    <vt:lpwstr>21;21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410120210421</vt:lpwstr>
  </property>
  <property fmtid="{D5CDD505-2E9C-101B-9397-08002B2CF9AE}" pid="70" name="TYPE_N_DATE">
    <vt:lpwstr>41020210421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