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-3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766/21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801/21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לפני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כשר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766/21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801/21</w:t>
            </w:r>
            <w:r>
              <w:rPr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חליל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רביעה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766/21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801/21</w:t>
            </w:r>
            <w:r>
              <w:rPr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42681-11-18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מהימים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21.7.2020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</w:rPr>
              <w:t>22.12.2020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בהתאמה</w:t>
            </w:r>
            <w:r>
              <w:rPr>
                <w:sz w:val="24"/>
                <w:szCs w:val="24"/>
                <w:rtl w:val="true"/>
              </w:rPr>
              <w:t>,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זלוצ</w:t>
            </w:r>
            <w:r>
              <w:rPr>
                <w:sz w:val="24"/>
                <w:szCs w:val="24"/>
                <w:rtl w:val="true"/>
              </w:rPr>
              <w:t>'</w:t>
            </w:r>
            <w:r>
              <w:rPr>
                <w:sz w:val="24"/>
                <w:sz w:val="24"/>
                <w:szCs w:val="24"/>
                <w:rtl w:val="true"/>
              </w:rPr>
              <w:t>ובר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שלמה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פרידלנדר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ודינה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כהן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;Times New Roman" w:hAnsi="David;Times New Roman"/>
                <w:sz w:val="26"/>
                <w:sz w:val="26"/>
                <w:szCs w:val="26"/>
                <w:rtl w:val="true"/>
              </w:rPr>
              <w:t>תאריך הישיבה</w:t>
            </w:r>
            <w:r>
              <w:rPr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  <w:sz w:val="26"/>
                <w:szCs w:val="26"/>
              </w:rPr>
            </w:pPr>
            <w:r>
              <w:rPr>
                <w:rFonts w:ascii="David;Times New Roman" w:hAnsi="David;Times New Roman"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David;Times New Roman" w:ascii="David;Times New Roman" w:hAnsi="David;Times New Roman"/>
                <w:sz w:val="26"/>
                <w:szCs w:val="26"/>
                <w:rtl w:val="true"/>
              </w:rPr>
              <w:t>"</w:t>
            </w:r>
            <w:r>
              <w:rPr>
                <w:rFonts w:ascii="David;Times New Roman" w:hAnsi="David;Times New Roman"/>
                <w:sz w:val="26"/>
                <w:sz w:val="26"/>
                <w:szCs w:val="26"/>
                <w:rtl w:val="true"/>
              </w:rPr>
              <w:t>ג בכסלו התשפ</w:t>
            </w:r>
            <w:r>
              <w:rPr>
                <w:rFonts w:cs="David;Times New Roman" w:ascii="David;Times New Roman" w:hAnsi="David;Times New Roman"/>
                <w:sz w:val="26"/>
                <w:szCs w:val="26"/>
                <w:rtl w:val="true"/>
              </w:rPr>
              <w:t>"</w:t>
            </w:r>
            <w:r>
              <w:rPr>
                <w:rFonts w:ascii="David;Times New Roman" w:hAnsi="David;Times New Roman"/>
                <w:sz w:val="26"/>
                <w:sz w:val="26"/>
                <w:szCs w:val="26"/>
                <w:rtl w:val="true"/>
              </w:rPr>
              <w:t xml:space="preserve">ג </w:t>
            </w:r>
            <w:r>
              <w:rPr>
                <w:rFonts w:cs="David;Times New Roman" w:ascii="David;Times New Roman" w:hAnsi="David;Times New Roman"/>
                <w:sz w:val="26"/>
                <w:szCs w:val="26"/>
                <w:rtl w:val="true"/>
              </w:rPr>
              <w:t>(</w:t>
            </w:r>
            <w:r>
              <w:rPr>
                <w:rFonts w:cs="David;Times New Roman" w:ascii="David;Times New Roman" w:hAnsi="David;Times New Roman"/>
                <w:sz w:val="26"/>
                <w:szCs w:val="26"/>
              </w:rPr>
              <w:t>7.12.2022</w:t>
            </w:r>
            <w:r>
              <w:rPr>
                <w:rFonts w:cs="David;Times New Roman" w:ascii="David;Times New Roman" w:hAnsi="David;Times New Roman"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766/21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801/21</w:t>
            </w:r>
            <w:r>
              <w:rPr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עו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>ד אלעד רט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766/21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801/21</w:t>
            </w:r>
            <w:r>
              <w:rPr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עו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>ד יוסף קנפו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הדר דנציג־רוזנברג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;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דנה פוגץ׳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הדור הבא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של זכויות נפגעי עברה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הזכות החוקתית להליך הוגן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עיוני משפט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לו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  <w:u w:val="none"/>
          </w:rPr>
          <w:t>2015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549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inks_Kitvei_End"/>
      <w:bookmarkStart w:id="6" w:name="Links_Kitvei_End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7" w:name="Links_Start"/>
      <w:bookmarkEnd w:id="7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ז פלר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יסודות בדיני עונשין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6">
        <w:r>
          <w:rPr>
            <w:rtl w:val="true"/>
          </w:rPr>
        </w:r>
      </w:hyperlink>
      <w:bookmarkStart w:id="8" w:name="LawTable"/>
      <w:bookmarkStart w:id="9" w:name="Links_End"/>
      <w:bookmarkStart w:id="10" w:name="LawTable"/>
      <w:bookmarkStart w:id="11" w:name="Links_End"/>
      <w:bookmarkEnd w:id="10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369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4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6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54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17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18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sz w:val="24"/>
            <w:u w:val="none"/>
          </w:rPr>
          <w:t>186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9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זכויות נפגעי עבירה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2001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20">
        <w:r>
          <w:rPr>
            <w:rStyle w:val="Hyperlink"/>
            <w:rFonts w:cs="FrankRuehl" w:ascii="FrankRuehl" w:hAnsi="FrankRuehl"/>
            <w:sz w:val="24"/>
            <w:u w:val="none"/>
          </w:rPr>
          <w:t>12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4" w:name="ABSTRACT_START"/>
      <w:bookmarkEnd w:id="14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פסק כי יש להותיר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כנן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את </w:t>
      </w:r>
      <w:r>
        <w:rPr>
          <w:rFonts w:ascii="Times New Roman" w:hAnsi="Times New Roman" w:cs="Times New Roman"/>
          <w:spacing w:val="0"/>
          <w:szCs w:val="26"/>
          <w:rtl w:val="true"/>
        </w:rPr>
        <w:t>הרשעות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בשתי עבירות אינוס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בטל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את </w:t>
      </w:r>
      <w:r>
        <w:rPr>
          <w:rFonts w:ascii="Times New Roman" w:hAnsi="Times New Roman" w:cs="Times New Roman"/>
          <w:spacing w:val="0"/>
          <w:szCs w:val="26"/>
          <w:rtl w:val="true"/>
        </w:rPr>
        <w:t>הרשעותיו בעבירות חטיפה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הסכמת המדינה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ומעשים מגונים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נוכח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היבלעותה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 האינוס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); </w:t>
      </w:r>
      <w:r>
        <w:rPr>
          <w:rFonts w:ascii="Times New Roman" w:hAnsi="Times New Roman" w:cs="Times New Roman"/>
          <w:spacing w:val="0"/>
          <w:szCs w:val="26"/>
          <w:rtl w:val="true"/>
        </w:rPr>
        <w:t>עוד נפסק כי נפל פגם מסוים בהליך הפלילי אך לא נגרם עיוות דין של ממש למערער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האמור מחד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ומאחר ש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שנגזר על המערער מקל בהינתן המעשים בגינם הורשע בעבירות האינוס ונתוניו האישיים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מאידך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הצדדים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על גזר הדין </w:t>
      </w:r>
      <w:r>
        <w:rPr>
          <w:rFonts w:ascii="Times New Roman" w:hAnsi="Times New Roman" w:cs="Times New Roman"/>
          <w:spacing w:val="0"/>
          <w:szCs w:val="26"/>
          <w:rtl w:val="true"/>
        </w:rPr>
        <w:t>נ</w:t>
      </w:r>
      <w:r>
        <w:rPr>
          <w:rFonts w:ascii="Times New Roman" w:hAnsi="Times New Roman" w:cs="Times New Roman"/>
          <w:spacing w:val="0"/>
          <w:szCs w:val="26"/>
          <w:rtl w:val="true"/>
        </w:rPr>
        <w:t>דחו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כך שהמערער ירצה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ענישה נלווית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אינוס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ייצוג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בייצוג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מצטברות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‏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בירור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האשמה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רציפות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מצטברות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הרשיע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את 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766/21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בשתי עבירות של אינוס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עבירה של מעשה מגונה ובעבירת חטיפה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העבירות בוצעו כלפי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קטינה בעת ביצוען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אלה הושת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וענישה נלווית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הדיון נסב אודות </w:t>
      </w:r>
      <w:r>
        <w:rPr>
          <w:rFonts w:ascii="Times New Roman" w:hAnsi="Times New Roman" w:cs="Times New Roman"/>
          <w:spacing w:val="0"/>
          <w:szCs w:val="26"/>
          <w:rtl w:val="true"/>
        </w:rPr>
        <w:t>טענות המערער ביחס לפגמים שנפלו בהליך לשיטתו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הרשעת המערער בשתי עבירות אינוס ובעבירה של מעשה מגונה בגין רצף מעשים אחד מבחינת הזמן והמקום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אודות </w:t>
      </w:r>
      <w:r>
        <w:rPr>
          <w:rFonts w:ascii="Times New Roman" w:hAnsi="Times New Roman" w:cs="Times New Roman"/>
          <w:spacing w:val="0"/>
          <w:szCs w:val="26"/>
          <w:rtl w:val="true"/>
        </w:rPr>
        <w:t>טענות הצדדים הנוגעות לגזר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גרוסקופף ובהסכמת השופטים ברק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ארז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כשר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בחלקו את הערעור על הכרעת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הערעורים על גזר הדין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דן בטענות המערער לעניין </w:t>
      </w:r>
      <w:r>
        <w:rPr>
          <w:rFonts w:ascii="Times New Roman" w:hAnsi="Times New Roman" w:cs="Times New Roman"/>
          <w:spacing w:val="0"/>
          <w:szCs w:val="26"/>
          <w:rtl w:val="true"/>
        </w:rPr>
        <w:t>ייצוגו 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לעניין </w:t>
      </w:r>
      <w:r>
        <w:rPr>
          <w:rFonts w:ascii="Times New Roman" w:hAnsi="Times New Roman" w:cs="Times New Roman"/>
          <w:spacing w:val="0"/>
          <w:szCs w:val="26"/>
          <w:rtl w:val="true"/>
        </w:rPr>
        <w:t>חקירת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שהוא עומד על חשיבות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הייצוג המשפטי בהליך הפלילי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ועל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המסגרת הנורמטיבית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מעוגנת ב</w:t>
      </w:r>
      <w:r>
        <w:rPr>
          <w:rFonts w:ascii="Times New Roman" w:hAnsi="Times New Roman" w:cs="Times New Roman"/>
          <w:spacing w:val="0"/>
          <w:szCs w:val="26"/>
          <w:rtl w:val="true"/>
        </w:rPr>
        <w:t>חסד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לרבות השיקולים בדבר שחרור מייצוג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בציינו כי במקרה זה </w:t>
      </w:r>
      <w:r>
        <w:rPr>
          <w:rFonts w:ascii="Times New Roman" w:hAnsi="Times New Roman" w:cs="Times New Roman"/>
          <w:spacing w:val="0"/>
          <w:szCs w:val="26"/>
          <w:rtl w:val="true"/>
        </w:rPr>
        <w:t>ההחלטה שלא לדחות את מועד העדת המתלוננת הייתה סבירה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ואולם משהושלמה העדתה ומונה סניגור חלופי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היה מקום לדחות את המשך דיוני ההוכחות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כך ש</w:t>
      </w:r>
      <w:r>
        <w:rPr>
          <w:rFonts w:ascii="Times New Roman" w:hAnsi="Times New Roman" w:cs="Times New Roman"/>
          <w:spacing w:val="0"/>
          <w:szCs w:val="26"/>
          <w:rtl w:val="true"/>
        </w:rPr>
        <w:t>מייצג המערער מטעם הסניגוריה הציבורית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יספיק להיערך אליו כראוי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ולשחרר את הסניגורים הפרטיים מייצוג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מאידך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צדק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נדחתה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בקשת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מייצג המערער מטעם הסניגוריה הציבורית </w:t>
      </w:r>
      <w:r>
        <w:rPr>
          <w:rFonts w:ascii="Times New Roman" w:hAnsi="Times New Roman" w:cs="Times New Roman"/>
          <w:spacing w:val="0"/>
          <w:szCs w:val="26"/>
          <w:rtl w:val="true"/>
        </w:rPr>
        <w:t>לזמן את המתלוננת להשלמת עדות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ש</w:t>
      </w:r>
      <w:r>
        <w:rPr>
          <w:rFonts w:ascii="Times New Roman" w:hAnsi="Times New Roman" w:cs="Times New Roman"/>
          <w:spacing w:val="0"/>
          <w:szCs w:val="26"/>
          <w:rtl w:val="true"/>
        </w:rPr>
        <w:t>המסקנה כי נפל פגם מסוים בהליך הפלילי אינה מחייבת את ביטול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רק ב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קרים בהם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פגם חמור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היורד לשורשם של דברים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במובן זה שהתרחשותו פגעה באופן ממשי ביכולתו של הנאשם להתגונן באופן ראוי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עשויה להימצא הצדקה למסקנה מחמירה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 על דרך הכלל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וכך ביתר שאת ביחס לפגם בהליך מסוג של כשל בייצוג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לא נ</w:t>
      </w:r>
      <w:r>
        <w:rPr>
          <w:rFonts w:ascii="Times New Roman" w:hAnsi="Times New Roman" w:cs="Times New Roman"/>
          <w:spacing w:val="0"/>
          <w:szCs w:val="26"/>
          <w:rtl w:val="true"/>
        </w:rPr>
        <w:t>גרם עיוות דין של ממש למערער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יש להביא עניין זה בשיקולי גזירת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מעש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ים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המגונים שביצע המערער במתלוננת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נבלעים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בעבירת האינוס בה הורשע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ולכן אין מקום להרשיעו בנפרד בעבירה של מעשים מגונים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להרשעה בגין כפל עבירות האינוס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Cs w:val="26"/>
          <w:rtl w:val="true"/>
        </w:rPr>
        <w:t>החדרת אצבעות</w:t>
      </w:r>
      <w:r>
        <w:rPr>
          <w:rFonts w:ascii="Times New Roman" w:hAnsi="Times New Roman" w:cs="Times New Roman"/>
          <w:spacing w:val="0"/>
          <w:szCs w:val="26"/>
          <w:rtl w:val="true"/>
        </w:rPr>
        <w:t>יו של 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לאיבר מינה של המתלוננת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והחדרת </w:t>
      </w:r>
      <w:r>
        <w:rPr>
          <w:rFonts w:ascii="Times New Roman" w:hAnsi="Times New Roman" w:cs="Times New Roman"/>
          <w:spacing w:val="0"/>
          <w:szCs w:val="26"/>
          <w:rtl w:val="true"/>
        </w:rPr>
        <w:t>איבר מינו לאיבר מינה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הרי 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לעניין סעיף </w:t>
      </w:r>
      <w:r>
        <w:rPr>
          <w:rFonts w:cs="Times New Roman" w:ascii="Times New Roman" w:hAnsi="Times New Roman"/>
          <w:spacing w:val="0"/>
          <w:szCs w:val="26"/>
        </w:rPr>
        <w:t>186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לחסד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מעשה אחד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ולכן לא ניתן להעניש את המערער בנפרד בגין המ</w:t>
      </w:r>
      <w:r>
        <w:rPr>
          <w:rFonts w:ascii="Times New Roman" w:hAnsi="Times New Roman" w:cs="Times New Roman"/>
          <w:spacing w:val="0"/>
          <w:szCs w:val="26"/>
          <w:rtl w:val="true"/>
        </w:rPr>
        <w:t>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יחד 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קיימות הבחנות מסוימות בין המעש</w:t>
      </w:r>
      <w:r>
        <w:rPr>
          <w:rFonts w:ascii="Times New Roman" w:hAnsi="Times New Roman" w:cs="Times New Roman"/>
          <w:spacing w:val="0"/>
          <w:szCs w:val="26"/>
          <w:rtl w:val="true"/>
        </w:rPr>
        <w:t>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הן מבחינת טיב המעשים ותכלית עשייתם והן מבחינת אופי הפגיעה במתלוננת והיבט ההשפלה הייחודי שנלווה לכל אחד מהם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ולכן הקביעה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בדבר פיצול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האירוע לשתי עבירות אינוס נפרדות אינ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מצדיק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התערבות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מכל מקום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דינו של 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>נגזר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בהלימה לחומרת המעשים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 בין אם יאוחדו לעבירת אינוס אחת ובין אם יפוצלו לשתי עבירות אינוס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עמד על החו</w:t>
      </w:r>
      <w:r>
        <w:rPr>
          <w:rFonts w:ascii="Times New Roman" w:hAnsi="Times New Roman" w:cs="Times New Roman"/>
          <w:spacing w:val="0"/>
          <w:szCs w:val="26"/>
          <w:rtl w:val="true"/>
        </w:rPr>
        <w:t>מרה הרבה שבעבירות מין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ועל חומרת מעשי המערער שפיתה את המתלוננת הקטינה להיכנס לרכבו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Cs w:val="26"/>
          <w:rtl w:val="true"/>
        </w:rPr>
        <w:t>מנ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>ע ממנה להיקלע לקטטה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עמד על ההחמרה </w:t>
      </w:r>
      <w:r>
        <w:rPr>
          <w:rFonts w:ascii="Times New Roman" w:hAnsi="Times New Roman" w:cs="Times New Roman"/>
          <w:spacing w:val="0"/>
          <w:szCs w:val="26"/>
          <w:rtl w:val="true"/>
        </w:rPr>
        <w:t>במדיניות הענישה בעבירות מין בשנים האחרונות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בייחוד במקרים שבהם נפגע העבירה הוא 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טענות המערער לפיהן גזר דינו חורג לחומרה ממדיניות הענישה הנוהגת </w:t>
      </w:r>
      <w:r>
        <w:rPr>
          <w:rFonts w:ascii="Times New Roman" w:hAnsi="Times New Roman" w:cs="Times New Roman"/>
          <w:spacing w:val="0"/>
          <w:szCs w:val="26"/>
          <w:rtl w:val="true"/>
        </w:rPr>
        <w:t>נדחתה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קביע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כי עבירת המעשים המגונים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נבלעת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בעבירת האינוס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אין בה כדי </w:t>
      </w:r>
      <w:r>
        <w:rPr>
          <w:rFonts w:ascii="Times New Roman" w:hAnsi="Times New Roman" w:cs="Times New Roman"/>
          <w:spacing w:val="0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 מעשי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>;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מאידך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זיכוי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>מעבירת החטיפה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בהסכמת המדינה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מצדיק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הרגיל הקלה בעונש שנגזר על ידי הערכאה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לא כן במקרה 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בהקשר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רמת הענישה בגין עבירות מין חמורות עלתה בשנים האחרונות ובגין מעשה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אונס בשדה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אלים ואכזרי מהסוג המיוחס למערער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מקובל וראוי להטיל כיום עונש העולה במספר שנות מאסר על זה שנגזר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בוודאי כשמדובר במי שעברו הפלילי מכביד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אחרות יתכן שהיה מקום להחמיר בעונשו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ש</w:t>
      </w:r>
      <w:r>
        <w:rPr>
          <w:rFonts w:ascii="Times New Roman" w:hAnsi="Times New Roman" w:cs="Times New Roman"/>
          <w:spacing w:val="0"/>
          <w:szCs w:val="26"/>
          <w:rtl w:val="true"/>
        </w:rPr>
        <w:t>כ</w:t>
      </w:r>
      <w:r>
        <w:rPr>
          <w:rFonts w:ascii="Times New Roman" w:hAnsi="Times New Roman" w:cs="Times New Roman"/>
          <w:spacing w:val="0"/>
          <w:szCs w:val="26"/>
          <w:rtl w:val="true"/>
        </w:rPr>
        <w:t>נגד הטענות לחומרת המעשים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לשקול לזכותו את הקביעות ביחס להכרעת הדין באשר לפגם שנפל בניהול ההליך קמא ולזיכויו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בהסכמת המדינה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מעבירת החטיפה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לכך יש ליתן משקל בבחינת העונש שנגזר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באיזון כל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להתערב במידת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5" w:name="ABSTRACT_END"/>
      <w:bookmarkStart w:id="16" w:name="ABSTRACT_END"/>
      <w:bookmarkEnd w:id="16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7" w:name="PsakDin"/>
            <w:bookmarkStart w:id="18" w:name="BeginProtocol"/>
            <w:bookmarkStart w:id="19" w:name="secretary"/>
            <w:bookmarkEnd w:id="17"/>
            <w:bookmarkEnd w:id="18"/>
            <w:bookmarkEnd w:id="19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20" w:name="Writer_Name"/>
      <w:bookmarkEnd w:id="20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גרוסקופף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1" w:name="Start_Write"/>
      <w:bookmarkStart w:id="22" w:name="Start_Write"/>
      <w:bookmarkEnd w:id="22"/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הנשיאה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זלוצ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והשופטים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פרידלנדר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42681-11-18</w:t>
        </w:r>
      </w:hyperlink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מהימים</w:t>
      </w:r>
      <w:r>
        <w:rPr>
          <w:rFonts w:eastAsia="Arial TUR;Arial" w:cs="Arial TUR;Arial"/>
          <w:rtl w:val="true"/>
        </w:rPr>
        <w:t xml:space="preserve"> </w:t>
      </w:r>
      <w:r>
        <w:rPr/>
        <w:t>21.7.2020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22.12.2020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766/21</w:t>
      </w:r>
      <w:r>
        <w:rPr>
          <w:rtl w:val="true"/>
        </w:rPr>
        <w:t xml:space="preserve"> </w:t>
      </w:r>
      <w:r>
        <w:rPr>
          <w:rtl w:val="true"/>
        </w:rPr>
        <w:t>והמשיב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801/21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tl w:val="true"/>
        </w:rPr>
        <w:t xml:space="preserve">)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חטיפה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רכיביה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766/21</w:t>
      </w:r>
      <w:r>
        <w:rPr>
          <w:rtl w:val="true"/>
        </w:rPr>
        <w:t xml:space="preserve"> </w:t>
      </w:r>
      <w:r>
        <w:rPr>
          <w:rtl w:val="true"/>
        </w:rPr>
        <w:t>והמערערת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801/21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tl w:val="true"/>
        </w:rPr>
        <w:t xml:space="preserve">) </w:t>
      </w:r>
      <w:r>
        <w:rPr>
          <w:rtl w:val="true"/>
        </w:rPr>
        <w:t>הופנה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ואולם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בדיון </w:t>
      </w:r>
      <w:r>
        <w:rPr>
          <w:rFonts w:ascii="FrankRuehl" w:hAnsi="FrankRuehl"/>
          <w:sz w:val="28"/>
          <w:sz w:val="28"/>
          <w:shd w:fill="FFFFFF" w:val="clear"/>
          <w:rtl w:val="true"/>
        </w:rPr>
        <w:t>שנערך לפנינו</w:t>
      </w:r>
      <w:r>
        <w:rPr>
          <w:rFonts w:ascii="FrankRuehl" w:hAnsi="FrankRuehl"/>
          <w:sz w:val="28"/>
          <w:sz w:val="28"/>
          <w:shd w:fill="FFFFFF" w:val="clear"/>
          <w:rtl w:val="true"/>
        </w:rPr>
        <w:t xml:space="preserve"> ביום </w:t>
      </w:r>
      <w:r>
        <w:rPr>
          <w:rFonts w:cs="FrankRuehl" w:ascii="FrankRuehl" w:hAnsi="FrankRuehl"/>
          <w:sz w:val="28"/>
          <w:shd w:fill="FFFFFF" w:val="clear"/>
        </w:rPr>
        <w:t>7.12.2022</w:t>
      </w:r>
      <w:r>
        <w:rPr>
          <w:rFonts w:cs="FrankRuehl" w:ascii="FrankRuehl" w:hAnsi="FrankRuehl"/>
          <w:sz w:val="28"/>
          <w:shd w:fill="FFFFFF" w:val="clear"/>
          <w:rtl w:val="true"/>
        </w:rPr>
        <w:t>,</w:t>
      </w:r>
      <w:r>
        <w:rPr>
          <w:rFonts w:cs="FrankRuehl" w:ascii="FrankRuehl" w:hAnsi="FrankRuehl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sz w:val="28"/>
          <w:sz w:val="28"/>
          <w:shd w:fill="FFFFFF" w:val="clear"/>
          <w:rtl w:val="true"/>
        </w:rPr>
        <w:t xml:space="preserve">הודיע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בא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-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כוח המערער כי לא יעמוד על חלקו הארי של הערעור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הנוגע לעצם ההרשעה באינוס המתלוננת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אך כי שאר רכיבי הערעור יעמדו על כנם</w:t>
      </w:r>
      <w:r>
        <w:rPr>
          <w:rFonts w:cs="FrankRuehl" w:ascii="FrankRuehl" w:hAnsi="FrankRuehl"/>
          <w:sz w:val="28"/>
          <w:shd w:fill="FFFFFF" w:val="clear"/>
          <w:rtl w:val="true"/>
        </w:rPr>
        <w:t>.</w:t>
      </w:r>
      <w:r>
        <w:rPr>
          <w:rFonts w:cs="FrankRuehl" w:ascii="FrankRuehl" w:hAnsi="FrankRuehl"/>
          <w:color w:val="A6A6A6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מן העבר השני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באותו דיון הסכים בא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-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כוח המדינה למחוק את סעיף האישום הנוגע לעבירת החטיפה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אך הבהיר כי כלל טענותיה של המדינה בערעור עומדות בעינן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לאור התפתחויות אלו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אדון להלן אך בטענות הצדדים הנוגעות לשלושת אלה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: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טענות המערער ביחס לפגמים שנפלו בהליך לשיטתו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;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הרשעת המערער בשתי עבירות אינוס ובעבירה של מעשה מגונה בגין רצף מעשים אחד מבחינת הזמן והמקום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;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וטענות הצדדים הנוגעות לגזר הדין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המתואר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15.9.2018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23:15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שהתה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ילידת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 xml:space="preserve">וקטינה באותה עת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tl w:val="true"/>
        </w:rPr>
        <w:t xml:space="preserve">), </w:t>
      </w:r>
      <w:r>
        <w:rPr>
          <w:rtl w:val="true"/>
        </w:rPr>
        <w:t xml:space="preserve">בפארק בקרבת בית מגוריה יחד עם חברה מבוגרת של אימהּ </w:t>
      </w:r>
      <w:r>
        <w:rPr>
          <w:rtl w:val="true"/>
        </w:rPr>
        <w:t>(</w:t>
      </w:r>
      <w:r>
        <w:rPr>
          <w:rtl w:val="true"/>
        </w:rPr>
        <w:t xml:space="preserve">בכתב האישום נכתב </w:t>
      </w:r>
      <w:r>
        <w:rPr>
          <w:rtl w:val="true"/>
        </w:rPr>
        <w:t>"</w:t>
      </w:r>
      <w:r>
        <w:rPr>
          <w:rtl w:val="true"/>
        </w:rPr>
        <w:t>דודתה</w:t>
      </w:r>
      <w:r>
        <w:rPr>
          <w:rtl w:val="true"/>
        </w:rPr>
        <w:t xml:space="preserve">", </w:t>
      </w:r>
      <w:r>
        <w:rPr>
          <w:rtl w:val="true"/>
        </w:rPr>
        <w:t>אך במהלך המשפט התברר כי תיאור זה אינו נכון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חברתה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מהּ</w:t>
      </w:r>
      <w:r>
        <w:rPr>
          <w:rtl w:val="true"/>
        </w:rPr>
        <w:t xml:space="preserve">). </w:t>
      </w:r>
      <w:r>
        <w:rPr>
          <w:rtl w:val="true"/>
        </w:rPr>
        <w:t xml:space="preserve">בסמוך לשעה </w:t>
      </w:r>
      <w:r>
        <w:rPr/>
        <w:t>2:00</w:t>
      </w:r>
      <w:r>
        <w:rPr>
          <w:rtl w:val="true"/>
        </w:rPr>
        <w:t xml:space="preserve"> </w:t>
      </w:r>
      <w:r>
        <w:rPr>
          <w:rtl w:val="true"/>
        </w:rPr>
        <w:t>לפנות בוקר ישב המערער</w:t>
      </w:r>
      <w:r>
        <w:rPr>
          <w:rtl w:val="true"/>
        </w:rPr>
        <w:t xml:space="preserve">, </w:t>
      </w:r>
      <w:r>
        <w:rPr>
          <w:rtl w:val="true"/>
        </w:rPr>
        <w:t>חליל רביעה</w:t>
      </w:r>
      <w:r>
        <w:rPr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1985</w:t>
      </w:r>
      <w:r>
        <w:rPr>
          <w:rtl w:val="true"/>
        </w:rPr>
        <w:t xml:space="preserve">, </w:t>
      </w:r>
      <w:r>
        <w:rPr>
          <w:rtl w:val="true"/>
        </w:rPr>
        <w:t xml:space="preserve">יחד עם מכרה שלו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tl w:val="true"/>
        </w:rPr>
        <w:t xml:space="preserve">) </w:t>
      </w:r>
      <w:r>
        <w:rPr>
          <w:rtl w:val="true"/>
        </w:rPr>
        <w:t>ואחרים</w:t>
      </w:r>
      <w:r>
        <w:rPr>
          <w:rtl w:val="true"/>
        </w:rPr>
        <w:t xml:space="preserve">, </w:t>
      </w:r>
      <w:r>
        <w:rPr>
          <w:rtl w:val="true"/>
        </w:rPr>
        <w:t>ואלו השמיעו מוזיקה רועשת</w:t>
      </w:r>
      <w:r>
        <w:rPr>
          <w:rtl w:val="true"/>
        </w:rPr>
        <w:t xml:space="preserve">. </w:t>
      </w:r>
      <w:r>
        <w:rPr>
          <w:rtl w:val="true"/>
        </w:rPr>
        <w:t>בעקבות כך</w:t>
      </w:r>
      <w:r>
        <w:rPr>
          <w:rtl w:val="true"/>
        </w:rPr>
        <w:t xml:space="preserve">, </w:t>
      </w:r>
      <w:r>
        <w:rPr>
          <w:rtl w:val="true"/>
        </w:rPr>
        <w:t>פרץ ויכוח בין המתלוננת וחברתה של אימהּ לבין פלונית</w:t>
      </w:r>
      <w:r>
        <w:rPr>
          <w:rtl w:val="true"/>
        </w:rPr>
        <w:t xml:space="preserve">, </w:t>
      </w:r>
      <w:r>
        <w:rPr>
          <w:rtl w:val="true"/>
        </w:rPr>
        <w:t>כאשר הראשונות ביקשו מהאחרונה להנמיך את המוזיקה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לפי המתואר</w:t>
      </w:r>
      <w:r>
        <w:rPr>
          <w:rtl w:val="true"/>
        </w:rPr>
        <w:t xml:space="preserve">, </w:t>
      </w:r>
      <w:r>
        <w:rPr>
          <w:rtl w:val="true"/>
        </w:rPr>
        <w:t>המערער שהיה עד לוויכוח</w:t>
      </w:r>
      <w:r>
        <w:rPr>
          <w:rtl w:val="true"/>
        </w:rPr>
        <w:t xml:space="preserve">, </w:t>
      </w:r>
      <w:r>
        <w:rPr>
          <w:rtl w:val="true"/>
        </w:rPr>
        <w:t>ואשר בינו לבין המתלוננת לא הייתה היכרות מוקדמת</w:t>
      </w:r>
      <w:r>
        <w:rPr>
          <w:rtl w:val="true"/>
        </w:rPr>
        <w:t xml:space="preserve">, </w:t>
      </w:r>
      <w:r>
        <w:rPr>
          <w:rtl w:val="true"/>
        </w:rPr>
        <w:t>פנה אל המתלוננת והציע להסיע אותה לביתה ברכבו</w:t>
      </w:r>
      <w:r>
        <w:rPr>
          <w:rtl w:val="true"/>
        </w:rPr>
        <w:t xml:space="preserve">. </w:t>
      </w:r>
      <w:r>
        <w:rPr>
          <w:rtl w:val="true"/>
        </w:rPr>
        <w:t xml:space="preserve">צוין כי המערער פנה למתלוננת ואמר לה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תעלי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לאוטו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אקח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פלונית</w:t>
      </w:r>
      <w:r>
        <w:rPr>
          <w:rFonts w:cs="Century" w:ascii="Century" w:hAnsi="Century"/>
          <w:sz w:val="22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תריב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איתך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מכות</w:t>
      </w:r>
      <w:r>
        <w:rPr>
          <w:rtl w:val="true"/>
        </w:rPr>
        <w:t xml:space="preserve">". </w:t>
      </w:r>
      <w:r>
        <w:rPr>
          <w:rtl w:val="true"/>
        </w:rPr>
        <w:t>המתלוננת נענתה להצעה</w:t>
      </w:r>
      <w:r>
        <w:rPr>
          <w:rtl w:val="true"/>
        </w:rPr>
        <w:t xml:space="preserve">, </w:t>
      </w:r>
      <w:r>
        <w:rPr>
          <w:rtl w:val="true"/>
        </w:rPr>
        <w:t>נכנסה לרכב ללא חברתה של אימהּ</w:t>
      </w:r>
      <w:r>
        <w:rPr>
          <w:rtl w:val="true"/>
        </w:rPr>
        <w:t xml:space="preserve">, </w:t>
      </w:r>
      <w:r>
        <w:rPr>
          <w:rtl w:val="true"/>
        </w:rPr>
        <w:t>והתיישבה בכיסא הנוסע הקדמי</w:t>
      </w:r>
      <w:r>
        <w:rPr>
          <w:rtl w:val="true"/>
        </w:rPr>
        <w:t xml:space="preserve">, </w:t>
      </w:r>
      <w:r>
        <w:rPr>
          <w:rtl w:val="true"/>
        </w:rPr>
        <w:t>לצד המערער</w:t>
      </w:r>
      <w:r>
        <w:rPr>
          <w:rtl w:val="true"/>
        </w:rPr>
        <w:t xml:space="preserve">, </w:t>
      </w:r>
      <w:r>
        <w:rPr>
          <w:rtl w:val="true"/>
        </w:rPr>
        <w:t>אשר נהג ברכב</w:t>
      </w:r>
      <w:r>
        <w:rPr>
          <w:rtl w:val="true"/>
        </w:rPr>
        <w:t xml:space="preserve">. </w:t>
      </w:r>
      <w:r>
        <w:rPr>
          <w:rtl w:val="true"/>
        </w:rPr>
        <w:t>לפי עובדות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בשלב זה ישב בכיסא האחורי נוסע נוסף אשר זהותו אינה ידועה למדינה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הנוסע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נוסף</w:t>
      </w:r>
      <w:r>
        <w:rPr>
          <w:rtl w:val="true"/>
        </w:rPr>
        <w:t>).</w:t>
      </w:r>
    </w:p>
    <w:p>
      <w:pPr>
        <w:pStyle w:val="Ruller4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1"/>
        <w:numPr>
          <w:ilvl w:val="0"/>
          <w:numId w:val="1"/>
        </w:numPr>
        <w:overflowPunct w:val="true"/>
        <w:autoSpaceDE w:val="true"/>
        <w:ind w:hanging="0" w:start="0" w:end="0"/>
        <w:jc w:val="both"/>
        <w:textAlignment w:val="auto"/>
        <w:rPr/>
      </w:pPr>
      <w:r>
        <w:rPr>
          <w:rtl w:val="true"/>
        </w:rPr>
        <w:t>על פי המתואר</w:t>
      </w:r>
      <w:r>
        <w:rPr>
          <w:rtl w:val="true"/>
        </w:rPr>
        <w:t xml:space="preserve">, </w:t>
      </w:r>
      <w:r>
        <w:rPr>
          <w:rtl w:val="true"/>
        </w:rPr>
        <w:t>מיד לאחר שעלתה המתלוננת לרכב נעל המערער את דלתות הרכב</w:t>
      </w:r>
      <w:r>
        <w:rPr>
          <w:rtl w:val="true"/>
        </w:rPr>
        <w:t xml:space="preserve">, </w:t>
      </w:r>
      <w:r>
        <w:rPr>
          <w:rtl w:val="true"/>
        </w:rPr>
        <w:t>ואמר למתלוננת כי תחילה ייסעו השלושה ליישוב שגב שלום</w:t>
      </w:r>
      <w:r>
        <w:rPr>
          <w:rtl w:val="true"/>
        </w:rPr>
        <w:t xml:space="preserve">, </w:t>
      </w:r>
      <w:r>
        <w:rPr>
          <w:rtl w:val="true"/>
        </w:rPr>
        <w:t>שם יירד הנוסע הנוסף מהרכב</w:t>
      </w:r>
      <w:r>
        <w:rPr>
          <w:rtl w:val="true"/>
        </w:rPr>
        <w:t xml:space="preserve">, </w:t>
      </w:r>
      <w:r>
        <w:rPr>
          <w:rtl w:val="true"/>
        </w:rPr>
        <w:t>ורק לאחר מכן יחזיר המערער את המתלוננת לביתה</w:t>
      </w:r>
      <w:r>
        <w:rPr>
          <w:rtl w:val="true"/>
        </w:rPr>
        <w:t xml:space="preserve">. </w:t>
      </w:r>
      <w:r>
        <w:rPr>
          <w:rtl w:val="true"/>
        </w:rPr>
        <w:t>לאחר שהנוסע הנוסף ירד מהרכב בשגב שלום</w:t>
      </w:r>
      <w:r>
        <w:rPr>
          <w:rtl w:val="true"/>
        </w:rPr>
        <w:t xml:space="preserve">, </w:t>
      </w:r>
      <w:r>
        <w:rPr>
          <w:rtl w:val="true"/>
        </w:rPr>
        <w:t>המערער נסע עם המתלוננת לשטח פתוח ומבודד בקרבת מקום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הוא עצר את הרכב</w:t>
      </w:r>
      <w:r>
        <w:rPr>
          <w:rtl w:val="true"/>
        </w:rPr>
        <w:t xml:space="preserve">, </w:t>
      </w:r>
      <w:r>
        <w:rPr>
          <w:rtl w:val="true"/>
        </w:rPr>
        <w:t>יצא ממנו ושוחח בטלפון</w:t>
      </w:r>
      <w:r>
        <w:rPr>
          <w:rtl w:val="true"/>
        </w:rPr>
        <w:t xml:space="preserve">. </w:t>
      </w:r>
      <w:r>
        <w:rPr>
          <w:rtl w:val="true"/>
        </w:rPr>
        <w:t>בהמשך לאמור</w:t>
      </w:r>
      <w:r>
        <w:rPr>
          <w:rtl w:val="true"/>
        </w:rPr>
        <w:t xml:space="preserve">, </w:t>
      </w:r>
      <w:r>
        <w:rPr>
          <w:rtl w:val="true"/>
        </w:rPr>
        <w:t>שב המערער לרכב</w:t>
      </w:r>
      <w:r>
        <w:rPr>
          <w:rtl w:val="true"/>
        </w:rPr>
        <w:t xml:space="preserve">, </w:t>
      </w:r>
      <w:r>
        <w:rPr>
          <w:rtl w:val="true"/>
        </w:rPr>
        <w:t xml:space="preserve">ואמר למתלוננת שאדם אחר אמר לו כעת שהיא </w:t>
      </w:r>
      <w:r>
        <w:rPr>
          <w:rtl w:val="true"/>
        </w:rPr>
        <w:t>"</w:t>
      </w:r>
      <w:r>
        <w:rPr>
          <w:rtl w:val="true"/>
        </w:rPr>
        <w:t>שרמוטה</w:t>
      </w:r>
      <w:r>
        <w:rPr>
          <w:rtl w:val="true"/>
        </w:rPr>
        <w:t>", "</w:t>
      </w:r>
      <w:r>
        <w:rPr>
          <w:rtl w:val="true"/>
        </w:rPr>
        <w:t>עובדת עם המשטרה</w:t>
      </w:r>
      <w:r>
        <w:rPr>
          <w:rtl w:val="true"/>
        </w:rPr>
        <w:t xml:space="preserve">" </w:t>
      </w:r>
      <w:r>
        <w:rPr>
          <w:rtl w:val="true"/>
        </w:rPr>
        <w:t xml:space="preserve">ושאותו אדם אמר לו גם כי הוא </w:t>
      </w:r>
      <w:r>
        <w:rPr>
          <w:rtl w:val="true"/>
        </w:rPr>
        <w:t>"</w:t>
      </w:r>
      <w:r>
        <w:rPr>
          <w:rtl w:val="true"/>
        </w:rPr>
        <w:t>זיין אותה</w:t>
      </w:r>
      <w:r>
        <w:rPr>
          <w:rtl w:val="true"/>
        </w:rPr>
        <w:t xml:space="preserve">". </w:t>
      </w:r>
      <w:r>
        <w:rPr>
          <w:rtl w:val="true"/>
        </w:rPr>
        <w:t xml:space="preserve">המתלוננת השיבה </w:t>
      </w:r>
      <w:r>
        <w:rPr>
          <w:rtl w:val="true"/>
        </w:rPr>
        <w:t>"</w:t>
      </w:r>
      <w:r>
        <w:rPr>
          <w:rtl w:val="true"/>
        </w:rPr>
        <w:t>מה פתאום</w:t>
      </w:r>
      <w:r>
        <w:rPr>
          <w:rtl w:val="true"/>
        </w:rPr>
        <w:t xml:space="preserve">", </w:t>
      </w:r>
      <w:r>
        <w:rPr>
          <w:rtl w:val="true"/>
        </w:rPr>
        <w:t>ואמרה למערער שהיא בתולה</w:t>
      </w:r>
      <w:r>
        <w:rPr>
          <w:rtl w:val="true"/>
        </w:rPr>
        <w:t xml:space="preserve">. </w:t>
      </w:r>
      <w:r>
        <w:rPr>
          <w:rtl w:val="true"/>
        </w:rPr>
        <w:t>המערער שב ושאל את המתלוננת אם היא בתולה</w:t>
      </w:r>
      <w:r>
        <w:rPr>
          <w:rtl w:val="true"/>
        </w:rPr>
        <w:t xml:space="preserve">, </w:t>
      </w:r>
      <w:r>
        <w:rPr>
          <w:rtl w:val="true"/>
        </w:rPr>
        <w:t>והיא השיבה בחיוב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על פי עובדות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המערער אמר למתלוננת שהוא </w:t>
      </w:r>
      <w:r>
        <w:rPr>
          <w:rtl w:val="true"/>
        </w:rPr>
        <w:t>"</w:t>
      </w:r>
      <w:r>
        <w:rPr>
          <w:rtl w:val="true"/>
        </w:rPr>
        <w:t>יבדוק אם היא בתולה</w:t>
      </w:r>
      <w:r>
        <w:rPr>
          <w:rtl w:val="true"/>
        </w:rPr>
        <w:t xml:space="preserve">", </w:t>
      </w:r>
      <w:r>
        <w:rPr>
          <w:rtl w:val="true"/>
        </w:rPr>
        <w:t>ובעוד זו ישובה במושב הנוסע הקדמי</w:t>
      </w:r>
      <w:r>
        <w:rPr>
          <w:rtl w:val="true"/>
        </w:rPr>
        <w:t xml:space="preserve">, </w:t>
      </w:r>
      <w:r>
        <w:rPr>
          <w:rtl w:val="true"/>
        </w:rPr>
        <w:t>התיישב עליה המערער</w:t>
      </w:r>
      <w:r>
        <w:rPr>
          <w:rtl w:val="true"/>
        </w:rPr>
        <w:t xml:space="preserve">, </w:t>
      </w:r>
      <w:r>
        <w:rPr>
          <w:rtl w:val="true"/>
        </w:rPr>
        <w:t>השעין את מושב הנוסע אחורנית</w:t>
      </w:r>
      <w:r>
        <w:rPr>
          <w:rtl w:val="true"/>
        </w:rPr>
        <w:t xml:space="preserve">, </w:t>
      </w:r>
      <w:r>
        <w:rPr>
          <w:rtl w:val="true"/>
        </w:rPr>
        <w:t>והורה למתלוננת לשכב</w:t>
      </w:r>
      <w:r>
        <w:rPr>
          <w:rtl w:val="true"/>
        </w:rPr>
        <w:t xml:space="preserve">. </w:t>
      </w:r>
      <w:r>
        <w:rPr>
          <w:rtl w:val="true"/>
        </w:rPr>
        <w:t>המתלוננת סירבה לעשות כן</w:t>
      </w:r>
      <w:r>
        <w:rPr>
          <w:rtl w:val="true"/>
        </w:rPr>
        <w:t xml:space="preserve">, </w:t>
      </w:r>
      <w:r>
        <w:rPr>
          <w:rtl w:val="true"/>
        </w:rPr>
        <w:t>ועל כן המערער הפשיל בכוח את מכנסיה ותחתוניה</w:t>
      </w:r>
      <w:r>
        <w:rPr>
          <w:rtl w:val="true"/>
        </w:rPr>
        <w:t xml:space="preserve">, </w:t>
      </w:r>
      <w:r>
        <w:rPr>
          <w:rtl w:val="true"/>
        </w:rPr>
        <w:t>התפשט והחדיר את אצבעותיו לאיבר מינה</w:t>
      </w:r>
      <w:r>
        <w:rPr>
          <w:rtl w:val="true"/>
        </w:rPr>
        <w:t xml:space="preserve">, </w:t>
      </w:r>
      <w:r>
        <w:rPr>
          <w:rtl w:val="true"/>
        </w:rPr>
        <w:t xml:space="preserve">תוך כדי שהוא אומר לה שהיא אינה בתולה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המערער פישק בכוח את רגליה של המתלוננת</w:t>
      </w:r>
      <w:r>
        <w:rPr>
          <w:rtl w:val="true"/>
        </w:rPr>
        <w:t xml:space="preserve">, </w:t>
      </w:r>
      <w:r>
        <w:rPr>
          <w:rtl w:val="true"/>
        </w:rPr>
        <w:t>כופף את ברכיה לעבר פלג גופה העליון והחדיר בכוח את איבר מינו לאיבר מינה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על פי המתואר</w:t>
      </w:r>
      <w:r>
        <w:rPr>
          <w:rtl w:val="true"/>
        </w:rPr>
        <w:t xml:space="preserve">, </w:t>
      </w:r>
      <w:r>
        <w:rPr>
          <w:rtl w:val="true"/>
        </w:rPr>
        <w:t>המתלוננת צעקה ובכתה</w:t>
      </w:r>
      <w:r>
        <w:rPr>
          <w:rtl w:val="true"/>
        </w:rPr>
        <w:t xml:space="preserve">, </w:t>
      </w:r>
      <w:r>
        <w:rPr>
          <w:rtl w:val="true"/>
        </w:rPr>
        <w:t>ביקשה מהמערער שיחדל ממעשיו</w:t>
      </w:r>
      <w:r>
        <w:rPr>
          <w:rtl w:val="true"/>
        </w:rPr>
        <w:t xml:space="preserve">, </w:t>
      </w:r>
      <w:r>
        <w:rPr>
          <w:rtl w:val="true"/>
        </w:rPr>
        <w:t>ואולם האחרון סירב להיענות לתחנוניה ואמר לה שאין לה מה לפחד ממנו משום שהוא לא ירצח אותה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ובמקביל</w:t>
      </w:r>
      <w:r>
        <w:rPr>
          <w:rtl w:val="true"/>
        </w:rPr>
        <w:t xml:space="preserve">, </w:t>
      </w:r>
      <w:r>
        <w:rPr>
          <w:rtl w:val="true"/>
        </w:rPr>
        <w:t>המערער ביצע במתלוננת מעשים מגונים בכוח</w:t>
      </w:r>
      <w:r>
        <w:rPr>
          <w:rtl w:val="true"/>
        </w:rPr>
        <w:t xml:space="preserve">, </w:t>
      </w:r>
      <w:r>
        <w:rPr>
          <w:rtl w:val="true"/>
        </w:rPr>
        <w:t>בכך שנגע בשדיה</w:t>
      </w:r>
      <w:r>
        <w:rPr>
          <w:rtl w:val="true"/>
        </w:rPr>
        <w:t xml:space="preserve">, </w:t>
      </w:r>
      <w:r>
        <w:rPr>
          <w:rtl w:val="true"/>
        </w:rPr>
        <w:t>נישק את פיה</w:t>
      </w:r>
      <w:r>
        <w:rPr>
          <w:rtl w:val="true"/>
        </w:rPr>
        <w:t xml:space="preserve">, </w:t>
      </w:r>
      <w:r>
        <w:rPr>
          <w:rtl w:val="true"/>
        </w:rPr>
        <w:t xml:space="preserve">ליקק את גופה והורה לה לומר לו שהיא </w:t>
      </w:r>
      <w:r>
        <w:rPr>
          <w:rtl w:val="true"/>
        </w:rPr>
        <w:t>"</w:t>
      </w:r>
      <w:r>
        <w:rPr>
          <w:rtl w:val="true"/>
        </w:rPr>
        <w:t>הזונה שלו</w:t>
      </w:r>
      <w:r>
        <w:rPr>
          <w:rtl w:val="true"/>
        </w:rPr>
        <w:t xml:space="preserve">".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שהמשיכה לבכות כל אותה העת</w:t>
      </w:r>
      <w:r>
        <w:rPr>
          <w:rtl w:val="true"/>
        </w:rPr>
        <w:t xml:space="preserve">, </w:t>
      </w:r>
      <w:r>
        <w:rPr>
          <w:rtl w:val="true"/>
        </w:rPr>
        <w:t>הכתה בידה על חלון הרכב וניסתה להתנגד למעשיו של המערער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זה סטר על פניה ואחז בידיה בחוזקה</w:t>
      </w:r>
      <w:r>
        <w:rPr>
          <w:rtl w:val="true"/>
        </w:rPr>
        <w:t xml:space="preserve">. </w:t>
      </w:r>
      <w:r>
        <w:rPr>
          <w:rtl w:val="true"/>
        </w:rPr>
        <w:t xml:space="preserve">המערער חדל ממעשיו רק לאחר שהגיע לפורקן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שני המעשים יחדיו יכונו 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המעשים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זמן מה 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בסמוך לשעה </w:t>
      </w:r>
      <w:r>
        <w:rPr/>
        <w:t>4:00</w:t>
      </w:r>
      <w:r>
        <w:rPr>
          <w:rtl w:val="true"/>
        </w:rPr>
        <w:t xml:space="preserve"> </w:t>
      </w:r>
      <w:r>
        <w:rPr>
          <w:rtl w:val="true"/>
        </w:rPr>
        <w:t xml:space="preserve">לפנות בוקר של יום </w:t>
      </w:r>
      <w:r>
        <w:rPr/>
        <w:t>16.9.2018</w:t>
      </w:r>
      <w:r>
        <w:rPr>
          <w:rtl w:val="true"/>
        </w:rPr>
        <w:t xml:space="preserve">, </w:t>
      </w:r>
      <w:r>
        <w:rPr>
          <w:rtl w:val="true"/>
        </w:rPr>
        <w:t>השיב המערער את המתלוננת לביתה</w:t>
      </w:r>
      <w:r>
        <w:rPr>
          <w:rtl w:val="true"/>
        </w:rPr>
        <w:t xml:space="preserve">. </w:t>
      </w:r>
      <w:r>
        <w:rPr>
          <w:rtl w:val="true"/>
        </w:rPr>
        <w:t>על פי המתואר</w:t>
      </w:r>
      <w:r>
        <w:rPr>
          <w:rtl w:val="true"/>
        </w:rPr>
        <w:t xml:space="preserve">, </w:t>
      </w:r>
      <w:r>
        <w:rPr>
          <w:rtl w:val="true"/>
        </w:rPr>
        <w:t>בעקבות המעשים</w:t>
      </w:r>
      <w:r>
        <w:rPr>
          <w:rtl w:val="true"/>
        </w:rPr>
        <w:t xml:space="preserve">, </w:t>
      </w:r>
      <w:r>
        <w:rPr>
          <w:rtl w:val="true"/>
        </w:rPr>
        <w:t>דיממה המערערת מאיבר מינה ונגרמו לה פצעים באזור</w:t>
      </w:r>
      <w:r>
        <w:rPr>
          <w:rtl w:val="true"/>
        </w:rPr>
        <w:t xml:space="preserve">. </w:t>
      </w:r>
      <w:r>
        <w:rPr>
          <w:rtl w:val="true"/>
        </w:rPr>
        <w:t>באותו היום פנו המתלוננת ואימה לתחנת המשטרה להגיש תלונה</w:t>
      </w:r>
      <w:r>
        <w:rPr>
          <w:rtl w:val="true"/>
        </w:rPr>
        <w:t xml:space="preserve">. </w:t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19.11.2018</w:t>
      </w:r>
      <w:r>
        <w:rPr>
          <w:rtl w:val="true"/>
        </w:rPr>
        <w:t xml:space="preserve"> </w:t>
      </w:r>
      <w:r>
        <w:rPr>
          <w:rtl w:val="true"/>
        </w:rPr>
        <w:t xml:space="preserve">הוגש נגד המערער כתב אישום המייחס לו שתי עבירות של אינוס לפי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 xml:space="preserve">מספר עבירות של מעשים מגונים לפי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ועבירת חטיפה לפי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369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במהלך ניהול המשפט בבית משפט קמא</w:t>
      </w:r>
      <w:r>
        <w:rPr>
          <w:rtl w:val="true"/>
        </w:rPr>
        <w:t xml:space="preserve">, </w:t>
      </w:r>
      <w:r>
        <w:rPr>
          <w:rtl w:val="true"/>
        </w:rPr>
        <w:t>המערער יוצג תחילה באופן פרטי</w:t>
      </w:r>
      <w:r>
        <w:rPr>
          <w:rtl w:val="true"/>
        </w:rPr>
        <w:t xml:space="preserve">, </w:t>
      </w:r>
      <w:r>
        <w:rPr>
          <w:rtl w:val="true"/>
        </w:rPr>
        <w:t xml:space="preserve">אך לאור חילוקי דעות שנתגלעו בינו לבין סניגוריו דאז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הסניגורים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הפרטיים</w:t>
      </w:r>
      <w:r>
        <w:rPr>
          <w:rtl w:val="true"/>
        </w:rPr>
        <w:t xml:space="preserve">), </w:t>
      </w:r>
      <w:r>
        <w:rPr>
          <w:rtl w:val="true"/>
        </w:rPr>
        <w:t>ולאחר שהתקיימה ישיבת ההוכחות הראשונה</w:t>
      </w:r>
      <w:r>
        <w:rPr>
          <w:rtl w:val="true"/>
        </w:rPr>
        <w:t xml:space="preserve">, </w:t>
      </w:r>
      <w:r>
        <w:rPr>
          <w:rtl w:val="true"/>
        </w:rPr>
        <w:t>בה העידה המתלוננת</w:t>
      </w:r>
      <w:r>
        <w:rPr>
          <w:rtl w:val="true"/>
        </w:rPr>
        <w:t xml:space="preserve">, </w:t>
      </w:r>
      <w:r>
        <w:rPr>
          <w:rtl w:val="true"/>
        </w:rPr>
        <w:t>הודיעו הסניגורים הפרטיים לבית המשפט כי לא יוכלו להמשיך לייצג את המערער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20.3.2019</w:t>
      </w:r>
      <w:r>
        <w:rPr>
          <w:rtl w:val="true"/>
        </w:rPr>
        <w:t xml:space="preserve"> </w:t>
      </w:r>
      <w:r>
        <w:rPr>
          <w:rtl w:val="true"/>
        </w:rPr>
        <w:t>דחה בית משפט קמא את הבקשה לשחרור מייצוג</w:t>
      </w:r>
      <w:r>
        <w:rPr>
          <w:rtl w:val="true"/>
        </w:rPr>
        <w:t xml:space="preserve">. </w:t>
      </w:r>
      <w:r>
        <w:rPr>
          <w:rtl w:val="true"/>
        </w:rPr>
        <w:t>כן נקבע</w:t>
      </w:r>
      <w:r>
        <w:rPr>
          <w:rtl w:val="true"/>
        </w:rPr>
        <w:t xml:space="preserve">, </w:t>
      </w:r>
      <w:r>
        <w:rPr>
          <w:rtl w:val="true"/>
        </w:rPr>
        <w:t>כי חקירתה הנוספת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שנקבעה ליום </w:t>
      </w:r>
      <w:r>
        <w:rPr/>
        <w:t>27.3.2019</w:t>
      </w:r>
      <w:r>
        <w:rPr>
          <w:rtl w:val="true"/>
        </w:rPr>
        <w:t xml:space="preserve">, </w:t>
      </w:r>
      <w:r>
        <w:rPr>
          <w:rtl w:val="true"/>
        </w:rPr>
        <w:t>תתנהל במועדהּ</w:t>
      </w:r>
      <w:r>
        <w:rPr>
          <w:rtl w:val="true"/>
        </w:rPr>
        <w:t xml:space="preserve">, </w:t>
      </w:r>
      <w:r>
        <w:rPr>
          <w:rtl w:val="true"/>
        </w:rPr>
        <w:t>ותנוהל על ידי הסניגורים הפרטיים</w:t>
      </w:r>
      <w:r>
        <w:rPr>
          <w:rtl w:val="true"/>
        </w:rPr>
        <w:t xml:space="preserve">, </w:t>
      </w:r>
      <w:r>
        <w:rPr>
          <w:rtl w:val="true"/>
        </w:rPr>
        <w:t xml:space="preserve">לצד הבהרה כי יש למנות למערער סניגור ציבורי בהקדם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20.3.2019</w:t>
      </w:r>
      <w:r>
        <w:rPr>
          <w:rtl w:val="true"/>
        </w:rPr>
        <w:t xml:space="preserve">).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21.3.2019</w:t>
      </w:r>
      <w:r>
        <w:rPr>
          <w:rtl w:val="true"/>
        </w:rPr>
        <w:t xml:space="preserve"> </w:t>
      </w:r>
      <w:r>
        <w:rPr>
          <w:rtl w:val="true"/>
        </w:rPr>
        <w:t>מונה עו</w:t>
      </w:r>
      <w:r>
        <w:rPr>
          <w:rtl w:val="true"/>
        </w:rPr>
        <w:t>"</w:t>
      </w:r>
      <w:r>
        <w:rPr>
          <w:rtl w:val="true"/>
        </w:rPr>
        <w:t>ד שלמה פצ</w:t>
      </w:r>
      <w:r>
        <w:rPr>
          <w:rtl w:val="true"/>
        </w:rPr>
        <w:t>'</w:t>
      </w:r>
      <w:r>
        <w:rPr>
          <w:rtl w:val="true"/>
        </w:rPr>
        <w:t xml:space="preserve">בסקי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בסקי</w:t>
      </w:r>
      <w:r>
        <w:rPr>
          <w:rtl w:val="true"/>
        </w:rPr>
        <w:t xml:space="preserve">) </w:t>
      </w:r>
      <w:r>
        <w:rPr>
          <w:rtl w:val="true"/>
        </w:rPr>
        <w:t>כמייצג המערער מטעם הסניגוריה הציבורית</w:t>
      </w:r>
      <w:r>
        <w:rPr>
          <w:rtl w:val="true"/>
        </w:rPr>
        <w:t xml:space="preserve">, </w:t>
      </w:r>
      <w:r>
        <w:rPr>
          <w:rtl w:val="true"/>
        </w:rPr>
        <w:t>ואולם הסניגורים הפרטיים</w:t>
      </w:r>
      <w:r>
        <w:rPr>
          <w:rtl w:val="true"/>
        </w:rPr>
        <w:t xml:space="preserve">, </w:t>
      </w:r>
      <w:r>
        <w:rPr>
          <w:rtl w:val="true"/>
        </w:rPr>
        <w:t>ולא עו</w:t>
      </w:r>
      <w:r>
        <w:rPr>
          <w:rtl w:val="true"/>
        </w:rPr>
        <w:t>"</w:t>
      </w:r>
      <w:r>
        <w:rPr>
          <w:rtl w:val="true"/>
        </w:rPr>
        <w:t>ד פצ</w:t>
      </w:r>
      <w:r>
        <w:rPr>
          <w:rtl w:val="true"/>
        </w:rPr>
        <w:t>'</w:t>
      </w:r>
      <w:r>
        <w:rPr>
          <w:rtl w:val="true"/>
        </w:rPr>
        <w:t>בסקי</w:t>
      </w:r>
      <w:r>
        <w:rPr>
          <w:rtl w:val="true"/>
        </w:rPr>
        <w:t xml:space="preserve">, </w:t>
      </w:r>
      <w:r>
        <w:rPr>
          <w:rtl w:val="true"/>
        </w:rPr>
        <w:t xml:space="preserve">הם שחקרו בשם המערער בשני דיוני ההוכחות הבאים שהתקיימו בימים </w:t>
      </w:r>
      <w:r>
        <w:rPr/>
        <w:t>27.3.2019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8.4.2019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18.6.2019</w:t>
      </w:r>
      <w:r>
        <w:rPr>
          <w:rtl w:val="true"/>
        </w:rPr>
        <w:t xml:space="preserve">, </w:t>
      </w:r>
      <w:r>
        <w:rPr>
          <w:rtl w:val="true"/>
        </w:rPr>
        <w:t>נדחתה בקשתו של עו</w:t>
      </w:r>
      <w:r>
        <w:rPr>
          <w:rtl w:val="true"/>
        </w:rPr>
        <w:t>"</w:t>
      </w:r>
      <w:r>
        <w:rPr>
          <w:rtl w:val="true"/>
        </w:rPr>
        <w:t>ד פצ</w:t>
      </w:r>
      <w:r>
        <w:rPr>
          <w:rtl w:val="true"/>
        </w:rPr>
        <w:t>'</w:t>
      </w:r>
      <w:r>
        <w:rPr>
          <w:rtl w:val="true"/>
        </w:rPr>
        <w:t>בסקי לשוב ולחקור באופן תמציתי את המתלוננת</w:t>
      </w:r>
      <w:r>
        <w:rPr>
          <w:rtl w:val="true"/>
        </w:rPr>
        <w:t xml:space="preserve">, </w:t>
      </w:r>
      <w:r>
        <w:rPr>
          <w:rtl w:val="true"/>
        </w:rPr>
        <w:t>בקשה אשר הוגשה לאור גרסה חדשה שהעלה המערער</w:t>
      </w:r>
      <w:r>
        <w:rPr>
          <w:rtl w:val="true"/>
        </w:rPr>
        <w:t xml:space="preserve">, </w:t>
      </w:r>
      <w:r>
        <w:rPr>
          <w:rtl w:val="true"/>
        </w:rPr>
        <w:t>ולפיה יחסי המין בינו לבין המתלוננת קוימו בהסכמה</w:t>
      </w:r>
      <w:r>
        <w:rPr>
          <w:rtl w:val="true"/>
        </w:rPr>
        <w:t xml:space="preserve">, </w:t>
      </w:r>
      <w:r>
        <w:rPr>
          <w:rtl w:val="true"/>
        </w:rPr>
        <w:t>ואף ביוזמתה</w:t>
      </w:r>
      <w:r>
        <w:rPr>
          <w:rtl w:val="true"/>
        </w:rPr>
        <w:t xml:space="preserve">, </w:t>
      </w:r>
      <w:r>
        <w:rPr>
          <w:rtl w:val="true"/>
        </w:rPr>
        <w:t xml:space="preserve">וזאת בתמורה לוויתור מצדו על חוב בגין סמים שזו לכאורה קנתה ממנו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18.6.2019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יחסי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תמורת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למען שלמות התמונה יצוין כי במהלך בירור התיק</w:t>
      </w:r>
      <w:r>
        <w:rPr>
          <w:rtl w:val="true"/>
        </w:rPr>
        <w:t xml:space="preserve">, </w:t>
      </w:r>
      <w:r>
        <w:rPr>
          <w:rtl w:val="true"/>
        </w:rPr>
        <w:t>סיפרה המתלוננת על אירוע נוסף</w:t>
      </w:r>
      <w:r>
        <w:rPr>
          <w:rtl w:val="true"/>
        </w:rPr>
        <w:t xml:space="preserve">, </w:t>
      </w:r>
      <w:r>
        <w:rPr>
          <w:rtl w:val="true"/>
        </w:rPr>
        <w:t>אשר לפי הנטען התרחש כשבוע לאחר המעשים</w:t>
      </w:r>
      <w:r>
        <w:rPr>
          <w:rtl w:val="true"/>
        </w:rPr>
        <w:t xml:space="preserve">, </w:t>
      </w:r>
      <w:r>
        <w:rPr>
          <w:rtl w:val="true"/>
        </w:rPr>
        <w:t xml:space="preserve">ובמהלכו היא נחטפה לכאורה על ידי שני אנשים רעולי פנים שהכניסו אותה לרכבם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החוטפים</w:t>
      </w:r>
      <w:r>
        <w:rPr>
          <w:rtl w:val="true"/>
        </w:rPr>
        <w:t xml:space="preserve">) </w:t>
      </w:r>
      <w:r>
        <w:rPr>
          <w:rtl w:val="true"/>
        </w:rPr>
        <w:t xml:space="preserve">ודרשו ממנה למשוך את התלונה נגד המערער תוך כדי איומים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החטיפה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לכאורה</w:t>
      </w:r>
      <w:r>
        <w:rPr>
          <w:rtl w:val="true"/>
        </w:rPr>
        <w:t xml:space="preserve">). </w:t>
      </w:r>
      <w:r>
        <w:rPr>
          <w:rtl w:val="true"/>
        </w:rPr>
        <w:t>המתלוננת ציינה שהיא אינה בטוחה שהמערער היה אחד מחוטפיה</w:t>
      </w:r>
      <w:r>
        <w:rPr>
          <w:rtl w:val="true"/>
        </w:rPr>
        <w:t xml:space="preserve">, </w:t>
      </w:r>
      <w:r>
        <w:rPr>
          <w:rtl w:val="true"/>
        </w:rPr>
        <w:t>אם כי היא מצאה דמיון בין קולו לבין קולו של אחד מהחוטפים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 xml:space="preserve">לא הוגש כתב אישום בגין האירוע הנטען </w:t>
      </w:r>
      <w:r>
        <w:rPr>
          <w:rtl w:val="true"/>
        </w:rPr>
        <w:t>(</w:t>
      </w:r>
      <w:r>
        <w:rPr>
          <w:rtl w:val="true"/>
        </w:rPr>
        <w:t>ויובהר</w:t>
      </w:r>
      <w:r>
        <w:rPr>
          <w:rtl w:val="true"/>
        </w:rPr>
        <w:t xml:space="preserve">, </w:t>
      </w:r>
      <w:r>
        <w:rPr>
          <w:rtl w:val="true"/>
        </w:rPr>
        <w:t>כי אין קשר בין הרשעתו של המערער בעבירת החטיפה</w:t>
      </w:r>
      <w:r>
        <w:rPr>
          <w:rtl w:val="true"/>
        </w:rPr>
        <w:t xml:space="preserve">, </w:t>
      </w:r>
      <w:r>
        <w:rPr>
          <w:rtl w:val="true"/>
        </w:rPr>
        <w:t>אשר נמחקה בדיון שהתקיים לפנינו כאמור</w:t>
      </w:r>
      <w:r>
        <w:rPr>
          <w:rtl w:val="true"/>
        </w:rPr>
        <w:t xml:space="preserve">, </w:t>
      </w:r>
      <w:r>
        <w:rPr>
          <w:rtl w:val="true"/>
        </w:rPr>
        <w:t>לבין אירוע זה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המתלוננת סיפרה גם על ניסיונות נוספים להניאהּ ממתן עדות במהלך המשפט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בהכרעת הדין מיום </w:t>
      </w:r>
      <w:r>
        <w:rPr/>
        <w:t>21.7.2020</w:t>
      </w:r>
      <w:r>
        <w:rPr>
          <w:rtl w:val="true"/>
        </w:rPr>
        <w:t xml:space="preserve"> (</w:t>
      </w:r>
      <w:r>
        <w:rPr>
          <w:rtl w:val="true"/>
        </w:rPr>
        <w:t>לעיל ולהלן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tl w:val="true"/>
        </w:rPr>
        <w:t xml:space="preserve">) </w:t>
      </w:r>
      <w:r>
        <w:rPr>
          <w:rtl w:val="true"/>
        </w:rPr>
        <w:t>דחה בית משפט קמא את גרסת המערער וקיבל את גרסת המתלוננת</w:t>
      </w:r>
      <w:r>
        <w:rPr>
          <w:rtl w:val="true"/>
        </w:rPr>
        <w:t>.</w:t>
      </w:r>
      <w:r>
        <w:rPr>
          <w:color w:val="A6A6A6"/>
          <w:rtl w:val="true"/>
        </w:rPr>
        <w:t xml:space="preserve"> </w:t>
      </w:r>
      <w:r>
        <w:rPr>
          <w:rtl w:val="true"/>
        </w:rPr>
        <w:t>במסגרת הכרעת הדין</w:t>
      </w:r>
      <w:r>
        <w:rPr>
          <w:rtl w:val="true"/>
        </w:rPr>
        <w:t xml:space="preserve">, </w:t>
      </w:r>
      <w:r>
        <w:rPr>
          <w:rtl w:val="true"/>
        </w:rPr>
        <w:t>הסתמך בית משפט קמא בראש ובראשונה על עדויותיהם של המתלוננת ושל המערער</w:t>
      </w:r>
      <w:r>
        <w:rPr>
          <w:rtl w:val="true"/>
        </w:rPr>
        <w:t xml:space="preserve">, </w:t>
      </w:r>
      <w:r>
        <w:rPr>
          <w:rtl w:val="true"/>
        </w:rPr>
        <w:t>וזאת לצד עדויות נוספות</w:t>
      </w:r>
      <w:r>
        <w:rPr>
          <w:rtl w:val="true"/>
        </w:rPr>
        <w:t xml:space="preserve">, </w:t>
      </w:r>
      <w:r>
        <w:rPr>
          <w:rtl w:val="true"/>
        </w:rPr>
        <w:t>וביניהן עדויות מומחים</w:t>
      </w:r>
      <w:r>
        <w:rPr>
          <w:rtl w:val="true"/>
        </w:rPr>
        <w:t xml:space="preserve">, </w:t>
      </w:r>
      <w:r>
        <w:rPr>
          <w:rtl w:val="true"/>
        </w:rPr>
        <w:t>אשר חיוו דעתם על בדיקות שנערכו למתלוננת לאחר האירוע וממצאיהן</w:t>
      </w:r>
      <w:r>
        <w:rPr>
          <w:rtl w:val="true"/>
        </w:rPr>
        <w:t xml:space="preserve">. </w:t>
      </w:r>
      <w:r>
        <w:rPr>
          <w:rtl w:val="true"/>
        </w:rPr>
        <w:t>מאחר שלא הייתה מחלוקת בין הצדדים בנוגע לעצם קיום יחסי המין</w:t>
      </w:r>
      <w:r>
        <w:rPr>
          <w:rtl w:val="true"/>
        </w:rPr>
        <w:t xml:space="preserve">, </w:t>
      </w:r>
      <w:r>
        <w:rPr>
          <w:rtl w:val="true"/>
        </w:rPr>
        <w:t>עיקר הדיון התמקד בשאלת ההסכמה</w:t>
      </w:r>
      <w:r>
        <w:rPr>
          <w:rtl w:val="true"/>
        </w:rPr>
        <w:t xml:space="preserve">. </w:t>
      </w:r>
      <w:r>
        <w:rPr>
          <w:rtl w:val="true"/>
        </w:rPr>
        <w:t>בית משפט קמא קבע שלא ניתן לשלול</w:t>
      </w:r>
      <w:r>
        <w:rPr>
          <w:rtl w:val="true"/>
        </w:rPr>
        <w:t xml:space="preserve">, </w:t>
      </w:r>
      <w:r>
        <w:rPr>
          <w:rtl w:val="true"/>
        </w:rPr>
        <w:t>ולא לאשש</w:t>
      </w:r>
      <w:r>
        <w:rPr>
          <w:rtl w:val="true"/>
        </w:rPr>
        <w:t xml:space="preserve">, </w:t>
      </w:r>
      <w:r>
        <w:rPr>
          <w:rtl w:val="true"/>
        </w:rPr>
        <w:t>אף אחת מגרסאות הצדדים ביחס לשאלת ההסכמה לקיום היחסים על סמך ממצאי המומחים והפרשנויות שהוצעו להם</w:t>
      </w:r>
      <w:r>
        <w:rPr>
          <w:rtl w:val="true"/>
        </w:rPr>
        <w:t xml:space="preserve">. </w:t>
      </w:r>
      <w:r>
        <w:rPr>
          <w:rtl w:val="true"/>
        </w:rPr>
        <w:t>באופן דומה</w:t>
      </w:r>
      <w:r>
        <w:rPr>
          <w:rtl w:val="true"/>
        </w:rPr>
        <w:t xml:space="preserve">, </w:t>
      </w:r>
      <w:r>
        <w:rPr>
          <w:rtl w:val="true"/>
        </w:rPr>
        <w:t>אף בממצאי בדיקת פרופיל ה</w:t>
      </w:r>
      <w:r>
        <w:rPr>
          <w:rtl w:val="true"/>
        </w:rPr>
        <w:t>-</w:t>
      </w:r>
      <w:r>
        <w:rPr>
          <w:rFonts w:cs="Times New Roman" w:ascii="Times New Roman" w:hAnsi="Times New Roman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מגופה של המתלוננת</w:t>
      </w:r>
      <w:r>
        <w:rPr>
          <w:rtl w:val="true"/>
        </w:rPr>
        <w:t xml:space="preserve">, </w:t>
      </w:r>
      <w:r>
        <w:rPr>
          <w:rtl w:val="true"/>
        </w:rPr>
        <w:t>אשר תאם את ה</w:t>
      </w:r>
      <w:r>
        <w:rPr>
          <w:rtl w:val="true"/>
        </w:rPr>
        <w:t>-</w:t>
      </w:r>
      <w:r>
        <w:rPr>
          <w:rFonts w:cs="Times New Roman" w:ascii="Times New Roman" w:hAnsi="Times New Roman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של המערער</w:t>
      </w:r>
      <w:r>
        <w:rPr>
          <w:rtl w:val="true"/>
        </w:rPr>
        <w:t xml:space="preserve">, </w:t>
      </w:r>
      <w:r>
        <w:rPr>
          <w:rtl w:val="true"/>
        </w:rPr>
        <w:t>לא היה כדי להשפיע על מחלוקת זו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ציין בית המשפט כי עסקינן במקרה של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64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), </w:t>
      </w:r>
      <w:r>
        <w:rPr>
          <w:rtl w:val="true"/>
        </w:rPr>
        <w:t>ותחם בהתאם את המסגרת הדיונית הרלוונטית</w:t>
      </w:r>
      <w:r>
        <w:rPr>
          <w:rtl w:val="true"/>
        </w:rPr>
        <w:t xml:space="preserve">, </w:t>
      </w:r>
      <w:r>
        <w:rPr>
          <w:rtl w:val="true"/>
        </w:rPr>
        <w:t xml:space="preserve">אשר מצויה </w:t>
      </w:r>
      <w:hyperlink r:id="rId26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, </w:t>
      </w:r>
      <w:r>
        <w:rPr>
          <w:rtl w:val="true"/>
        </w:rPr>
        <w:t>המאפשר להרשיע אדם על בסיס עדותה היחידה של נפגעת העבירה</w:t>
      </w:r>
      <w:r>
        <w:rPr>
          <w:rtl w:val="true"/>
        </w:rPr>
        <w:t xml:space="preserve">, </w:t>
      </w:r>
      <w:r>
        <w:rPr>
          <w:rtl w:val="true"/>
        </w:rPr>
        <w:t>בכפוף לחובתו של בית המשפט לפרט מה הוביל אותו להסתפק בעדות זו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בית משפט קמא עמד על מספר ראיות אשר העידו על אמיתות גרסתה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וביניהן רצונה היזום להעיד בנוכחותו הפיזית של המערער </w:t>
      </w:r>
      <w:r>
        <w:rPr>
          <w:rtl w:val="true"/>
        </w:rPr>
        <w:t>(</w:t>
      </w:r>
      <w:r>
        <w:rPr>
          <w:rtl w:val="true"/>
        </w:rPr>
        <w:t>חלף צפייתו בעדותה באמצעות היוועדות חזותית</w:t>
      </w:r>
      <w:r>
        <w:rPr>
          <w:rtl w:val="true"/>
        </w:rPr>
        <w:t xml:space="preserve">), </w:t>
      </w:r>
      <w:r>
        <w:rPr>
          <w:rtl w:val="true"/>
        </w:rPr>
        <w:t>ותגובותיה האותנטיות מצילומי חדר החקירות</w:t>
      </w:r>
      <w:r>
        <w:rPr>
          <w:rtl w:val="true"/>
        </w:rPr>
        <w:t xml:space="preserve">, </w:t>
      </w:r>
      <w:r>
        <w:rPr>
          <w:rtl w:val="true"/>
        </w:rPr>
        <w:t>אשר בהם ניתן לצפות בהתנהגותה הנסערת</w:t>
      </w:r>
      <w:r>
        <w:rPr>
          <w:rtl w:val="true"/>
        </w:rPr>
        <w:t xml:space="preserve">, </w:t>
      </w:r>
      <w:r>
        <w:rPr>
          <w:rtl w:val="true"/>
        </w:rPr>
        <w:t>בפרט למשמע אמירתו של המערער לפיה יחסי המין קוימו בהסכמה</w:t>
      </w:r>
      <w:r>
        <w:rPr>
          <w:rtl w:val="true"/>
        </w:rPr>
        <w:t xml:space="preserve">, </w:t>
      </w:r>
      <w:r>
        <w:rPr>
          <w:rtl w:val="true"/>
        </w:rPr>
        <w:t xml:space="preserve">אליה הגיבה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מאמינה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שאוזניה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שומעות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בית משפט קמא מצא תמיכה בגרסת המתלוננת בעדות אימהּ</w:t>
      </w:r>
      <w:r>
        <w:rPr>
          <w:rtl w:val="true"/>
        </w:rPr>
        <w:t xml:space="preserve">: </w:t>
      </w:r>
      <w:r>
        <w:rPr>
          <w:rtl w:val="true"/>
        </w:rPr>
        <w:t>האחרונה דיווחה כי הבחינה בכתמי דם על בגדי בתהּ בליל האירוע</w:t>
      </w:r>
      <w:r>
        <w:rPr>
          <w:rtl w:val="true"/>
        </w:rPr>
        <w:t xml:space="preserve">; </w:t>
      </w:r>
      <w:r>
        <w:rPr>
          <w:rtl w:val="true"/>
        </w:rPr>
        <w:t>העידה כי המתלוננת סיפרה לה שלאחר המעשה השני</w:t>
      </w:r>
      <w:r>
        <w:rPr>
          <w:rtl w:val="true"/>
        </w:rPr>
        <w:t xml:space="preserve">, </w:t>
      </w:r>
      <w:r>
        <w:rPr>
          <w:rtl w:val="true"/>
        </w:rPr>
        <w:t>המערער השליך סמים לרגליה</w:t>
      </w:r>
      <w:r>
        <w:rPr>
          <w:rtl w:val="true"/>
        </w:rPr>
        <w:t xml:space="preserve">, </w:t>
      </w:r>
      <w:r>
        <w:rPr>
          <w:rtl w:val="true"/>
        </w:rPr>
        <w:t>ואף איים עליה כי אם היא תתלונן</w:t>
      </w:r>
      <w:r>
        <w:rPr>
          <w:rtl w:val="true"/>
        </w:rPr>
        <w:t xml:space="preserve">, </w:t>
      </w:r>
      <w:r>
        <w:rPr>
          <w:rtl w:val="true"/>
        </w:rPr>
        <w:t>הוא יספר למשטרה שהיא לקחה ממנו את הסמים במטרה למכור אותם</w:t>
      </w:r>
      <w:r>
        <w:rPr>
          <w:rtl w:val="true"/>
        </w:rPr>
        <w:t xml:space="preserve">; </w:t>
      </w:r>
      <w:r>
        <w:rPr>
          <w:rtl w:val="true"/>
        </w:rPr>
        <w:t>וסיפרה על הקשיים התפקודיים שמהם סבלה המתלוננת לאחר האירוע</w:t>
      </w:r>
      <w:r>
        <w:rPr>
          <w:rtl w:val="true"/>
        </w:rPr>
        <w:t xml:space="preserve">. </w:t>
      </w:r>
      <w:r>
        <w:rPr>
          <w:rtl w:val="true"/>
        </w:rPr>
        <w:t>עוד הוטעם</w:t>
      </w:r>
      <w:r>
        <w:rPr>
          <w:rtl w:val="true"/>
        </w:rPr>
        <w:t xml:space="preserve">, </w:t>
      </w:r>
      <w:r>
        <w:rPr>
          <w:rtl w:val="true"/>
        </w:rPr>
        <w:t>כי דווקא הסתייגותה של המתלוננת מהפללת המערער באירוע החטיפה לכאורה</w:t>
      </w:r>
      <w:r>
        <w:rPr>
          <w:rtl w:val="true"/>
        </w:rPr>
        <w:t xml:space="preserve">, </w:t>
      </w:r>
      <w:r>
        <w:rPr>
          <w:rtl w:val="true"/>
        </w:rPr>
        <w:t>מצביעה על כך שהיא לא הייתה מעוניינת בהפללת שווא</w:t>
      </w:r>
      <w:r>
        <w:rPr>
          <w:rtl w:val="true"/>
        </w:rPr>
        <w:t xml:space="preserve">, </w:t>
      </w:r>
      <w:r>
        <w:rPr>
          <w:rtl w:val="true"/>
        </w:rPr>
        <w:t>וגם בכך יש כדי לחזק את גרסתה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צוין כי אף על פי שעיון בחקירות המתלוננת מלמד</w:t>
      </w:r>
      <w:r>
        <w:rPr>
          <w:rtl w:val="true"/>
        </w:rPr>
        <w:t xml:space="preserve">, </w:t>
      </w:r>
      <w:r>
        <w:rPr>
          <w:rtl w:val="true"/>
        </w:rPr>
        <w:t xml:space="preserve">כי ככל שהתקדמו החקירות היא הוסיפה פרטים שלא נמסרו קודם לכן </w:t>
      </w:r>
      <w:r>
        <w:rPr>
          <w:rtl w:val="true"/>
        </w:rPr>
        <w:t>(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רק בהודעתה השלישית ציינה המתלוננת כי המערער סיפק לה שקית עם סמים</w:t>
      </w:r>
      <w:r>
        <w:rPr>
          <w:rtl w:val="true"/>
        </w:rPr>
        <w:t xml:space="preserve">), </w:t>
      </w:r>
      <w:r>
        <w:rPr>
          <w:rtl w:val="true"/>
        </w:rPr>
        <w:t>הרי שהדבר טבעי</w:t>
      </w:r>
      <w:r>
        <w:rPr>
          <w:rtl w:val="true"/>
        </w:rPr>
        <w:t xml:space="preserve">, </w:t>
      </w:r>
      <w:r>
        <w:rPr>
          <w:rtl w:val="true"/>
        </w:rPr>
        <w:t>בין היתר לנוכח גילה הצעיר ואופיו הטראומתי של האירוע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color w:val="A6A6A6"/>
        </w:rPr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בית משפט קמא דחה את גרסת המערער </w:t>
      </w:r>
      <w:r>
        <w:rPr>
          <w:rtl w:val="true"/>
        </w:rPr>
        <w:t>–</w:t>
      </w:r>
      <w:r>
        <w:rPr>
          <w:rtl w:val="true"/>
        </w:rPr>
        <w:t xml:space="preserve"> היא גרסת יחסי מין תמורת סמים </w:t>
      </w:r>
      <w:r>
        <w:rPr>
          <w:rtl w:val="true"/>
        </w:rPr>
        <w:t>–</w:t>
      </w:r>
      <w:r>
        <w:rPr>
          <w:rtl w:val="true"/>
        </w:rPr>
        <w:t xml:space="preserve"> מכל וכל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 גרסה זו נסתרה על ידי המערער עצמו במספר הזדמנויות שונות</w:t>
      </w:r>
      <w:r>
        <w:rPr>
          <w:rtl w:val="true"/>
        </w:rPr>
        <w:t xml:space="preserve">, </w:t>
      </w:r>
      <w:r>
        <w:rPr>
          <w:rtl w:val="true"/>
        </w:rPr>
        <w:t xml:space="preserve">וכי נדמה שהוא ניסה </w:t>
      </w:r>
      <w:r>
        <w:rPr>
          <w:rtl w:val="true"/>
        </w:rPr>
        <w:t>"</w:t>
      </w:r>
      <w:r>
        <w:rPr>
          <w:rtl w:val="true"/>
        </w:rPr>
        <w:t>לתקן</w:t>
      </w:r>
      <w:r>
        <w:rPr>
          <w:rtl w:val="true"/>
        </w:rPr>
        <w:t xml:space="preserve">" </w:t>
      </w:r>
      <w:r>
        <w:rPr>
          <w:rtl w:val="true"/>
        </w:rPr>
        <w:t>את גרסתו בהתאם להתפתחויות שחלו במהלך המשפט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נקבע שגרסה זו היא בבחינת גרסה כבושה</w:t>
      </w:r>
      <w:r>
        <w:rPr>
          <w:rtl w:val="true"/>
        </w:rPr>
        <w:t xml:space="preserve">, </w:t>
      </w:r>
      <w:r>
        <w:rPr>
          <w:rtl w:val="true"/>
        </w:rPr>
        <w:t>שמשקלה נמוך</w:t>
      </w:r>
      <w:r>
        <w:rPr>
          <w:rtl w:val="true"/>
        </w:rPr>
        <w:t xml:space="preserve">. </w:t>
      </w:r>
      <w:r>
        <w:rPr>
          <w:rtl w:val="true"/>
        </w:rPr>
        <w:t>בהקשר זה יוער</w:t>
      </w:r>
      <w:r>
        <w:rPr>
          <w:rtl w:val="true"/>
        </w:rPr>
        <w:t xml:space="preserve">, </w:t>
      </w:r>
      <w:r>
        <w:rPr>
          <w:rtl w:val="true"/>
        </w:rPr>
        <w:t>כי גם עדותה של פלונית נמצאה בלתי אמינה</w:t>
      </w:r>
      <w:r>
        <w:rPr>
          <w:rtl w:val="true"/>
        </w:rPr>
        <w:t xml:space="preserve">, </w:t>
      </w:r>
      <w:r>
        <w:rPr>
          <w:rtl w:val="true"/>
        </w:rPr>
        <w:t>ובית המשפט אף הציף את החשש שהיא תואמה מראש עם המערער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color w:val="A6A6A6"/>
        </w:rPr>
      </w:pPr>
      <w:r>
        <w:rPr>
          <w:color w:val="A6A6A6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color w:val="A6A6A6"/>
        </w:rPr>
      </w:pPr>
      <w:r>
        <w:rPr>
          <w:rtl w:val="true"/>
        </w:rPr>
        <w:t>לנוכח כל האמור</w:t>
      </w:r>
      <w:r>
        <w:rPr>
          <w:rtl w:val="true"/>
        </w:rPr>
        <w:t xml:space="preserve">, </w:t>
      </w:r>
      <w:r>
        <w:rPr>
          <w:rtl w:val="true"/>
        </w:rPr>
        <w:t>נקבע כי עלה בידי המדינה להוכיח מעבר לכל ספק סביר כי המערער ביצע את המעשים שיוחסו לו בכתב האישום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הורשע המערער בשתי עבירות של אינוס</w:t>
      </w:r>
      <w:r>
        <w:rPr>
          <w:rtl w:val="true"/>
        </w:rPr>
        <w:t xml:space="preserve">, </w:t>
      </w:r>
      <w:r>
        <w:rPr>
          <w:rtl w:val="true"/>
        </w:rPr>
        <w:t>עבירה של מעשים מגונים ובעבירת חטיפה</w:t>
      </w:r>
      <w:r>
        <w:rPr>
          <w:rtl w:val="true"/>
        </w:rPr>
        <w:t xml:space="preserve">. </w:t>
      </w:r>
      <w:r>
        <w:rPr>
          <w:rtl w:val="true"/>
        </w:rPr>
        <w:t>יוער כי ביחס לביצוע המעשים המגונים</w:t>
      </w:r>
      <w:r>
        <w:rPr>
          <w:rtl w:val="true"/>
        </w:rPr>
        <w:t xml:space="preserve">, </w:t>
      </w:r>
      <w:r>
        <w:rPr>
          <w:rtl w:val="true"/>
        </w:rPr>
        <w:t>קבע בית משפט קמא כי חלף האשמתו של המערער במספר עבירות של ביצוע מעשה מגונה</w:t>
      </w:r>
      <w:r>
        <w:rPr>
          <w:rtl w:val="true"/>
        </w:rPr>
        <w:t xml:space="preserve">, </w:t>
      </w:r>
      <w:r>
        <w:rPr>
          <w:rtl w:val="true"/>
        </w:rPr>
        <w:t>יש להרשיעו בביצוע עבירה אחת של מעשה מגונה</w:t>
      </w:r>
      <w:r>
        <w:rPr>
          <w:rtl w:val="true"/>
        </w:rPr>
        <w:t xml:space="preserve">, </w:t>
      </w:r>
      <w:r>
        <w:rPr>
          <w:rtl w:val="true"/>
        </w:rPr>
        <w:t>כעבירה שנלוותה לעבירות האינוס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בהינתן ש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פירוט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הנגיעות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של המתלוננת</w:t>
      </w:r>
      <w:r>
        <w:rPr>
          <w:rFonts w:cs="Century" w:ascii="Century" w:hAnsi="Century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ככאלה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מגבשת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עצמאית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מלאכותית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93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>
          <w:color w:val="A6A6A6"/>
        </w:rPr>
      </w:pPr>
      <w:r>
        <w:rPr>
          <w:color w:val="A6A6A6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22.10.2020</w:t>
      </w:r>
      <w:r>
        <w:rPr>
          <w:rtl w:val="true"/>
        </w:rPr>
        <w:t xml:space="preserve"> </w:t>
      </w:r>
      <w:r>
        <w:rPr>
          <w:rtl w:val="true"/>
        </w:rPr>
        <w:t xml:space="preserve">ניתן גזר דינו של המערער </w:t>
      </w:r>
      <w:r>
        <w:rPr>
          <w:rtl w:val="true"/>
        </w:rPr>
        <w:t>(</w:t>
      </w:r>
      <w:r>
        <w:rPr>
          <w:rtl w:val="true"/>
        </w:rPr>
        <w:t>לעיל ולהלן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tl w:val="true"/>
        </w:rPr>
        <w:t xml:space="preserve">), </w:t>
      </w:r>
      <w:r>
        <w:rPr>
          <w:rtl w:val="true"/>
        </w:rPr>
        <w:t>ובמסגרתו נסקרו הרשעותיו השונות במסגרת ארבעה הליכים קודמים</w:t>
      </w:r>
      <w:r>
        <w:rPr>
          <w:rtl w:val="true"/>
        </w:rPr>
        <w:t xml:space="preserve">, </w:t>
      </w:r>
      <w:r>
        <w:rPr>
          <w:rtl w:val="true"/>
        </w:rPr>
        <w:t>אשר ביניהן מספר עבירות אלימות</w:t>
      </w:r>
      <w:r>
        <w:rPr>
          <w:rtl w:val="true"/>
        </w:rPr>
        <w:t xml:space="preserve">; </w:t>
      </w:r>
      <w:r>
        <w:rPr>
          <w:rtl w:val="true"/>
        </w:rPr>
        <w:t xml:space="preserve">תסקיר בעניינה של המתלוננת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התסקיר</w:t>
      </w:r>
      <w:r>
        <w:rPr>
          <w:rtl w:val="true"/>
        </w:rPr>
        <w:t xml:space="preserve">); </w:t>
      </w:r>
      <w:r>
        <w:rPr>
          <w:rtl w:val="true"/>
        </w:rPr>
        <w:t>וטענות הצדדים לעונש</w:t>
      </w:r>
      <w:r>
        <w:rPr>
          <w:rtl w:val="true"/>
        </w:rPr>
        <w:t xml:space="preserve">. </w:t>
      </w:r>
      <w:r>
        <w:rPr>
          <w:rtl w:val="true"/>
        </w:rPr>
        <w:t>ביחס לתסקיר</w:t>
      </w:r>
      <w:r>
        <w:rPr>
          <w:rtl w:val="true"/>
        </w:rPr>
        <w:t xml:space="preserve">, </w:t>
      </w:r>
      <w:r>
        <w:rPr>
          <w:rtl w:val="true"/>
        </w:rPr>
        <w:t>עמד בית משפט קמא על השלכותיו של האירוע על המתלוננת</w:t>
      </w:r>
      <w:r>
        <w:rPr>
          <w:rtl w:val="true"/>
        </w:rPr>
        <w:t xml:space="preserve">, </w:t>
      </w:r>
      <w:r>
        <w:rPr>
          <w:rtl w:val="true"/>
        </w:rPr>
        <w:t>ובתוך כך הוצגו התופעות הפוסט טראומטיות שחוותה המתלוננת</w:t>
      </w:r>
      <w:r>
        <w:rPr>
          <w:rtl w:val="true"/>
        </w:rPr>
        <w:t xml:space="preserve">; </w:t>
      </w:r>
      <w:r>
        <w:rPr>
          <w:rtl w:val="true"/>
        </w:rPr>
        <w:t>הכעס שהיא חשה כלפי עצמה בגין האמון שנתנה במערער כאשר האמינה שברצונו לסייע לה</w:t>
      </w:r>
      <w:r>
        <w:rPr>
          <w:rtl w:val="true"/>
        </w:rPr>
        <w:t xml:space="preserve">; </w:t>
      </w:r>
      <w:r>
        <w:rPr>
          <w:rtl w:val="true"/>
        </w:rPr>
        <w:t>והפגיעה הקשה שנושאת המתלוננת בכבודה</w:t>
      </w:r>
      <w:r>
        <w:rPr>
          <w:rtl w:val="true"/>
        </w:rPr>
        <w:t xml:space="preserve">, </w:t>
      </w:r>
      <w:r>
        <w:rPr>
          <w:rtl w:val="true"/>
        </w:rPr>
        <w:t xml:space="preserve">אשר חשה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מוכתמת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ומחוללת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כתוצאה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מהאונס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לגזר הדין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עמד בית משפט קמא על מדיניות הענישה הנוהגת בעבירות מין</w:t>
      </w:r>
      <w:r>
        <w:rPr>
          <w:rtl w:val="true"/>
        </w:rPr>
        <w:t xml:space="preserve">, </w:t>
      </w:r>
      <w:r>
        <w:rPr>
          <w:rtl w:val="true"/>
        </w:rPr>
        <w:t xml:space="preserve">וציין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פסיקת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השונות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רחב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לגזר הדין</w:t>
      </w:r>
      <w:r>
        <w:rPr>
          <w:rtl w:val="true"/>
        </w:rPr>
        <w:t xml:space="preserve">), </w:t>
      </w:r>
      <w:r>
        <w:rPr>
          <w:rtl w:val="true"/>
        </w:rPr>
        <w:t>והדגים זאת באמצעות סקירת פסיקה רלוונטית לעניין</w:t>
      </w:r>
      <w:r>
        <w:rPr>
          <w:rtl w:val="true"/>
        </w:rPr>
        <w:t xml:space="preserve">, </w:t>
      </w:r>
      <w:r>
        <w:rPr>
          <w:rtl w:val="true"/>
        </w:rPr>
        <w:t>אשר הציגה שוֹנוּת גבוהה בעונשי המאסר שהושתו בגין עבירות אלו</w:t>
      </w:r>
      <w:r>
        <w:rPr>
          <w:rtl w:val="true"/>
        </w:rPr>
        <w:t xml:space="preserve">, </w:t>
      </w:r>
      <w:r>
        <w:rPr>
          <w:rtl w:val="true"/>
        </w:rPr>
        <w:t xml:space="preserve">אשר נעו בין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שנים 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ביחס לנסיבות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מנה בית משפט קמא את היבט הניצול שבמעשיו של המערער</w:t>
      </w:r>
      <w:r>
        <w:rPr>
          <w:rtl w:val="true"/>
        </w:rPr>
        <w:t xml:space="preserve">; </w:t>
      </w:r>
      <w:r>
        <w:rPr>
          <w:rtl w:val="true"/>
        </w:rPr>
        <w:t>את העובדה שלא חדל ממעשיו עד שהגיע לסיפוקו המיני</w:t>
      </w:r>
      <w:r>
        <w:rPr>
          <w:rtl w:val="true"/>
        </w:rPr>
        <w:t xml:space="preserve">; </w:t>
      </w:r>
      <w:r>
        <w:rPr>
          <w:rtl w:val="true"/>
        </w:rPr>
        <w:t>ואת שקריו כשפיתה את המתלוננת לנסוע עמו</w:t>
      </w:r>
      <w:r>
        <w:rPr>
          <w:rtl w:val="true"/>
        </w:rPr>
        <w:t xml:space="preserve">. </w:t>
      </w:r>
      <w:r>
        <w:rPr>
          <w:rtl w:val="true"/>
        </w:rPr>
        <w:t>בית המשפט הביא בחשבון גם את הנזק המשמעותי שנגרם למתלוננת בעקבות האירועים</w:t>
      </w:r>
      <w:r>
        <w:rPr>
          <w:rtl w:val="true"/>
        </w:rPr>
        <w:t xml:space="preserve">, </w:t>
      </w:r>
      <w:r>
        <w:rPr>
          <w:rtl w:val="true"/>
        </w:rPr>
        <w:t xml:space="preserve">בציינו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שמילים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יוכלו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הפגיעה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שמחוללת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לקורבנותיה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לגזר הדין</w:t>
      </w:r>
      <w:r>
        <w:rPr>
          <w:rtl w:val="true"/>
        </w:rPr>
        <w:t xml:space="preserve">). </w:t>
      </w:r>
      <w:r>
        <w:rPr>
          <w:rtl w:val="true"/>
        </w:rPr>
        <w:t>בשקלול האמור</w:t>
      </w:r>
      <w:r>
        <w:rPr>
          <w:rtl w:val="true"/>
        </w:rPr>
        <w:t xml:space="preserve">, </w:t>
      </w:r>
      <w:r>
        <w:rPr>
          <w:rtl w:val="true"/>
        </w:rPr>
        <w:t xml:space="preserve">קבע בית משפט קמא כי מתחם הענישה בעניינו של המערער נע בין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ולאחר בחינת מכלול הנסיבות</w:t>
      </w:r>
      <w:r>
        <w:rPr>
          <w:rtl w:val="true"/>
        </w:rPr>
        <w:t xml:space="preserve">, </w:t>
      </w:r>
      <w:r>
        <w:rPr>
          <w:rtl w:val="true"/>
        </w:rPr>
        <w:t xml:space="preserve">השית על המערער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מותנים</w:t>
      </w:r>
      <w:r>
        <w:rPr>
          <w:rtl w:val="true"/>
        </w:rPr>
        <w:t xml:space="preserve">, </w:t>
      </w:r>
      <w:r>
        <w:rPr>
          <w:rtl w:val="true"/>
        </w:rPr>
        <w:t xml:space="preserve">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</w:t>
      </w:r>
      <w:r>
        <w:rPr>
          <w:rtl w:val="true"/>
        </w:rPr>
        <w:t xml:space="preserve">, </w:t>
      </w:r>
      <w:r>
        <w:rPr>
          <w:rtl w:val="true"/>
        </w:rPr>
        <w:t>אם יבצע עבירת מין שהיא פשע או עבירה אחרת בה הורשע בעבר</w:t>
      </w:r>
      <w:r>
        <w:rPr>
          <w:rtl w:val="true"/>
        </w:rPr>
        <w:t xml:space="preserve">; </w:t>
      </w:r>
      <w:r>
        <w:rPr>
          <w:rtl w:val="true"/>
        </w:rPr>
        <w:t xml:space="preserve">וכן פיצוי למתלוננת בסך של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ביחס להכרעת הדין</w:t>
      </w:r>
      <w:r>
        <w:rPr>
          <w:rtl w:val="true"/>
        </w:rPr>
        <w:t xml:space="preserve">, </w:t>
      </w:r>
      <w:r>
        <w:rPr>
          <w:rtl w:val="true"/>
        </w:rPr>
        <w:t>לאחר צמצום יריעת המחלוקת כמתואר לעיל</w:t>
      </w:r>
      <w:r>
        <w:rPr>
          <w:rtl w:val="true"/>
        </w:rPr>
        <w:t xml:space="preserve">, </w:t>
      </w:r>
      <w:r>
        <w:rPr>
          <w:rtl w:val="true"/>
        </w:rPr>
        <w:t>המערער מעלה שני טיעונים מרכזיים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נטען כי זכויותיו הדיוניות של המערער נפגעו קשות במהלך בירור ההליך בבית 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לאור ההחלטה מיום </w:t>
      </w:r>
      <w:r>
        <w:rPr/>
        <w:t>20.3.2019</w:t>
      </w:r>
      <w:r>
        <w:rPr>
          <w:rtl w:val="true"/>
        </w:rPr>
        <w:t xml:space="preserve"> </w:t>
      </w:r>
      <w:r>
        <w:rPr>
          <w:rtl w:val="true"/>
        </w:rPr>
        <w:t xml:space="preserve">וההחלטה מיום </w:t>
      </w:r>
      <w:r>
        <w:rPr/>
        <w:t>18.6.2019</w:t>
      </w:r>
      <w:r>
        <w:rPr>
          <w:rtl w:val="true"/>
        </w:rPr>
        <w:t xml:space="preserve">, </w:t>
      </w:r>
      <w:r>
        <w:rPr>
          <w:rtl w:val="true"/>
        </w:rPr>
        <w:t xml:space="preserve">שהתקבלו לאחר שהמערער החליף את ייצוגו </w:t>
      </w:r>
      <w:r>
        <w:rPr>
          <w:rtl w:val="true"/>
        </w:rPr>
        <w:t>(</w:t>
      </w:r>
      <w:r>
        <w:rPr>
          <w:rtl w:val="true"/>
        </w:rPr>
        <w:t>להלן יכונו החלטות אלה יחדיו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ההחלטות</w:t>
      </w:r>
      <w:r>
        <w:rPr>
          <w:rtl w:val="true"/>
        </w:rPr>
        <w:t xml:space="preserve">). </w:t>
      </w:r>
      <w:r>
        <w:rPr>
          <w:rtl w:val="true"/>
        </w:rPr>
        <w:t>בתוך כך נטען</w:t>
      </w:r>
      <w:r>
        <w:rPr>
          <w:rtl w:val="true"/>
        </w:rPr>
        <w:t xml:space="preserve">, </w:t>
      </w:r>
      <w:r>
        <w:rPr>
          <w:rtl w:val="true"/>
        </w:rPr>
        <w:t xml:space="preserve">כי ההחלטה מיום </w:t>
      </w:r>
      <w:r>
        <w:rPr/>
        <w:t>20.3.2019</w:t>
      </w:r>
      <w:r>
        <w:rPr>
          <w:rtl w:val="true"/>
        </w:rPr>
        <w:t xml:space="preserve"> </w:t>
      </w:r>
      <w:r>
        <w:rPr>
          <w:rtl w:val="true"/>
        </w:rPr>
        <w:t>פגעה בזכותו של המערער לייצוג</w:t>
      </w:r>
      <w:r>
        <w:rPr>
          <w:rtl w:val="true"/>
        </w:rPr>
        <w:t xml:space="preserve">, </w:t>
      </w:r>
      <w:r>
        <w:rPr>
          <w:rtl w:val="true"/>
        </w:rPr>
        <w:t>משבית משפט קמא קבע שחקירת המתלוננת תנוהל על ידי הסניגורים הפרטיים</w:t>
      </w:r>
      <w:r>
        <w:rPr>
          <w:rtl w:val="true"/>
        </w:rPr>
        <w:t xml:space="preserve">, </w:t>
      </w:r>
      <w:r>
        <w:rPr>
          <w:rtl w:val="true"/>
        </w:rPr>
        <w:t>חרף העובדה שאלו ביקשו שבוע קודם לכן להשתחרר מייצוג המערער</w:t>
      </w:r>
      <w:r>
        <w:rPr>
          <w:rtl w:val="true"/>
        </w:rPr>
        <w:t xml:space="preserve">, </w:t>
      </w:r>
      <w:r>
        <w:rPr>
          <w:rtl w:val="true"/>
        </w:rPr>
        <w:t>שלא נתן בהם אמון עוד</w:t>
      </w:r>
      <w:r>
        <w:rPr>
          <w:rtl w:val="true"/>
        </w:rPr>
        <w:t xml:space="preserve">. </w:t>
      </w:r>
      <w:r>
        <w:rPr>
          <w:rtl w:val="true"/>
        </w:rPr>
        <w:t>בנוסף נטען כי היה מקום לקבל אף את בקשתו של עו</w:t>
      </w:r>
      <w:r>
        <w:rPr>
          <w:rtl w:val="true"/>
        </w:rPr>
        <w:t>"</w:t>
      </w:r>
      <w:r>
        <w:rPr>
          <w:rtl w:val="true"/>
        </w:rPr>
        <w:t>ד פצ</w:t>
      </w:r>
      <w:r>
        <w:rPr>
          <w:rtl w:val="true"/>
        </w:rPr>
        <w:t>'</w:t>
      </w:r>
      <w:r>
        <w:rPr>
          <w:rtl w:val="true"/>
        </w:rPr>
        <w:t>בסקי להעיד פעם נוספת את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ועל כן ההחלטה מיום </w:t>
      </w:r>
      <w:r>
        <w:rPr/>
        <w:t>18.6.2019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אשר דחתה בקשה זו </w:t>
      </w:r>
      <w:r>
        <w:rPr>
          <w:rtl w:val="true"/>
        </w:rPr>
        <w:t>–</w:t>
      </w:r>
      <w:r>
        <w:rPr>
          <w:rtl w:val="true"/>
        </w:rPr>
        <w:t xml:space="preserve"> שגויה אף היא</w:t>
      </w:r>
      <w:r>
        <w:rPr>
          <w:rtl w:val="true"/>
        </w:rPr>
        <w:t xml:space="preserve">, </w:t>
      </w:r>
      <w:r>
        <w:rPr>
          <w:rtl w:val="true"/>
        </w:rPr>
        <w:t>ופגעה בזכותו להליך הוגן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הודגש כי החלטות אלו מקבלות משנה חומרה בהינתן אופי העבירות שיוחסו למערער והמסד הראייתי הדל בתיק</w:t>
      </w:r>
      <w:r>
        <w:rPr>
          <w:rtl w:val="true"/>
        </w:rPr>
        <w:t xml:space="preserve">, </w:t>
      </w:r>
      <w:r>
        <w:rPr>
          <w:rtl w:val="true"/>
        </w:rPr>
        <w:t>באופן יחסי</w:t>
      </w:r>
      <w:r>
        <w:rPr>
          <w:rtl w:val="true"/>
        </w:rPr>
        <w:t xml:space="preserve">, </w:t>
      </w:r>
      <w:r>
        <w:rPr>
          <w:rtl w:val="true"/>
        </w:rPr>
        <w:t>אשר נשען ברובו על עדות המתלוננת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ביחס להחלטה מיום </w:t>
      </w:r>
      <w:r>
        <w:rPr/>
        <w:t>20.3.2019</w:t>
      </w:r>
      <w:r>
        <w:rPr>
          <w:rtl w:val="true"/>
        </w:rPr>
        <w:t xml:space="preserve">, </w:t>
      </w:r>
      <w:r>
        <w:rPr>
          <w:rtl w:val="true"/>
        </w:rPr>
        <w:t>המדינה השיבה כי בפרוטוקול הדיון מאותו היום עולה בבירור</w:t>
      </w:r>
      <w:r>
        <w:rPr>
          <w:rtl w:val="true"/>
        </w:rPr>
        <w:t xml:space="preserve">, </w:t>
      </w:r>
      <w:r>
        <w:rPr>
          <w:rtl w:val="true"/>
        </w:rPr>
        <w:t>כי חרף בקשתם הראשונית של הסניגורים הפרטיים לשחרור מייצוג</w:t>
      </w:r>
      <w:r>
        <w:rPr>
          <w:rtl w:val="true"/>
        </w:rPr>
        <w:t xml:space="preserve">, </w:t>
      </w:r>
      <w:r>
        <w:rPr>
          <w:rtl w:val="true"/>
        </w:rPr>
        <w:t>הרי שבהמשך</w:t>
      </w:r>
      <w:r>
        <w:rPr>
          <w:rtl w:val="true"/>
        </w:rPr>
        <w:t xml:space="preserve">, </w:t>
      </w:r>
      <w:r>
        <w:rPr>
          <w:rtl w:val="true"/>
        </w:rPr>
        <w:t>הם ניאותו לייצג את המערער בחקירה המתוכננת של המתלוננת</w:t>
      </w:r>
      <w:r>
        <w:rPr>
          <w:rtl w:val="true"/>
        </w:rPr>
        <w:t xml:space="preserve">, </w:t>
      </w:r>
      <w:r>
        <w:rPr>
          <w:rtl w:val="true"/>
        </w:rPr>
        <w:t>ועל כן אין מקום להטיל ספק באופן ייצוגם</w:t>
      </w:r>
      <w:r>
        <w:rPr>
          <w:rtl w:val="true"/>
        </w:rPr>
        <w:t xml:space="preserve">. </w:t>
      </w:r>
      <w:r>
        <w:rPr>
          <w:rtl w:val="true"/>
        </w:rPr>
        <w:t xml:space="preserve">אשר להחלטה מיום </w:t>
      </w:r>
      <w:r>
        <w:rPr/>
        <w:t>18.6.2019</w:t>
      </w:r>
      <w:r>
        <w:rPr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 הבקשה לשוב ולהעיד את המתלוננת התמקדה בשתי סוגיות מרכזיות אשר גרסתה נתבקשה עבורן</w:t>
      </w:r>
      <w:r>
        <w:rPr>
          <w:rtl w:val="true"/>
        </w:rPr>
        <w:t xml:space="preserve">: </w:t>
      </w:r>
      <w:r>
        <w:rPr>
          <w:rtl w:val="true"/>
        </w:rPr>
        <w:t>הסיבה בגינה עלתה לרכבו של המערער</w:t>
      </w:r>
      <w:r>
        <w:rPr>
          <w:rtl w:val="true"/>
        </w:rPr>
        <w:t xml:space="preserve">, </w:t>
      </w:r>
      <w:r>
        <w:rPr>
          <w:rtl w:val="true"/>
        </w:rPr>
        <w:t>בעוד ביתהּ מצוי בקרבת הפארק שבו שהתה באותה עת</w:t>
      </w:r>
      <w:r>
        <w:rPr>
          <w:rtl w:val="true"/>
        </w:rPr>
        <w:t xml:space="preserve">, </w:t>
      </w:r>
      <w:r>
        <w:rPr>
          <w:rtl w:val="true"/>
        </w:rPr>
        <w:t xml:space="preserve">ותשובותיה ביחס לשאלות הנוגעות לגרסתו החדשה של המערער </w:t>
      </w:r>
      <w:r>
        <w:rPr>
          <w:rtl w:val="true"/>
        </w:rPr>
        <w:t>–</w:t>
      </w:r>
      <w:r>
        <w:rPr>
          <w:rtl w:val="true"/>
        </w:rPr>
        <w:t xml:space="preserve"> גרסת יחסי מין תמורת סמים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 בית משפט קמא נימק כדבעי את סירובו לאפשר העדה נוספת של המתלוננת בסוגיות אלו</w:t>
      </w:r>
      <w:r>
        <w:rPr>
          <w:rtl w:val="true"/>
        </w:rPr>
        <w:t xml:space="preserve">, </w:t>
      </w:r>
      <w:r>
        <w:rPr>
          <w:rtl w:val="true"/>
        </w:rPr>
        <w:t xml:space="preserve">בהבהירו כי ביחס לסוגיה הראשונה </w:t>
      </w:r>
      <w:r>
        <w:rPr>
          <w:rtl w:val="true"/>
        </w:rPr>
        <w:t>–</w:t>
      </w:r>
      <w:r>
        <w:rPr>
          <w:rtl w:val="true"/>
        </w:rPr>
        <w:t xml:space="preserve"> הרי שהמתלוננת נחקרה בנושא זה</w:t>
      </w:r>
      <w:r>
        <w:rPr>
          <w:rtl w:val="true"/>
        </w:rPr>
        <w:t xml:space="preserve">, </w:t>
      </w:r>
      <w:r>
        <w:rPr>
          <w:rtl w:val="true"/>
        </w:rPr>
        <w:t xml:space="preserve">ובאשר לשנייה </w:t>
      </w:r>
      <w:r>
        <w:rPr>
          <w:rtl w:val="true"/>
        </w:rPr>
        <w:t>–</w:t>
      </w:r>
      <w:r>
        <w:rPr>
          <w:rtl w:val="true"/>
        </w:rPr>
        <w:t xml:space="preserve"> כי באיזון בין השיקולים הרלוונטיים</w:t>
      </w:r>
      <w:r>
        <w:rPr>
          <w:rtl w:val="true"/>
        </w:rPr>
        <w:t xml:space="preserve">, </w:t>
      </w:r>
      <w:r>
        <w:rPr>
          <w:rtl w:val="true"/>
        </w:rPr>
        <w:t>גובר האינטרס שבאי החזרתה של המתלוננת לדוכן העדים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במיוחד לאור גילה של המתלוננת ולאור הקושי המשמעותי לשכנעה להעיד מלכתחילה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טוענת המדינה</w:t>
      </w:r>
      <w:r>
        <w:rPr>
          <w:rtl w:val="true"/>
        </w:rPr>
        <w:t xml:space="preserve">, </w:t>
      </w:r>
      <w:r>
        <w:rPr>
          <w:rtl w:val="true"/>
        </w:rPr>
        <w:t>כי מדובר בגרסה כבושה שיש לתת לה משקל נמוך</w:t>
      </w:r>
      <w:r>
        <w:rPr>
          <w:rtl w:val="true"/>
        </w:rPr>
        <w:t xml:space="preserve">, </w:t>
      </w:r>
      <w:r>
        <w:rPr>
          <w:rtl w:val="true"/>
        </w:rPr>
        <w:t>שכן כל מטרתה להתאים את גרסת המערער בדיעבד לראיות המדינה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טוען המערער</w:t>
      </w:r>
      <w:r>
        <w:rPr>
          <w:rtl w:val="true"/>
        </w:rPr>
        <w:t xml:space="preserve">, </w:t>
      </w:r>
      <w:r>
        <w:rPr>
          <w:rtl w:val="true"/>
        </w:rPr>
        <w:t>כי אף אם כל הקביעות העובדתיות והמרשיעות בעניינו ייוותרו על כנן</w:t>
      </w:r>
      <w:r>
        <w:rPr>
          <w:rtl w:val="true"/>
        </w:rPr>
        <w:t xml:space="preserve">, </w:t>
      </w:r>
      <w:r>
        <w:rPr>
          <w:rtl w:val="true"/>
        </w:rPr>
        <w:t>אזי שגם במקרה כזה אין מקום להרשיעו בשתי עבירות אינוס ובעבירת מעשה מגונה</w:t>
      </w:r>
      <w:r>
        <w:rPr>
          <w:rtl w:val="true"/>
        </w:rPr>
        <w:t xml:space="preserve">, </w:t>
      </w:r>
      <w:r>
        <w:rPr>
          <w:rtl w:val="true"/>
        </w:rPr>
        <w:t>אלא רק בעבירת אינוס אחת</w:t>
      </w:r>
      <w:r>
        <w:rPr>
          <w:rtl w:val="true"/>
        </w:rPr>
        <w:t xml:space="preserve">. </w:t>
      </w:r>
      <w:r>
        <w:rPr>
          <w:rtl w:val="true"/>
        </w:rPr>
        <w:t>אשר להרשעה בשתי עבירות אינוס נטען</w:t>
      </w:r>
      <w:r>
        <w:rPr>
          <w:rtl w:val="true"/>
        </w:rPr>
        <w:t xml:space="preserve">, </w:t>
      </w:r>
      <w:r>
        <w:rPr>
          <w:rtl w:val="true"/>
        </w:rPr>
        <w:t>כי המעשה הראשון והמעשה השני הם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רצף של התנהגויות עוקבות</w:t>
      </w:r>
      <w:r>
        <w:rPr>
          <w:rtl w:val="true"/>
        </w:rPr>
        <w:t xml:space="preserve">, </w:t>
      </w:r>
      <w:r>
        <w:rPr>
          <w:rtl w:val="true"/>
        </w:rPr>
        <w:t>אשר סופן באינוס המתלוננת</w:t>
      </w:r>
      <w:r>
        <w:rPr>
          <w:rtl w:val="true"/>
        </w:rPr>
        <w:t xml:space="preserve">. </w:t>
      </w:r>
      <w:r>
        <w:rPr>
          <w:rtl w:val="true"/>
        </w:rPr>
        <w:t>לשיטת המערער</w:t>
      </w:r>
      <w:r>
        <w:rPr>
          <w:rtl w:val="true"/>
        </w:rPr>
        <w:t xml:space="preserve">, </w:t>
      </w:r>
      <w:r>
        <w:rPr>
          <w:rtl w:val="true"/>
        </w:rPr>
        <w:t>ברי שהמעשים התרחשו כמקשה אחת</w:t>
      </w:r>
      <w:r>
        <w:rPr>
          <w:rtl w:val="true"/>
        </w:rPr>
        <w:t xml:space="preserve">, </w:t>
      </w:r>
      <w:r>
        <w:rPr>
          <w:rtl w:val="true"/>
        </w:rPr>
        <w:t>ועל כן ייחוס שתי עבירות נפרדות לשתי התנהגויות שבוצעו בהפרש של מספר שניות זו מזו</w:t>
      </w:r>
      <w:r>
        <w:rPr>
          <w:rtl w:val="true"/>
        </w:rPr>
        <w:t xml:space="preserve">, </w:t>
      </w:r>
      <w:r>
        <w:rPr>
          <w:rtl w:val="true"/>
        </w:rPr>
        <w:t>הוא מלאכותי ושגוי</w:t>
      </w:r>
      <w:r>
        <w:rPr>
          <w:rtl w:val="true"/>
        </w:rPr>
        <w:t xml:space="preserve">. </w:t>
      </w:r>
      <w:r>
        <w:rPr>
          <w:rtl w:val="true"/>
        </w:rPr>
        <w:t>אשר לעבירת המעשה המגונה</w:t>
      </w:r>
      <w:r>
        <w:rPr>
          <w:rtl w:val="true"/>
        </w:rPr>
        <w:t xml:space="preserve">, </w:t>
      </w:r>
      <w:r>
        <w:rPr>
          <w:rtl w:val="true"/>
        </w:rPr>
        <w:t>נטען כי נישוק המתלוננת</w:t>
      </w:r>
      <w:r>
        <w:rPr>
          <w:rtl w:val="true"/>
        </w:rPr>
        <w:t xml:space="preserve">, </w:t>
      </w:r>
      <w:r>
        <w:rPr>
          <w:rtl w:val="true"/>
        </w:rPr>
        <w:t>ליקוק גופה והנגיעה בחזהּ</w:t>
      </w:r>
      <w:r>
        <w:rPr>
          <w:rtl w:val="true"/>
        </w:rPr>
        <w:t xml:space="preserve">, </w:t>
      </w:r>
      <w:r>
        <w:rPr>
          <w:rtl w:val="true"/>
        </w:rPr>
        <w:t>נעשו תוך כדי ביצוע עבירת האינוס ובאופן בלתי נפרד ממנה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ובדומה למקרה </w:t>
      </w:r>
      <w:r>
        <w:rPr>
          <w:rtl w:val="true"/>
        </w:rPr>
        <w:t>"</w:t>
      </w:r>
      <w:r>
        <w:rPr>
          <w:rtl w:val="true"/>
        </w:rPr>
        <w:t>הטיפוסי</w:t>
      </w:r>
      <w:r>
        <w:rPr>
          <w:rtl w:val="true"/>
        </w:rPr>
        <w:t xml:space="preserve">" </w:t>
      </w:r>
      <w:r>
        <w:rPr>
          <w:rtl w:val="true"/>
        </w:rPr>
        <w:t>של עבירות מין מסוג זה</w:t>
      </w:r>
      <w:r>
        <w:rPr>
          <w:rtl w:val="true"/>
        </w:rPr>
        <w:t xml:space="preserve">, </w:t>
      </w:r>
      <w:r>
        <w:rPr>
          <w:rtl w:val="true"/>
        </w:rPr>
        <w:t xml:space="preserve">מעשים אלו </w:t>
      </w:r>
      <w:r>
        <w:rPr>
          <w:rtl w:val="true"/>
        </w:rPr>
        <w:t>"</w:t>
      </w:r>
      <w:r>
        <w:rPr>
          <w:rtl w:val="true"/>
        </w:rPr>
        <w:t>נבלעים</w:t>
      </w:r>
      <w:r>
        <w:rPr>
          <w:rtl w:val="true"/>
        </w:rPr>
        <w:t xml:space="preserve">" </w:t>
      </w:r>
      <w:r>
        <w:rPr>
          <w:rtl w:val="true"/>
        </w:rPr>
        <w:t xml:space="preserve">בהרשעה בעבירת האינוס </w:t>
      </w:r>
      <w:r>
        <w:rPr>
          <w:rtl w:val="true"/>
        </w:rPr>
        <w:t>–</w:t>
      </w:r>
      <w:r>
        <w:rPr>
          <w:rtl w:val="true"/>
        </w:rPr>
        <w:t xml:space="preserve"> היא העבירה החמורה מבין השתיים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משום שנגיעה באזורים אינטימיים וביצוע פעולות בעלות אופי מיני הן נלוות לעבירת האינוס ומהוות לעיתים קרובות חלק אינהרנטי ממנה</w:t>
      </w:r>
      <w:r>
        <w:rPr>
          <w:rtl w:val="true"/>
        </w:rPr>
        <w:t xml:space="preserve">. </w:t>
      </w:r>
      <w:r>
        <w:rPr>
          <w:rtl w:val="true"/>
        </w:rPr>
        <w:t>עוד ציין המערער</w:t>
      </w:r>
      <w:r>
        <w:rPr>
          <w:rtl w:val="true"/>
        </w:rPr>
        <w:t xml:space="preserve">, </w:t>
      </w:r>
      <w:r>
        <w:rPr>
          <w:rtl w:val="true"/>
        </w:rPr>
        <w:t>כי בהכרעת הדין ניתן למצוא חיזוק לעמדתו</w:t>
      </w:r>
      <w:r>
        <w:rPr>
          <w:rtl w:val="true"/>
        </w:rPr>
        <w:t xml:space="preserve">, </w:t>
      </w:r>
      <w:r>
        <w:rPr>
          <w:rtl w:val="true"/>
        </w:rPr>
        <w:t>משום שבעוד שנגד המערער הוגש כתב אישום שמנה מספר עבירות של מעשה מגונה</w:t>
      </w:r>
      <w:r>
        <w:rPr>
          <w:rtl w:val="true"/>
        </w:rPr>
        <w:t xml:space="preserve">, </w:t>
      </w:r>
      <w:r>
        <w:rPr>
          <w:rtl w:val="true"/>
        </w:rPr>
        <w:t>הרי שבפועל הורשע המערער בעבירה אחת בלבד של מעשה מגונה</w:t>
      </w:r>
      <w:r>
        <w:rPr>
          <w:rtl w:val="true"/>
        </w:rPr>
        <w:t xml:space="preserve">. </w:t>
      </w:r>
      <w:r>
        <w:rPr>
          <w:rtl w:val="true"/>
        </w:rPr>
        <w:t>נטען כי בכך התקבלה העמדה שאין לפצל את מעשיו של המערער לפעולות מובחנות</w:t>
      </w:r>
      <w:r>
        <w:rPr>
          <w:rtl w:val="true"/>
        </w:rPr>
        <w:t xml:space="preserve">, </w:t>
      </w:r>
      <w:r>
        <w:rPr>
          <w:rtl w:val="true"/>
        </w:rPr>
        <w:t>ולהרשיעו בגין כל אחת מהן בנפרד</w:t>
      </w:r>
      <w:r>
        <w:rPr>
          <w:rtl w:val="true"/>
        </w:rPr>
        <w:t xml:space="preserve">. </w:t>
      </w:r>
      <w:r>
        <w:rPr>
          <w:rtl w:val="true"/>
        </w:rPr>
        <w:t>מכאן שלשיטתו</w:t>
      </w:r>
      <w:r>
        <w:rPr>
          <w:rtl w:val="true"/>
        </w:rPr>
        <w:t xml:space="preserve">, </w:t>
      </w:r>
      <w:r>
        <w:rPr>
          <w:rtl w:val="true"/>
        </w:rPr>
        <w:t>היגיון זהה צריך להוביל למסקנה שמעשים אלו מגולמים בעבירת האינוס ובעונש הקבוע לצדה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המדינה דוחה טענה זו בשתי ידיים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המעשה הראשון והמעשה השני הם מעשים נפרדים</w:t>
      </w:r>
      <w:r>
        <w:rPr>
          <w:rtl w:val="true"/>
        </w:rPr>
        <w:t xml:space="preserve">, </w:t>
      </w:r>
      <w:r>
        <w:rPr>
          <w:rtl w:val="true"/>
        </w:rPr>
        <w:t>המגבשים</w:t>
      </w:r>
      <w:r>
        <w:rPr>
          <w:rtl w:val="true"/>
        </w:rPr>
        <w:t xml:space="preserve">, </w:t>
      </w:r>
      <w:r>
        <w:rPr>
          <w:rtl w:val="true"/>
        </w:rPr>
        <w:t>כל אחד בפני עצמו</w:t>
      </w:r>
      <w:r>
        <w:rPr>
          <w:rtl w:val="true"/>
        </w:rPr>
        <w:t xml:space="preserve">, </w:t>
      </w:r>
      <w:r>
        <w:rPr>
          <w:rtl w:val="true"/>
        </w:rPr>
        <w:t>את הקבוע בחוק לצורך הרשעה בעבירת האינוס</w:t>
      </w:r>
      <w:r>
        <w:rPr>
          <w:rtl w:val="true"/>
        </w:rPr>
        <w:t xml:space="preserve">. </w:t>
      </w:r>
      <w:r>
        <w:rPr>
          <w:rtl w:val="true"/>
        </w:rPr>
        <w:t>בניגוד לעמדת המערער</w:t>
      </w:r>
      <w:r>
        <w:rPr>
          <w:rtl w:val="true"/>
        </w:rPr>
        <w:t xml:space="preserve">, </w:t>
      </w:r>
      <w:r>
        <w:rPr>
          <w:rtl w:val="true"/>
        </w:rPr>
        <w:t>המדינה גורסת כי המעשים לא בוצעו במסגרת אירוע אחד</w:t>
      </w:r>
      <w:r>
        <w:rPr>
          <w:rtl w:val="true"/>
        </w:rPr>
        <w:t xml:space="preserve">, </w:t>
      </w:r>
      <w:r>
        <w:rPr>
          <w:rtl w:val="true"/>
        </w:rPr>
        <w:t xml:space="preserve">ועל כך ניתן ללמוד מהעובדה שהמערער ביצע את המעשה הראשון מתוך מטרה </w:t>
      </w:r>
      <w:r>
        <w:rPr>
          <w:rtl w:val="true"/>
        </w:rPr>
        <w:t>"</w:t>
      </w:r>
      <w:r>
        <w:rPr>
          <w:rtl w:val="true"/>
        </w:rPr>
        <w:t>לבדוק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tl w:val="true"/>
        </w:rPr>
        <w:t xml:space="preserve">, </w:t>
      </w:r>
      <w:r>
        <w:rPr>
          <w:rtl w:val="true"/>
        </w:rPr>
        <w:t>את אמיתות אמירתה של המתלוננת לפיה היא בתולה</w:t>
      </w:r>
      <w:r>
        <w:rPr>
          <w:rtl w:val="true"/>
        </w:rPr>
        <w:t xml:space="preserve">. </w:t>
      </w:r>
      <w:r>
        <w:rPr>
          <w:rtl w:val="true"/>
        </w:rPr>
        <w:t xml:space="preserve">רק בגמר </w:t>
      </w:r>
      <w:r>
        <w:rPr>
          <w:rtl w:val="true"/>
        </w:rPr>
        <w:t>"</w:t>
      </w:r>
      <w:r>
        <w:rPr>
          <w:rtl w:val="true"/>
        </w:rPr>
        <w:t>הבדיקה</w:t>
      </w:r>
      <w:r>
        <w:rPr>
          <w:rtl w:val="true"/>
        </w:rPr>
        <w:t xml:space="preserve">"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הסיק המערער כי המתלוננת אינה בתולה</w:t>
      </w:r>
      <w:r>
        <w:rPr>
          <w:rtl w:val="true"/>
        </w:rPr>
        <w:t xml:space="preserve">, </w:t>
      </w:r>
      <w:r>
        <w:rPr>
          <w:rtl w:val="true"/>
        </w:rPr>
        <w:t>ולפיכך פנה לביצוע המעשה השני</w:t>
      </w:r>
      <w:r>
        <w:rPr>
          <w:rtl w:val="true"/>
        </w:rPr>
        <w:t xml:space="preserve">. </w:t>
      </w:r>
      <w:r>
        <w:rPr>
          <w:rtl w:val="true"/>
        </w:rPr>
        <w:t>לבסוף הודגש</w:t>
      </w:r>
      <w:r>
        <w:rPr>
          <w:rtl w:val="true"/>
        </w:rPr>
        <w:t xml:space="preserve">, </w:t>
      </w:r>
      <w:r>
        <w:rPr>
          <w:rtl w:val="true"/>
        </w:rPr>
        <w:t>כי אין להקיש מקביעת בית משפט קמא ביחס למעשים המגונים לעניין ההרשעה בגין שני מעשי האינוס כאמור</w:t>
      </w:r>
      <w:r>
        <w:rPr>
          <w:rtl w:val="true"/>
        </w:rPr>
        <w:t xml:space="preserve">. </w:t>
      </w:r>
      <w:r>
        <w:rPr>
          <w:rtl w:val="true"/>
        </w:rPr>
        <w:t>לשלמות התמונה יצוין</w:t>
      </w:r>
      <w:r>
        <w:rPr>
          <w:rtl w:val="true"/>
        </w:rPr>
        <w:t xml:space="preserve">, </w:t>
      </w:r>
      <w:r>
        <w:rPr>
          <w:rtl w:val="true"/>
        </w:rPr>
        <w:t>כי במסגרת תשובתה לערעור ובמהלך הדיון שהתקיים בפנינו</w:t>
      </w:r>
      <w:r>
        <w:rPr>
          <w:rtl w:val="true"/>
        </w:rPr>
        <w:t xml:space="preserve">, </w:t>
      </w:r>
      <w:r>
        <w:rPr>
          <w:rtl w:val="true"/>
        </w:rPr>
        <w:t>המדינה לא התייחסה לטענות המערער ביחס להרשעה בגין עבירת המעשה המגונה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 לגזר הדין</w:t>
      </w:r>
      <w:r>
        <w:rPr>
          <w:rtl w:val="true"/>
        </w:rPr>
        <w:t xml:space="preserve">, </w:t>
      </w:r>
      <w:r>
        <w:rPr>
          <w:rtl w:val="true"/>
        </w:rPr>
        <w:t>המערער טוען כי בקביעת מתחם הענישה ההולם</w:t>
      </w:r>
      <w:r>
        <w:rPr>
          <w:rtl w:val="true"/>
        </w:rPr>
        <w:t xml:space="preserve">, </w:t>
      </w:r>
      <w:r>
        <w:rPr>
          <w:rtl w:val="true"/>
        </w:rPr>
        <w:t>החמיר עמו בית משפט קמא יתר על המידה</w:t>
      </w:r>
      <w:r>
        <w:rPr>
          <w:rtl w:val="true"/>
        </w:rPr>
        <w:t xml:space="preserve">. </w:t>
      </w:r>
      <w:r>
        <w:rPr>
          <w:rtl w:val="true"/>
        </w:rPr>
        <w:t>בתוך כך נטען</w:t>
      </w:r>
      <w:r>
        <w:rPr>
          <w:rtl w:val="true"/>
        </w:rPr>
        <w:t xml:space="preserve">, </w:t>
      </w:r>
      <w:r>
        <w:rPr>
          <w:rtl w:val="true"/>
        </w:rPr>
        <w:t>כי בית המשפט הסתמך על מקרים חמורים וקשים בהרבה מעניינו</w:t>
      </w:r>
      <w:r>
        <w:rPr>
          <w:rtl w:val="true"/>
        </w:rPr>
        <w:t xml:space="preserve">, </w:t>
      </w:r>
      <w:r>
        <w:rPr>
          <w:rtl w:val="true"/>
        </w:rPr>
        <w:t>ועל כן מתחם הענישה הראוי נמוך באופן משמעותי מזה שנקבע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אף בהינתן מתחם זה</w:t>
      </w:r>
      <w:r>
        <w:rPr>
          <w:rtl w:val="true"/>
        </w:rPr>
        <w:t xml:space="preserve">, </w:t>
      </w:r>
      <w:r>
        <w:rPr>
          <w:rtl w:val="true"/>
        </w:rPr>
        <w:t>לא הייתה הצדקה למקם את המערער קרוב לרף העליון של המתחם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משום שחרף העובדה שהמערער נושא עבר פלילי</w:t>
      </w:r>
      <w:r>
        <w:rPr>
          <w:rtl w:val="true"/>
        </w:rPr>
        <w:t xml:space="preserve">, </w:t>
      </w:r>
      <w:r>
        <w:rPr>
          <w:rtl w:val="true"/>
        </w:rPr>
        <w:t>הרי שאף לא אחת מהרשעותיו מבוססת על ביצוע של עבירת מין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tl w:val="true"/>
        </w:rPr>
        <w:t xml:space="preserve"> </w:t>
      </w:r>
      <w:r>
        <w:rPr>
          <w:rtl w:val="true"/>
        </w:rPr>
        <w:t>קביעת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ניתן משקל ל</w:t>
      </w:r>
      <w:r>
        <w:rPr>
          <w:rtl w:val="true"/>
        </w:rPr>
        <w:t>עובדה</w:t>
      </w:r>
      <w:r>
        <w:rPr>
          <w:rtl w:val="true"/>
        </w:rPr>
        <w:t xml:space="preserve"> </w:t>
      </w:r>
      <w:r>
        <w:rPr>
          <w:rtl w:val="true"/>
        </w:rPr>
        <w:t>שהמערער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נטל</w:t>
      </w:r>
      <w:r>
        <w:rPr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, </w:t>
      </w:r>
      <w:r>
        <w:rPr>
          <w:rtl w:val="true"/>
        </w:rPr>
        <w:t xml:space="preserve">וזאת </w:t>
      </w:r>
      <w:r>
        <w:rPr>
          <w:rtl w:val="true"/>
        </w:rPr>
        <w:t>בניגוד</w:t>
      </w:r>
      <w:r>
        <w:rPr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וכן כי ניתן משקל יתר לתסקיר בעניינה של המתלוננת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ערעור המדינה מופנה כלפי גזר הדין בלבד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למרות שהעונש שהושת על המערער איננו קל</w:t>
      </w:r>
      <w:r>
        <w:rPr>
          <w:rtl w:val="true"/>
        </w:rPr>
        <w:t xml:space="preserve">, </w:t>
      </w:r>
      <w:r>
        <w:rPr>
          <w:rtl w:val="true"/>
        </w:rPr>
        <w:t>הרי שהוא אינו תואם את חומרת נסיבות המקרה שלפנינו</w:t>
      </w:r>
      <w:r>
        <w:rPr>
          <w:rtl w:val="true"/>
        </w:rPr>
        <w:t xml:space="preserve">, </w:t>
      </w:r>
      <w:r>
        <w:rPr>
          <w:rtl w:val="true"/>
        </w:rPr>
        <w:t>בגדרו המערער הורשע ב</w:t>
      </w:r>
      <w:r>
        <w:rPr>
          <w:rtl w:val="true"/>
        </w:rPr>
        <w:t>"</w:t>
      </w:r>
      <w:r>
        <w:rPr>
          <w:rtl w:val="true"/>
        </w:rPr>
        <w:t>אונס בשדה</w:t>
      </w:r>
      <w:r>
        <w:rPr>
          <w:rtl w:val="true"/>
        </w:rPr>
        <w:t xml:space="preserve">" </w:t>
      </w:r>
      <w:r>
        <w:rPr>
          <w:rtl w:val="true"/>
        </w:rPr>
        <w:t>של קטינה</w:t>
      </w:r>
      <w:r>
        <w:rPr>
          <w:rtl w:val="true"/>
        </w:rPr>
        <w:t xml:space="preserve">, </w:t>
      </w:r>
      <w:r>
        <w:rPr>
          <w:rtl w:val="true"/>
        </w:rPr>
        <w:t>שבוצע באופן אכזרי ונצלני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נטען כי הן מתחם הענישה שנקבע והן העונש שנגזר על המערער</w:t>
      </w:r>
      <w:r>
        <w:rPr>
          <w:rtl w:val="true"/>
        </w:rPr>
        <w:t xml:space="preserve">, </w:t>
      </w:r>
      <w:r>
        <w:rPr>
          <w:rtl w:val="true"/>
        </w:rPr>
        <w:t>אינם עולים בקנה אחד עם עקרון ההלימה ועם נורמת הענישה במקרים דומים</w:t>
      </w:r>
      <w:r>
        <w:rPr>
          <w:rtl w:val="true"/>
        </w:rPr>
        <w:t xml:space="preserve">. </w:t>
      </w:r>
      <w:r>
        <w:rPr>
          <w:rtl w:val="true"/>
        </w:rPr>
        <w:t>בתוך כך ציינה המדינה</w:t>
      </w:r>
      <w:r>
        <w:rPr>
          <w:rtl w:val="true"/>
        </w:rPr>
        <w:t xml:space="preserve">, </w:t>
      </w:r>
      <w:r>
        <w:rPr>
          <w:rtl w:val="true"/>
        </w:rPr>
        <w:t>כי חרף העובדה שהמערער לא הורשע בעבר בעבירות מין</w:t>
      </w:r>
      <w:r>
        <w:rPr>
          <w:rtl w:val="true"/>
        </w:rPr>
        <w:t xml:space="preserve">, </w:t>
      </w:r>
      <w:r>
        <w:rPr>
          <w:rtl w:val="true"/>
        </w:rPr>
        <w:t>הוא נושא עבר פלילי מכביד</w:t>
      </w:r>
      <w:r>
        <w:rPr>
          <w:rtl w:val="true"/>
        </w:rPr>
        <w:t xml:space="preserve">, </w:t>
      </w:r>
      <w:r>
        <w:rPr>
          <w:rtl w:val="true"/>
        </w:rPr>
        <w:t>הכולל הרשעות בשני כתבי אישום המייחסים לו עבירות של תקיפת בת זוג</w:t>
      </w:r>
      <w:r>
        <w:rPr>
          <w:rtl w:val="true"/>
        </w:rPr>
        <w:t xml:space="preserve">, </w:t>
      </w:r>
      <w:r>
        <w:rPr>
          <w:rtl w:val="true"/>
        </w:rPr>
        <w:t>ועל כן ברי כי מדובר בהסלמה בעבירות בתחום האלימות</w:t>
      </w:r>
      <w:r>
        <w:rPr>
          <w:rtl w:val="true"/>
        </w:rPr>
        <w:t xml:space="preserve">, </w:t>
      </w:r>
      <w:r>
        <w:rPr>
          <w:rtl w:val="true"/>
        </w:rPr>
        <w:t>בפרט כלפי נשים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לעמדת המדינה יש להחמיר את עונשו של המערער</w:t>
      </w:r>
      <w:r>
        <w:rPr>
          <w:rtl w:val="true"/>
        </w:rPr>
        <w:t xml:space="preserve">, </w:t>
      </w:r>
      <w:r>
        <w:rPr>
          <w:rtl w:val="true"/>
        </w:rPr>
        <w:t>וזאת גם לאור מסוכנותו הגבוהה</w:t>
      </w:r>
      <w:r>
        <w:rPr>
          <w:rtl w:val="true"/>
        </w:rPr>
        <w:t xml:space="preserve">, </w:t>
      </w:r>
      <w:r>
        <w:rPr>
          <w:rtl w:val="true"/>
        </w:rPr>
        <w:t>הנלמדת מהעובדה שהוא לא הורתע מעונשיו הקודמים</w:t>
      </w:r>
      <w:r>
        <w:rPr>
          <w:rtl w:val="true"/>
        </w:rPr>
        <w:t xml:space="preserve">, </w:t>
      </w:r>
      <w:r>
        <w:rPr>
          <w:rtl w:val="true"/>
        </w:rPr>
        <w:t>ושב לסורו ביתר שאת</w:t>
      </w:r>
      <w:r>
        <w:rPr>
          <w:rtl w:val="true"/>
        </w:rPr>
        <w:t xml:space="preserve">. </w:t>
      </w:r>
      <w:r>
        <w:rPr>
          <w:rtl w:val="true"/>
        </w:rPr>
        <w:t>לבסוף הוער</w:t>
      </w:r>
      <w:r>
        <w:rPr>
          <w:rtl w:val="true"/>
        </w:rPr>
        <w:t xml:space="preserve">, </w:t>
      </w:r>
      <w:r>
        <w:rPr>
          <w:rtl w:val="true"/>
        </w:rPr>
        <w:t>כי חרף העובדה שזכותו של המערער להכחיש את מעשיו עומדת לו</w:t>
      </w:r>
      <w:r>
        <w:rPr>
          <w:rtl w:val="true"/>
        </w:rPr>
        <w:t xml:space="preserve">, </w:t>
      </w:r>
      <w:r>
        <w:rPr>
          <w:rtl w:val="true"/>
        </w:rPr>
        <w:t>ניתן וראוי להתחשב בעובדה זו במסגרת גזירת העונש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לפגמים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בהליך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טענתו הראשונה של המערער מופנית כאמור כלפי הפגמים שנפלו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בהחלטותיו של בית המשפט קמא לעניין ייצוגו וחקירתה של המתלוננת</w:t>
      </w:r>
      <w:r>
        <w:rPr>
          <w:rtl w:val="true"/>
        </w:rPr>
        <w:t xml:space="preserve">. </w:t>
      </w:r>
      <w:r>
        <w:rPr>
          <w:rtl w:val="true"/>
        </w:rPr>
        <w:t>בפתח הדברים יוער</w:t>
      </w:r>
      <w:r>
        <w:rPr>
          <w:rtl w:val="true"/>
        </w:rPr>
        <w:t xml:space="preserve">, </w:t>
      </w:r>
      <w:r>
        <w:rPr>
          <w:rtl w:val="true"/>
        </w:rPr>
        <w:t>כי בא</w:t>
      </w:r>
      <w:r>
        <w:rPr>
          <w:rtl w:val="true"/>
        </w:rPr>
        <w:t>-</w:t>
      </w:r>
      <w:r>
        <w:rPr>
          <w:rtl w:val="true"/>
        </w:rPr>
        <w:t>כוח המערער לא טען לפנינו כי פגמים אלו מגבשים עילה להחזרת התיק לבחינה מחודשת של הכרעת הדין בבית המשפט קמא</w:t>
      </w:r>
      <w:r>
        <w:rPr>
          <w:rtl w:val="true"/>
        </w:rPr>
        <w:t xml:space="preserve">, </w:t>
      </w:r>
      <w:r>
        <w:rPr>
          <w:rtl w:val="true"/>
        </w:rPr>
        <w:t>אולם סבר כי יש בהם כדי להצדיק את התייחסותו של בית משפט זה</w:t>
      </w:r>
      <w:r>
        <w:rPr>
          <w:rtl w:val="true"/>
        </w:rPr>
        <w:t xml:space="preserve">, </w:t>
      </w:r>
      <w:r>
        <w:rPr>
          <w:rtl w:val="true"/>
        </w:rPr>
        <w:t>ואף להקל בעונשו של 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color w:val="808080"/>
        </w:rPr>
      </w:pPr>
      <w:r>
        <w:rPr>
          <w:rtl w:val="true"/>
        </w:rPr>
        <w:t>בית משפט זה עמד לא אחת על חשיבותו של הייצוג המשפטי בהליך הפלילי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הזכות לייצוג בהליך הפלילי נחשבת לאחת מזכויות היסוד של הנאשם בפלילים ובבסיסה מונחות שתי תכליות מרכזיות</w:t>
      </w:r>
      <w:r>
        <w:rPr>
          <w:rtl w:val="true"/>
        </w:rPr>
        <w:t xml:space="preserve">: </w:t>
      </w:r>
      <w:r>
        <w:rPr>
          <w:rtl w:val="true"/>
        </w:rPr>
        <w:t>התכלית האחת</w:t>
      </w:r>
      <w:r>
        <w:rPr>
          <w:rtl w:val="true"/>
        </w:rPr>
        <w:t xml:space="preserve">, </w:t>
      </w:r>
      <w:r>
        <w:rPr>
          <w:rtl w:val="true"/>
        </w:rPr>
        <w:t>היא הבטחת קיומו של הליך הוגן בטרם תישלל חירותו של הנאשם</w:t>
      </w:r>
      <w:r>
        <w:rPr>
          <w:rtl w:val="true"/>
        </w:rPr>
        <w:t xml:space="preserve">, </w:t>
      </w:r>
      <w:r>
        <w:rPr>
          <w:rtl w:val="true"/>
        </w:rPr>
        <w:t>במסגרתו יתאפשר לנאשם לנהל את הגנתו כראוי ולממש את זכויותיו בהליך</w:t>
      </w:r>
      <w:r>
        <w:rPr>
          <w:rtl w:val="true"/>
        </w:rPr>
        <w:t xml:space="preserve">. </w:t>
      </w:r>
      <w:r>
        <w:rPr>
          <w:rtl w:val="true"/>
        </w:rPr>
        <w:t>התכלית השנייה</w:t>
      </w:r>
      <w:r>
        <w:rPr>
          <w:rtl w:val="true"/>
        </w:rPr>
        <w:t xml:space="preserve">, </w:t>
      </w:r>
      <w:r>
        <w:rPr>
          <w:rtl w:val="true"/>
        </w:rPr>
        <w:t>נוגעת לאינטרס הרחב יותר</w:t>
      </w:r>
      <w:r>
        <w:rPr>
          <w:rtl w:val="true"/>
        </w:rPr>
        <w:t xml:space="preserve">, </w:t>
      </w:r>
      <w:r>
        <w:rPr>
          <w:rtl w:val="true"/>
        </w:rPr>
        <w:t xml:space="preserve">ועניינה בקיום משפט צדק ומניעת הרשעות שווא </w:t>
      </w:r>
      <w:r>
        <w:rPr>
          <w:rtl w:val="true"/>
        </w:rPr>
        <w:t>(</w:t>
      </w:r>
      <w:r>
        <w:rPr>
          <w:rtl w:val="true"/>
        </w:rPr>
        <w:t>ראו מיני רבים</w:t>
      </w:r>
      <w:r>
        <w:rPr>
          <w:rtl w:val="true"/>
        </w:rPr>
        <w:t xml:space="preserve">: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816/10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גולד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12-11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3.9.2012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גולד</w:t>
      </w:r>
      <w:r>
        <w:rPr>
          <w:rtl w:val="true"/>
        </w:rPr>
        <w:t xml:space="preserve">);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3179/13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ווינר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34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15.6.2015</w:t>
      </w:r>
      <w:r>
        <w:rPr>
          <w:rtl w:val="true"/>
        </w:rPr>
        <w:t xml:space="preserve">);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8347/13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11.2.2016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7211/18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הסנגוריה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הציבורית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12.12.2018</w:t>
      </w:r>
      <w:r>
        <w:rPr>
          <w:rtl w:val="true"/>
        </w:rPr>
        <w:t>)).</w:t>
      </w:r>
    </w:p>
    <w:p>
      <w:pPr>
        <w:pStyle w:val="Ruller4"/>
        <w:ind w:end="0"/>
        <w:jc w:val="both"/>
        <w:rPr>
          <w:color w:val="808080"/>
        </w:rPr>
      </w:pPr>
      <w:r>
        <w:rPr>
          <w:color w:val="808080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המסגרת הנורמטיבית הרלוונטית לענייננו מעוגנת </w:t>
      </w:r>
      <w:hyperlink r:id="rId32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hyperlink r:id="rId34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חסד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</w:hyperlink>
      <w:r>
        <w:rPr>
          <w:rtl w:val="true"/>
        </w:rPr>
        <w:t xml:space="preserve">), </w:t>
      </w:r>
      <w:r>
        <w:rPr>
          <w:rtl w:val="true"/>
        </w:rPr>
        <w:t>המורה כי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סניגור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העמיד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לעצמו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יפסיק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לייצגו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נמשך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שלשמם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הועמד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ברשות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המשפט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סניגור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שמינהו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יפסיק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לייצג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ברשות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המשפט</w:t>
      </w:r>
      <w:r>
        <w:rPr>
          <w:shd w:fill="FFFFFF" w:val="clear"/>
          <w:rtl w:val="true"/>
        </w:rPr>
        <w:t>"</w:t>
      </w:r>
      <w:r>
        <w:rPr>
          <w:shd w:fill="FFFFFF" w:val="clear"/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 קובע כי</w:t>
      </w:r>
      <w:r>
        <w:rPr>
          <w:rtl w:val="true"/>
        </w:rPr>
        <w:t xml:space="preserve">: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העמיד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סניגור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במקום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סניגורו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שמינה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המשפט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שהחליף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סניגור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שהעמי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,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יסרב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רשות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לסניגור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הקודם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להפסיק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לייצג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הנאשם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ראה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שחילוף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הסניגורים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מצריך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דחיה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סבירה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המשפט</w:t>
      </w:r>
      <w:r>
        <w:rPr>
          <w:shd w:fill="FFFFFF" w:val="clear"/>
          <w:rtl w:val="true"/>
        </w:rPr>
        <w:t>"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אם כן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בהליך הפלילי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להבדיל מההליך האזרחי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הפסקת ייצוג לבקשת המיוצג  מותנית באישורו של בית המשפט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שעה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שמתבקש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בית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המשפט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לאשר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חילוף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סניגורים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יש באפשרותו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לדחות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את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הבקשה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,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אם הוא מוצא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כי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החילוף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עלול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לעכב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את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הליכי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המשפט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באופן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בלתי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סביר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בבסיס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</w:t>
      </w:r>
      <w:r>
        <w:rPr>
          <w:shd w:fill="FFFFFF" w:val="clear"/>
          <w:rtl w:val="true"/>
        </w:rPr>
        <w:t>סעיפים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ניצבת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תכלית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הבטחת</w:t>
      </w:r>
      <w:r>
        <w:rPr>
          <w:shd w:fill="FFFFFF" w:val="clear"/>
          <w:rtl w:val="true"/>
        </w:rPr>
        <w:t>ו של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ייצוג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רציף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יציב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ונטול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זעזועים</w:t>
      </w:r>
      <w:r>
        <w:rPr>
          <w:shd w:fill="FFFFFF" w:val="clear"/>
          <w:rtl w:val="true"/>
        </w:rPr>
        <w:t xml:space="preserve">" </w:t>
      </w:r>
      <w:r>
        <w:rPr>
          <w:shd w:fill="FFFFFF" w:val="clear"/>
          <w:rtl w:val="true"/>
        </w:rPr>
        <w:t>עבור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הנאשם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(</w:t>
      </w:r>
      <w:hyperlink r:id="rId37">
        <w:r>
          <w:rPr>
            <w:rStyle w:val="Hyperlink"/>
            <w:color w:val="0000FF"/>
            <w:u w:val="single"/>
            <w:shd w:fill="FFFFFF" w:val="clear"/>
            <w:rtl w:val="true"/>
          </w:rPr>
          <w:t>בג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ץ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4689/94</w:t>
        </w:r>
      </w:hyperlink>
      <w:r>
        <w:rPr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יצחק</w:t>
      </w:r>
      <w:r>
        <w:rPr>
          <w:rFonts w:ascii="Times New Roman" w:hAnsi="Times New Roman" w:cs="Times New Roman"/>
          <w:b/>
          <w:b/>
          <w:spacing w:val="0"/>
          <w:sz w:val="22"/>
          <w:sz w:val="22"/>
          <w:szCs w:val="24"/>
          <w:shd w:fill="FFFFFF" w:val="clear"/>
        </w:rPr>
        <w:t>‎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</w:rPr>
        <w:t>‎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צמח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פ</w:t>
      </w:r>
      <w:r>
        <w:rPr>
          <w:shd w:fill="FFFFFF" w:val="clear"/>
          <w:rtl w:val="true"/>
        </w:rPr>
        <w:t>''</w:t>
      </w:r>
      <w:r>
        <w:rPr>
          <w:shd w:fill="FFFFFF" w:val="clear"/>
          <w:rtl w:val="true"/>
        </w:rPr>
        <w:t>ד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מח</w:t>
      </w:r>
      <w:r>
        <w:rPr>
          <w:shd w:fill="FFFFFF" w:val="clear"/>
          <w:rtl w:val="true"/>
        </w:rPr>
        <w:t>(</w:t>
      </w:r>
      <w:r>
        <w:rPr>
          <w:shd w:fill="FFFFFF" w:val="clear"/>
        </w:rPr>
        <w:t>5</w:t>
      </w:r>
      <w:r>
        <w:rPr>
          <w:shd w:fill="FFFFFF" w:val="clear"/>
          <w:rtl w:val="true"/>
        </w:rPr>
        <w:t xml:space="preserve">) </w:t>
      </w:r>
      <w:r>
        <w:rPr>
          <w:shd w:fill="FFFFFF" w:val="clear"/>
        </w:rPr>
        <w:t>70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</w:rPr>
        <w:t>84</w:t>
      </w:r>
      <w:r>
        <w:rPr>
          <w:shd w:fill="FFFFFF" w:val="clear"/>
          <w:rtl w:val="true"/>
        </w:rPr>
        <w:t xml:space="preserve"> (</w:t>
      </w:r>
      <w:r>
        <w:rPr>
          <w:shd w:fill="FFFFFF" w:val="clear"/>
        </w:rPr>
        <w:t>1994</w:t>
      </w:r>
      <w:r>
        <w:rPr>
          <w:shd w:fill="FFFFFF" w:val="clear"/>
          <w:rtl w:val="true"/>
        </w:rPr>
        <w:t xml:space="preserve">). </w:t>
      </w:r>
      <w:r>
        <w:rPr>
          <w:shd w:fill="FFFFFF" w:val="clear"/>
          <w:rtl w:val="true"/>
        </w:rPr>
        <w:t>וראו גם</w:t>
      </w:r>
      <w:r>
        <w:rPr>
          <w:shd w:fill="FFFFFF" w:val="clear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9285/20</w:t>
        </w:r>
      </w:hyperlink>
      <w:r>
        <w:rPr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חצרוני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פסקה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</w:rPr>
        <w:t>9</w:t>
      </w:r>
      <w:r>
        <w:rPr>
          <w:shd w:fill="FFFFFF" w:val="clear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shd w:fill="FFFFFF" w:val="clear"/>
          <w:rtl w:val="true"/>
        </w:rPr>
        <w:t>(</w:t>
      </w:r>
      <w:r>
        <w:rPr>
          <w:shd w:fill="FFFFFF" w:val="clear"/>
        </w:rPr>
        <w:t>14.4.2021</w:t>
      </w:r>
      <w:r>
        <w:rPr>
          <w:shd w:fill="FFFFFF" w:val="clear"/>
          <w:rtl w:val="true"/>
        </w:rPr>
        <w:t>) (</w:t>
      </w:r>
      <w:r>
        <w:rPr>
          <w:shd w:fill="FFFFFF" w:val="clear"/>
          <w:rtl w:val="true"/>
        </w:rPr>
        <w:t>להלן</w:t>
      </w:r>
      <w:r>
        <w:rPr>
          <w:shd w:fill="FFFFFF" w:val="clear"/>
          <w:rtl w:val="true"/>
        </w:rPr>
        <w:t>:</w:t>
      </w:r>
      <w:r>
        <w:rPr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חצרוני</w:t>
      </w:r>
      <w:r>
        <w:rPr>
          <w:shd w:fill="FFFFFF" w:val="clear"/>
          <w:rtl w:val="true"/>
        </w:rPr>
        <w:t xml:space="preserve">)). </w:t>
      </w:r>
      <w:r>
        <w:rPr>
          <w:shd w:fill="FFFFFF" w:val="clear"/>
          <w:rtl w:val="true"/>
        </w:rPr>
        <w:t>עת ניצב בית המשפט מול השאלה אם לשחרר נאשם מייצוג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עליו לשקול את </w:t>
      </w:r>
      <w:r>
        <w:rPr>
          <w:shd w:fill="FFFFFF" w:val="clear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הכללים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המחייבים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והפסיקה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שיקולים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מעשיים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וחוש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פרגמטי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והגינות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בתחומים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רבים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אחרים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במשפט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ההכרעה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במקרה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תלוית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מידה</w:t>
      </w:r>
      <w:r>
        <w:rPr>
          <w:shd w:fill="FFFFFF" w:val="clear"/>
          <w:rtl w:val="true"/>
        </w:rPr>
        <w:t>" (</w:t>
      </w:r>
      <w:r>
        <w:rPr>
          <w:shd w:fill="FFFFFF" w:val="clear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חצרוני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בפסקה </w:t>
      </w:r>
      <w:r>
        <w:rPr>
          <w:shd w:fill="FFFFFF" w:val="clear"/>
        </w:rPr>
        <w:t>15</w:t>
      </w:r>
      <w:r>
        <w:rPr>
          <w:shd w:fill="FFFFFF" w:val="clear"/>
          <w:rtl w:val="true"/>
        </w:rPr>
        <w:t xml:space="preserve">). </w:t>
      </w:r>
      <w:r>
        <w:rPr>
          <w:shd w:fill="FFFFFF" w:val="clear"/>
          <w:rtl w:val="true"/>
        </w:rPr>
        <w:t>בתוך כך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יש ליתן משקל לצורך בניהול ההליך המשפטי בקצב מיטבי </w:t>
      </w:r>
      <w:r>
        <w:rPr>
          <w:shd w:fill="FFFFFF" w:val="clear"/>
          <w:rtl w:val="true"/>
        </w:rPr>
        <w:t>(</w:t>
      </w:r>
      <w:r>
        <w:rPr>
          <w:shd w:fill="FFFFFF" w:val="clear"/>
          <w:rtl w:val="true"/>
        </w:rPr>
        <w:t>שם</w:t>
      </w:r>
      <w:r>
        <w:rPr>
          <w:shd w:fill="FFFFFF" w:val="clear"/>
          <w:rtl w:val="true"/>
        </w:rPr>
        <w:t xml:space="preserve">). </w:t>
      </w:r>
      <w:r>
        <w:rPr>
          <w:shd w:fill="FFFFFF" w:val="clear"/>
          <w:rtl w:val="true"/>
        </w:rPr>
        <w:t>ודוק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ניהול ההליך בקצב מיטבי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ובכלל זה שמיעת ההליך והראיות באופן רציף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הם בעלי חשיבות לא רק בשל הצורך למנוע עינוי דין לנאשם שמעל ראשו מרחפת עננה כבדה כל אימת שההליך מתנהל </w:t>
      </w:r>
      <w:r>
        <w:rPr>
          <w:shd w:fill="FFFFFF" w:val="clear"/>
          <w:rtl w:val="true"/>
        </w:rPr>
        <w:t>(</w:t>
      </w:r>
      <w:r>
        <w:rPr>
          <w:shd w:fill="FFFFFF" w:val="clear"/>
          <w:rtl w:val="true"/>
        </w:rPr>
        <w:t>וראו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למשל</w:t>
      </w:r>
      <w:r>
        <w:rPr>
          <w:shd w:fill="FFFFFF" w:val="clear"/>
          <w:rtl w:val="true"/>
        </w:rPr>
        <w:t xml:space="preserve">,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1523/05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22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</w:t>
      </w:r>
      <w:r>
        <w:rPr/>
        <w:t>.</w:t>
      </w:r>
      <w:r>
        <w:rPr/>
        <w:t>3</w:t>
      </w:r>
      <w:r>
        <w:rPr/>
        <w:t>.2006</w:t>
      </w:r>
      <w:r>
        <w:rPr>
          <w:rtl w:val="true"/>
        </w:rPr>
        <w:t>)</w:t>
      </w:r>
      <w:r>
        <w:rPr>
          <w:shd w:fill="FFFFFF" w:val="clear"/>
          <w:rtl w:val="true"/>
        </w:rPr>
        <w:t xml:space="preserve">), </w:t>
      </w:r>
      <w:r>
        <w:rPr>
          <w:shd w:fill="FFFFFF" w:val="clear"/>
          <w:rtl w:val="true"/>
        </w:rPr>
        <w:t>אלא גם לאור החשש ש</w:t>
      </w:r>
      <w:r>
        <w:rPr>
          <w:shd w:fill="FFFFFF" w:val="clear"/>
          <w:rtl w:val="true"/>
        </w:rPr>
        <w:t>"</w:t>
      </w:r>
      <w:r>
        <w:rPr>
          <w:shd w:fill="FFFFFF" w:val="clear"/>
          <w:rtl w:val="true"/>
        </w:rPr>
        <w:t>גרירת</w:t>
      </w:r>
      <w:r>
        <w:rPr>
          <w:shd w:fill="FFFFFF" w:val="clear"/>
          <w:rtl w:val="true"/>
        </w:rPr>
        <w:t xml:space="preserve">" </w:t>
      </w:r>
      <w:r>
        <w:rPr>
          <w:shd w:fill="FFFFFF" w:val="clear"/>
          <w:rtl w:val="true"/>
        </w:rPr>
        <w:t>ההליך על פני פרק זמן ארוך עלולה לפגוע ב</w:t>
      </w:r>
      <w:r>
        <w:rPr>
          <w:shd w:fill="FFFFFF" w:val="clear"/>
          <w:rtl w:val="true"/>
        </w:rPr>
        <w:t>יכולתו של השופט לקבוע ממצאים על יסוד מהימנותם של העדים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ובכך לגרום לעיוות דין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188/77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ורטהיים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225</w:t>
      </w:r>
      <w:r>
        <w:rPr>
          <w:rtl w:val="true"/>
        </w:rPr>
        <w:t xml:space="preserve">, </w:t>
      </w:r>
      <w:r>
        <w:rPr/>
        <w:t>231</w:t>
      </w:r>
      <w:r>
        <w:rPr>
          <w:rtl w:val="true"/>
        </w:rPr>
        <w:t xml:space="preserve"> (</w:t>
      </w:r>
      <w:r>
        <w:rPr/>
        <w:t>1978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4865/09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פלדמן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המחוזי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9.7.2009</w:t>
      </w:r>
      <w:r>
        <w:rPr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"</w:t>
      </w:r>
      <w:r>
        <w:rPr>
          <w:rtl w:val="true"/>
        </w:rPr>
        <w:t>גרירת</w:t>
      </w:r>
      <w:r>
        <w:rPr>
          <w:rtl w:val="true"/>
        </w:rPr>
        <w:t xml:space="preserve">" </w:t>
      </w:r>
      <w:r>
        <w:rPr>
          <w:rtl w:val="true"/>
        </w:rPr>
        <w:t>ההליך מהסוג האמור</w:t>
      </w:r>
      <w:r>
        <w:rPr>
          <w:rtl w:val="true"/>
        </w:rPr>
        <w:t xml:space="preserve"> </w:t>
      </w:r>
      <w:r>
        <w:rPr>
          <w:rtl w:val="true"/>
        </w:rPr>
        <w:t>גורמת</w:t>
      </w:r>
      <w:r>
        <w:rPr>
          <w:rtl w:val="true"/>
        </w:rPr>
        <w:t xml:space="preserve"> </w:t>
      </w:r>
      <w:r>
        <w:rPr>
          <w:rtl w:val="true"/>
        </w:rPr>
        <w:t>לעינוי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לא רק לנאשמים</w:t>
      </w:r>
      <w:r>
        <w:rPr>
          <w:rtl w:val="true"/>
        </w:rPr>
        <w:t xml:space="preserve">, </w:t>
      </w:r>
      <w:r>
        <w:rPr>
          <w:rtl w:val="true"/>
        </w:rPr>
        <w:t xml:space="preserve">אלא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לנפגעי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 xml:space="preserve">ולאינטרס הציבורי </w:t>
      </w:r>
      <w:r>
        <w:rPr>
          <w:rtl w:val="true"/>
        </w:rPr>
        <w:t>(</w:t>
      </w:r>
      <w:hyperlink r:id="rId42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10259/05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3.11.2005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זכויות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נפגעי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עבירה</w:t>
        </w:r>
      </w:hyperlink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2001</w:t>
      </w:r>
      <w:r>
        <w:rPr>
          <w:rtl w:val="true"/>
        </w:rPr>
        <w:t xml:space="preserve">. </w:t>
      </w:r>
      <w:r>
        <w:rPr>
          <w:rtl w:val="true"/>
        </w:rPr>
        <w:t xml:space="preserve">להרחבה על זכויות נפגעי עבירה ראו </w:t>
      </w:r>
      <w:r>
        <w:rPr>
          <w:rtl w:val="true"/>
        </w:rPr>
        <w:t>הדר</w:t>
      </w:r>
      <w:r>
        <w:rPr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דנציג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רוזנברג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ודנה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פוגץ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"'</w:t>
        </w:r>
        <w:r>
          <w:rPr>
            <w:rStyle w:val="Hyperlink"/>
            <w:color w:val="0000FF"/>
            <w:u w:val="single"/>
            <w:rtl w:val="true"/>
          </w:rPr>
          <w:t>הדור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הבא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של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זכויות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tl w:val="true"/>
        </w:rPr>
        <w:t>נפגעי</w:t>
      </w:r>
      <w:r>
        <w:rPr>
          <w:rtl w:val="true"/>
        </w:rPr>
        <w:t xml:space="preserve"> </w:t>
      </w:r>
      <w:r>
        <w:rPr>
          <w:rtl w:val="true"/>
        </w:rPr>
        <w:t>עברה</w:t>
      </w:r>
      <w:r>
        <w:rPr>
          <w:rtl w:val="true"/>
        </w:rPr>
        <w:t xml:space="preserve">: </w:t>
      </w:r>
      <w:r>
        <w:rPr>
          <w:rtl w:val="true"/>
        </w:rPr>
        <w:t>הזכות</w:t>
      </w:r>
      <w:r>
        <w:rPr>
          <w:rtl w:val="true"/>
        </w:rPr>
        <w:t xml:space="preserve"> </w:t>
      </w:r>
      <w:r>
        <w:rPr>
          <w:rtl w:val="true"/>
        </w:rPr>
        <w:t>החוקתית</w:t>
      </w:r>
      <w:r>
        <w:rPr>
          <w:rtl w:val="true"/>
        </w:rPr>
        <w:t xml:space="preserve"> </w:t>
      </w:r>
      <w:r>
        <w:rPr>
          <w:rtl w:val="true"/>
        </w:rPr>
        <w:t>להליך</w:t>
      </w:r>
      <w:r>
        <w:rPr>
          <w:rtl w:val="true"/>
        </w:rPr>
        <w:t xml:space="preserve"> </w:t>
      </w:r>
      <w:r>
        <w:rPr>
          <w:rtl w:val="true"/>
        </w:rPr>
        <w:t>הוגן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/>
        <w:t>549</w:t>
      </w:r>
      <w:r>
        <w:rPr>
          <w:rtl w:val="true"/>
        </w:rPr>
        <w:t xml:space="preserve"> (</w:t>
      </w:r>
      <w:r>
        <w:rPr/>
        <w:t>2015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בשל הרצון למנוע עינוי דין גם לנפגעי העבירה</w:t>
      </w:r>
      <w:r>
        <w:rPr>
          <w:rtl w:val="true"/>
        </w:rPr>
        <w:t xml:space="preserve">, </w:t>
      </w:r>
      <w:r>
        <w:rPr>
          <w:rtl w:val="true"/>
        </w:rPr>
        <w:t>אשר פעמים רבות כרוך בקושי נפשי שבהמתנה למועד מתן העדות מצדם</w:t>
      </w:r>
      <w:r>
        <w:rPr>
          <w:rtl w:val="true"/>
        </w:rPr>
        <w:t xml:space="preserve">, </w:t>
      </w:r>
      <w:r>
        <w:rPr>
          <w:rtl w:val="true"/>
        </w:rPr>
        <w:t>נקבע כי יש לסיים את שמיעת עדותם בתיק עבירות מין במועד המוקדם ביותר האפשרי</w:t>
      </w:r>
      <w:r>
        <w:rPr>
          <w:rtl w:val="true"/>
        </w:rPr>
        <w:t xml:space="preserve">, </w:t>
      </w:r>
      <w:r>
        <w:rPr>
          <w:rtl w:val="true"/>
        </w:rPr>
        <w:t xml:space="preserve">תוך שמירה על זכויות הנאשם וניהול הליך הוגן </w:t>
      </w:r>
      <w:r>
        <w:rPr>
          <w:rtl w:val="true"/>
        </w:rPr>
        <w:t>(</w:t>
      </w:r>
      <w:r>
        <w:rPr>
          <w:rtl w:val="true"/>
        </w:rPr>
        <w:t xml:space="preserve">נוהל נשיאת בית המשפט העליון </w:t>
      </w:r>
      <w:r>
        <w:rPr/>
        <w:t>21-1</w:t>
      </w:r>
      <w:r>
        <w:rPr>
          <w:rtl w:val="true"/>
        </w:rPr>
        <w:t xml:space="preserve"> "</w:t>
      </w:r>
      <w:r>
        <w:rPr>
          <w:rtl w:val="true"/>
        </w:rPr>
        <w:t>העדת נפגעי עבירות מין בבתי המשפט</w:t>
      </w:r>
      <w:r>
        <w:rPr>
          <w:rtl w:val="true"/>
        </w:rPr>
        <w:t>" (</w:t>
      </w:r>
      <w:r>
        <w:rPr/>
        <w:t>20.1.2021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שבוע ימים לפני מועד הדיון שנקבע להמשך חקירתה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20.3.2019</w:t>
      </w:r>
      <w:r>
        <w:rPr>
          <w:rtl w:val="true"/>
        </w:rPr>
        <w:t xml:space="preserve">, </w:t>
      </w:r>
      <w:r>
        <w:rPr>
          <w:rtl w:val="true"/>
        </w:rPr>
        <w:t>הודיעו הסניגורים הפרטיים לבית המשפט כי לא יוכלו להמשיך בייצוג המערער</w:t>
      </w:r>
      <w:r>
        <w:rPr>
          <w:rtl w:val="true"/>
        </w:rPr>
        <w:t xml:space="preserve">, </w:t>
      </w:r>
      <w:r>
        <w:rPr>
          <w:rtl w:val="true"/>
        </w:rPr>
        <w:t>לאור חילוקי הדעות שנתגלעו בינם לבינו</w:t>
      </w:r>
      <w:r>
        <w:rPr>
          <w:rtl w:val="true"/>
        </w:rPr>
        <w:t xml:space="preserve">, </w:t>
      </w:r>
      <w:r>
        <w:rPr>
          <w:rtl w:val="true"/>
        </w:rPr>
        <w:t>אשר הובילו אף להצהרתו של המערער כי הוא אינו נותן בהם אמון יות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עוד באותו היום נקבע דיון בבקשה</w:t>
      </w:r>
      <w:r>
        <w:rPr>
          <w:rtl w:val="true"/>
        </w:rPr>
        <w:t xml:space="preserve">, </w:t>
      </w:r>
      <w:r>
        <w:rPr>
          <w:rtl w:val="true"/>
        </w:rPr>
        <w:t>ולאחר ששמעו את הערות בית המשפט</w:t>
      </w:r>
      <w:r>
        <w:rPr>
          <w:rtl w:val="true"/>
        </w:rPr>
        <w:t xml:space="preserve">, </w:t>
      </w:r>
      <w:r>
        <w:rPr>
          <w:rtl w:val="true"/>
        </w:rPr>
        <w:t>הסניגורים הביעו את הסכמתם לכך שחקירתה הבאה של המתלוננת תתקיים כסדרה</w:t>
      </w:r>
      <w:r>
        <w:rPr>
          <w:rtl w:val="true"/>
        </w:rPr>
        <w:t xml:space="preserve">, </w:t>
      </w:r>
      <w:r>
        <w:rPr>
          <w:rtl w:val="true"/>
        </w:rPr>
        <w:t>תוך שביקשו כי הסניגוריה הציבורית תיערך בדחיפות לישיבת ההוכחות שהייתה קבועה לאחר מכן</w:t>
      </w:r>
      <w:r>
        <w:rPr>
          <w:rtl w:val="true"/>
        </w:rPr>
        <w:t xml:space="preserve">. </w:t>
      </w:r>
      <w:r>
        <w:rPr>
          <w:rtl w:val="true"/>
        </w:rPr>
        <w:t>בעקבות זאת</w:t>
      </w:r>
      <w:r>
        <w:rPr>
          <w:rtl w:val="true"/>
        </w:rPr>
        <w:t xml:space="preserve">, </w:t>
      </w:r>
      <w:r>
        <w:rPr>
          <w:rtl w:val="true"/>
        </w:rPr>
        <w:t>קבע בית משפט קמא כי הסניגורים הפרטיים לא ישוחררו מייצוג בשלב זה וכי הסניגוריה הציבורית תפעל למינוי סניגור מטעמה החל מישיבת ההוכחות הבאה</w:t>
      </w:r>
      <w:r>
        <w:rPr>
          <w:rtl w:val="true"/>
        </w:rPr>
        <w:t xml:space="preserve">, </w:t>
      </w:r>
      <w:r>
        <w:rPr>
          <w:rtl w:val="true"/>
        </w:rPr>
        <w:t>שתתקיים לאחר חקירת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8.4.2019</w:t>
      </w:r>
      <w:r>
        <w:rPr>
          <w:rtl w:val="true"/>
        </w:rPr>
        <w:t xml:space="preserve">. </w:t>
      </w:r>
      <w:r>
        <w:rPr>
          <w:rtl w:val="true"/>
        </w:rPr>
        <w:t xml:space="preserve">עוד נקבע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לכשימונה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סניגור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לייצג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בישיבות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שנקבעו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לשחרור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מייצוג</w:t>
      </w:r>
      <w:r>
        <w:rPr>
          <w:rtl w:val="true"/>
        </w:rPr>
        <w:t xml:space="preserve">". </w:t>
      </w:r>
      <w:r>
        <w:rPr>
          <w:rtl w:val="true"/>
        </w:rPr>
        <w:t>אני סבור כי החלטה זו סבירה בנסיבות דנן</w:t>
      </w:r>
      <w:r>
        <w:rPr>
          <w:rtl w:val="true"/>
        </w:rPr>
        <w:t xml:space="preserve">, </w:t>
      </w:r>
      <w:r>
        <w:rPr>
          <w:rtl w:val="true"/>
        </w:rPr>
        <w:t>במיוחד לנוכח סד הזמנים שנקבע לחקירת המתלוננת והצורך בקיומה באופן רציף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כפי שיפורט להלן</w:t>
      </w:r>
      <w:r>
        <w:rPr>
          <w:rtl w:val="true"/>
        </w:rPr>
        <w:t xml:space="preserve">, </w:t>
      </w:r>
      <w:r>
        <w:rPr>
          <w:rtl w:val="true"/>
        </w:rPr>
        <w:t>דווקא השתלשלות העניינים לאחריה היא שטעונה התייחסות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משמונה על ידי הסניגוריה הציבורית מייצג חלופי שיבוא תחת הסניגורים הפרטיים </w:t>
      </w:r>
      <w:r>
        <w:rPr>
          <w:rtl w:val="true"/>
        </w:rPr>
        <w:t>–</w:t>
      </w:r>
      <w:r>
        <w:rPr>
          <w:rtl w:val="true"/>
        </w:rPr>
        <w:t xml:space="preserve"> עו</w:t>
      </w:r>
      <w:r>
        <w:rPr>
          <w:rtl w:val="true"/>
        </w:rPr>
        <w:t>"</w:t>
      </w:r>
      <w:r>
        <w:rPr>
          <w:rtl w:val="true"/>
        </w:rPr>
        <w:t>ד פצ</w:t>
      </w:r>
      <w:r>
        <w:rPr>
          <w:rtl w:val="true"/>
        </w:rPr>
        <w:t>'</w:t>
      </w:r>
      <w:r>
        <w:rPr>
          <w:rtl w:val="true"/>
        </w:rPr>
        <w:t xml:space="preserve">בסקי </w:t>
      </w:r>
      <w:r>
        <w:rPr>
          <w:rtl w:val="true"/>
        </w:rPr>
        <w:t>–</w:t>
      </w:r>
      <w:r>
        <w:rPr>
          <w:rtl w:val="true"/>
        </w:rPr>
        <w:t xml:space="preserve"> הודיע הלה לבית המשפט ביום </w:t>
      </w:r>
      <w:r>
        <w:rPr/>
        <w:t>31.3.2019</w:t>
      </w:r>
      <w:r>
        <w:rPr>
          <w:rtl w:val="true"/>
        </w:rPr>
        <w:t xml:space="preserve"> </w:t>
      </w:r>
      <w:r>
        <w:rPr>
          <w:rtl w:val="true"/>
        </w:rPr>
        <w:t>כי חומר החקירה הובא לעיונו אך באותו היום ממש</w:t>
      </w:r>
      <w:r>
        <w:rPr>
          <w:rtl w:val="true"/>
        </w:rPr>
        <w:t xml:space="preserve">, </w:t>
      </w:r>
      <w:r>
        <w:rPr>
          <w:rtl w:val="true"/>
        </w:rPr>
        <w:t xml:space="preserve">ועל כן הוא סבור כי לא יהיה באפשרותו להיערך לדיון ההוכחות שהיה קבוע ליום </w:t>
      </w:r>
      <w:r>
        <w:rPr/>
        <w:t>8.4.2019</w:t>
      </w:r>
      <w:r>
        <w:rPr>
          <w:rtl w:val="true"/>
        </w:rPr>
        <w:t xml:space="preserve">. </w:t>
      </w:r>
      <w:r>
        <w:rPr>
          <w:rtl w:val="true"/>
        </w:rPr>
        <w:t>לפיכך ביקש שדיון זה יידחה</w:t>
      </w:r>
      <w:r>
        <w:rPr>
          <w:rtl w:val="true"/>
        </w:rPr>
        <w:t xml:space="preserve">. </w:t>
      </w:r>
      <w:r>
        <w:rPr>
          <w:rtl w:val="true"/>
        </w:rPr>
        <w:t>המדינה התנגדה לבקשה</w:t>
      </w:r>
      <w:r>
        <w:rPr>
          <w:rtl w:val="true"/>
        </w:rPr>
        <w:t xml:space="preserve">, </w:t>
      </w:r>
      <w:r>
        <w:rPr>
          <w:rtl w:val="true"/>
        </w:rPr>
        <w:t>ועמדה על כך שדיון ההוכחות יתקיים כסדרו</w:t>
      </w:r>
      <w:r>
        <w:rPr>
          <w:rtl w:val="true"/>
        </w:rPr>
        <w:t xml:space="preserve">, </w:t>
      </w:r>
      <w:r>
        <w:rPr>
          <w:rtl w:val="true"/>
        </w:rPr>
        <w:t>תוך שציינה כי לאור הודעתו של עו</w:t>
      </w:r>
      <w:r>
        <w:rPr>
          <w:rtl w:val="true"/>
        </w:rPr>
        <w:t>"</w:t>
      </w:r>
      <w:r>
        <w:rPr>
          <w:rtl w:val="true"/>
        </w:rPr>
        <w:t>ד פצ</w:t>
      </w:r>
      <w:r>
        <w:rPr>
          <w:rtl w:val="true"/>
        </w:rPr>
        <w:t>'</w:t>
      </w:r>
      <w:r>
        <w:rPr>
          <w:rtl w:val="true"/>
        </w:rPr>
        <w:t>בסקי</w:t>
      </w:r>
      <w:r>
        <w:rPr>
          <w:rtl w:val="true"/>
        </w:rPr>
        <w:t xml:space="preserve">, </w:t>
      </w:r>
      <w:r>
        <w:rPr>
          <w:rtl w:val="true"/>
        </w:rPr>
        <w:t>בית המשפט מתבקש שלא לשחרר את הסניגורים הפרטיים מייצוג בשלב זה</w:t>
      </w:r>
      <w:r>
        <w:rPr>
          <w:rtl w:val="true"/>
        </w:rPr>
        <w:t xml:space="preserve">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 xml:space="preserve">ד נטלי אוטן </w:t>
      </w:r>
      <w:r>
        <w:rPr>
          <w:rtl w:val="true"/>
        </w:rPr>
        <w:t>–</w:t>
      </w:r>
      <w:r>
        <w:rPr>
          <w:rtl w:val="true"/>
        </w:rPr>
        <w:t xml:space="preserve"> אחת מהסניגורים הפרטיים </w:t>
      </w:r>
      <w:r>
        <w:rPr>
          <w:rtl w:val="true"/>
        </w:rPr>
        <w:t>–</w:t>
      </w:r>
      <w:r>
        <w:rPr>
          <w:rtl w:val="true"/>
        </w:rPr>
        <w:t xml:space="preserve"> הגיבה כי מאחר שהמתלוננת השלימה את עדותה ביום </w:t>
      </w:r>
      <w:r>
        <w:rPr/>
        <w:t>27.3.2019</w:t>
      </w:r>
      <w:r>
        <w:rPr>
          <w:rtl w:val="true"/>
        </w:rPr>
        <w:t xml:space="preserve">, </w:t>
      </w:r>
      <w:r>
        <w:rPr>
          <w:rtl w:val="true"/>
        </w:rPr>
        <w:t>אין כל חשש מדחיית דיון ההוכחות שנקבע</w:t>
      </w:r>
      <w:r>
        <w:rPr>
          <w:rtl w:val="true"/>
        </w:rPr>
        <w:t xml:space="preserve">, </w:t>
      </w:r>
      <w:r>
        <w:rPr>
          <w:rtl w:val="true"/>
        </w:rPr>
        <w:t xml:space="preserve">והבהירה כי היא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להמשיך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לחקור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מעוניין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בהמשך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ייצוגה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לתגובתה מיום </w:t>
      </w:r>
      <w:r>
        <w:rPr/>
        <w:t>1.4.2019</w:t>
      </w:r>
      <w:r>
        <w:rPr>
          <w:rtl w:val="true"/>
        </w:rPr>
        <w:t xml:space="preserve">). </w:t>
      </w:r>
      <w:r>
        <w:rPr>
          <w:rtl w:val="true"/>
        </w:rPr>
        <w:t>חרף האמור</w:t>
      </w:r>
      <w:r>
        <w:rPr>
          <w:rtl w:val="true"/>
        </w:rPr>
        <w:t xml:space="preserve">, </w:t>
      </w:r>
      <w:r>
        <w:rPr>
          <w:rtl w:val="true"/>
        </w:rPr>
        <w:t>בית משפט קמא קבע כי דיון ההוכחות יתקיים במועדו</w:t>
      </w:r>
      <w:r>
        <w:rPr>
          <w:rtl w:val="true"/>
        </w:rPr>
        <w:t xml:space="preserve">, </w:t>
      </w:r>
      <w:r>
        <w:rPr>
          <w:rtl w:val="true"/>
        </w:rPr>
        <w:t>וכי על עו</w:t>
      </w:r>
      <w:r>
        <w:rPr>
          <w:rtl w:val="true"/>
        </w:rPr>
        <w:t>"</w:t>
      </w:r>
      <w:r>
        <w:rPr>
          <w:rtl w:val="true"/>
        </w:rPr>
        <w:t>ד פצ</w:t>
      </w:r>
      <w:r>
        <w:rPr>
          <w:rtl w:val="true"/>
        </w:rPr>
        <w:t>'</w:t>
      </w:r>
      <w:r>
        <w:rPr>
          <w:rtl w:val="true"/>
        </w:rPr>
        <w:t>בסקי לעשות כל מאמץ להיערך אליו</w:t>
      </w:r>
      <w:r>
        <w:rPr>
          <w:rtl w:val="true"/>
        </w:rPr>
        <w:t xml:space="preserve">, </w:t>
      </w:r>
      <w:r>
        <w:rPr>
          <w:rtl w:val="true"/>
        </w:rPr>
        <w:t xml:space="preserve">ובמקרה שלא יעלה בידו לעשות כן </w:t>
      </w:r>
      <w:r>
        <w:rPr>
          <w:rtl w:val="true"/>
        </w:rPr>
        <w:t>–</w:t>
      </w:r>
      <w:r>
        <w:rPr>
          <w:rtl w:val="true"/>
        </w:rPr>
        <w:t xml:space="preserve"> ייצגו את המערער הסניגורים הפרטיים תחתיו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בסופו של דבר הסניגורים הפרטיים הם שייצגו את המערער גם בדיון זה</w:t>
      </w:r>
      <w:r>
        <w:rPr>
          <w:rtl w:val="true"/>
        </w:rPr>
        <w:t xml:space="preserve">, </w:t>
      </w:r>
      <w:r>
        <w:rPr>
          <w:rtl w:val="true"/>
        </w:rPr>
        <w:t>משהודיע עו</w:t>
      </w:r>
      <w:r>
        <w:rPr>
          <w:rtl w:val="true"/>
        </w:rPr>
        <w:t>"</w:t>
      </w:r>
      <w:r>
        <w:rPr>
          <w:rtl w:val="true"/>
        </w:rPr>
        <w:t>ד פצ</w:t>
      </w:r>
      <w:r>
        <w:rPr>
          <w:rtl w:val="true"/>
        </w:rPr>
        <w:t>'</w:t>
      </w:r>
      <w:r>
        <w:rPr>
          <w:rtl w:val="true"/>
        </w:rPr>
        <w:t>בסקי כי לא יוכל להיערך לדיון בסד הזמנים הקיים</w:t>
      </w:r>
      <w:r>
        <w:rPr>
          <w:rtl w:val="true"/>
        </w:rPr>
        <w:t xml:space="preserve">. </w:t>
      </w:r>
      <w:r>
        <w:rPr>
          <w:rtl w:val="true"/>
        </w:rPr>
        <w:t>דעתי היא כי דווקא בהחלטה זו של בית 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ולא בהחלטה מיום </w:t>
      </w:r>
      <w:r>
        <w:rPr/>
        <w:t>20.3.2019</w:t>
      </w:r>
      <w:r>
        <w:rPr>
          <w:rtl w:val="true"/>
        </w:rPr>
        <w:t xml:space="preserve">, </w:t>
      </w:r>
      <w:r>
        <w:rPr>
          <w:rtl w:val="true"/>
        </w:rPr>
        <w:t>נפל פגם אשר פגע בזכותו של המערער לייצוג</w:t>
      </w:r>
      <w:r>
        <w:rPr>
          <w:rtl w:val="true"/>
        </w:rPr>
        <w:t xml:space="preserve">, </w:t>
      </w:r>
      <w:r>
        <w:rPr>
          <w:rtl w:val="true"/>
        </w:rPr>
        <w:t>ואשר ניתן היה למנוע אותו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המשך הפקדת הייצוג המשפטי של המערער בידי הסניגורים הפרטיים</w:t>
      </w:r>
      <w:r>
        <w:rPr>
          <w:rtl w:val="true"/>
        </w:rPr>
        <w:t xml:space="preserve">, </w:t>
      </w:r>
      <w:r>
        <w:rPr>
          <w:rtl w:val="true"/>
        </w:rPr>
        <w:t>שעה שהם מצהירים כי אינם יכולים להמשיך לייצגו</w:t>
      </w:r>
      <w:r>
        <w:rPr>
          <w:rtl w:val="true"/>
        </w:rPr>
        <w:t xml:space="preserve">, </w:t>
      </w:r>
      <w:r>
        <w:rPr>
          <w:rtl w:val="true"/>
        </w:rPr>
        <w:t>וכאשר הוא מצהיר שהוא לא נותן בהם אמון</w:t>
      </w:r>
      <w:r>
        <w:rPr>
          <w:rtl w:val="true"/>
        </w:rPr>
        <w:t xml:space="preserve">, </w:t>
      </w:r>
      <w:r>
        <w:rPr>
          <w:rtl w:val="true"/>
        </w:rPr>
        <w:t>היא בעייתית כשלעצמה</w:t>
      </w:r>
      <w:r>
        <w:rPr>
          <w:rtl w:val="true"/>
        </w:rPr>
        <w:t xml:space="preserve">, </w:t>
      </w:r>
      <w:r>
        <w:rPr>
          <w:rtl w:val="true"/>
        </w:rPr>
        <w:t xml:space="preserve">וככלל </w:t>
      </w:r>
      <w:r>
        <w:rPr>
          <w:rtl w:val="true"/>
        </w:rPr>
        <w:t>–</w:t>
      </w:r>
      <w:r>
        <w:rPr>
          <w:rtl w:val="true"/>
        </w:rPr>
        <w:t xml:space="preserve"> יש לנסות להימנע ככל הניתן ממצב דברים זה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20.3.2019</w:t>
      </w:r>
      <w:r>
        <w:rPr>
          <w:rtl w:val="true"/>
        </w:rPr>
        <w:t xml:space="preserve"> </w:t>
      </w:r>
      <w:r>
        <w:rPr>
          <w:rtl w:val="true"/>
        </w:rPr>
        <w:t>טרם אותר סניגור אחר שיבוא תחת הסניגורים הפרטיים</w:t>
      </w:r>
      <w:r>
        <w:rPr>
          <w:rtl w:val="true"/>
        </w:rPr>
        <w:t xml:space="preserve">, </w:t>
      </w:r>
      <w:r>
        <w:rPr>
          <w:rtl w:val="true"/>
        </w:rPr>
        <w:t>ועל כן שחרורם מייצוג בשלב זה</w:t>
      </w:r>
      <w:r>
        <w:rPr>
          <w:rtl w:val="true"/>
        </w:rPr>
        <w:t xml:space="preserve">, </w:t>
      </w:r>
      <w:r>
        <w:rPr>
          <w:rtl w:val="true"/>
        </w:rPr>
        <w:t>משמעה</w:t>
      </w:r>
      <w:r>
        <w:rPr>
          <w:rtl w:val="true"/>
        </w:rPr>
        <w:t xml:space="preserve">, </w:t>
      </w:r>
      <w:r>
        <w:rPr>
          <w:rtl w:val="true"/>
        </w:rPr>
        <w:t>הלכה למעשה</w:t>
      </w:r>
      <w:r>
        <w:rPr>
          <w:rtl w:val="true"/>
        </w:rPr>
        <w:t xml:space="preserve">, </w:t>
      </w:r>
      <w:r>
        <w:rPr>
          <w:rtl w:val="true"/>
        </w:rPr>
        <w:t xml:space="preserve">דחיית חקירתה של המתלוננת </w:t>
      </w:r>
      <w:r>
        <w:rPr>
          <w:rtl w:val="true"/>
        </w:rPr>
        <w:t>(</w:t>
      </w:r>
      <w:r>
        <w:rPr>
          <w:rtl w:val="true"/>
        </w:rPr>
        <w:t>אשר הייתה בעיצומה</w:t>
      </w:r>
      <w:r>
        <w:rPr>
          <w:rtl w:val="true"/>
        </w:rPr>
        <w:t xml:space="preserve">) </w:t>
      </w:r>
      <w:r>
        <w:rPr>
          <w:rtl w:val="true"/>
        </w:rPr>
        <w:t>בפרק זמן משמעותי</w:t>
      </w:r>
      <w:r>
        <w:rPr>
          <w:rtl w:val="true"/>
        </w:rPr>
        <w:t xml:space="preserve">, </w:t>
      </w:r>
      <w:r>
        <w:rPr>
          <w:rtl w:val="true"/>
        </w:rPr>
        <w:t xml:space="preserve">והותרת המערער ללא ייצוג כלל </w:t>
      </w:r>
      <w:r>
        <w:rPr>
          <w:rtl w:val="true"/>
        </w:rPr>
        <w:t>(</w:t>
      </w:r>
      <w:r>
        <w:rPr>
          <w:rtl w:val="true"/>
        </w:rPr>
        <w:t>גם אם באופן זמני בלבד</w:t>
      </w:r>
      <w:r>
        <w:rPr>
          <w:rtl w:val="true"/>
        </w:rPr>
        <w:t xml:space="preserve">).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משמונה למערער סניגור חדש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פצ</w:t>
      </w:r>
      <w:r>
        <w:rPr>
          <w:rtl w:val="true"/>
        </w:rPr>
        <w:t>'</w:t>
      </w:r>
      <w:r>
        <w:rPr>
          <w:rtl w:val="true"/>
        </w:rPr>
        <w:t>בסקי</w:t>
      </w:r>
      <w:r>
        <w:rPr>
          <w:rtl w:val="true"/>
        </w:rPr>
        <w:t xml:space="preserve">, </w:t>
      </w:r>
      <w:r>
        <w:rPr>
          <w:rtl w:val="true"/>
        </w:rPr>
        <w:t>ולאחר שהמתלוננת כבר השלימה את עדותה</w:t>
      </w:r>
      <w:r>
        <w:rPr>
          <w:rtl w:val="true"/>
        </w:rPr>
        <w:t xml:space="preserve">, </w:t>
      </w:r>
      <w:r>
        <w:rPr>
          <w:rtl w:val="true"/>
        </w:rPr>
        <w:t>מצב הדברים שונה</w:t>
      </w:r>
      <w:r>
        <w:rPr>
          <w:rtl w:val="true"/>
        </w:rPr>
        <w:t xml:space="preserve">. </w:t>
      </w:r>
      <w:r>
        <w:rPr>
          <w:rtl w:val="true"/>
        </w:rPr>
        <w:t xml:space="preserve">ברי כי טוב היה </w:t>
      </w:r>
      <w:r>
        <w:rPr>
          <w:rtl w:val="true"/>
        </w:rPr>
        <w:t>לוּ</w:t>
      </w:r>
      <w:r>
        <w:rPr>
          <w:rtl w:val="true"/>
        </w:rPr>
        <w:t xml:space="preserve"> עו</w:t>
      </w:r>
      <w:r>
        <w:rPr>
          <w:rtl w:val="true"/>
        </w:rPr>
        <w:t>"</w:t>
      </w:r>
      <w:r>
        <w:rPr>
          <w:rtl w:val="true"/>
        </w:rPr>
        <w:t>ד פצ</w:t>
      </w:r>
      <w:r>
        <w:rPr>
          <w:rtl w:val="true"/>
        </w:rPr>
        <w:t>'</w:t>
      </w:r>
      <w:r>
        <w:rPr>
          <w:rtl w:val="true"/>
        </w:rPr>
        <w:t>בסקי היה מספיק להיערך לדיון ההוכחות בסד הזמנים שנקבע</w:t>
      </w:r>
      <w:r>
        <w:rPr>
          <w:rtl w:val="true"/>
        </w:rPr>
        <w:t xml:space="preserve">. </w:t>
      </w:r>
      <w:r>
        <w:rPr>
          <w:rtl w:val="true"/>
        </w:rPr>
        <w:t>אך משזה הודיע</w:t>
      </w:r>
      <w:r>
        <w:rPr>
          <w:rtl w:val="true"/>
        </w:rPr>
        <w:t xml:space="preserve">, </w:t>
      </w:r>
      <w:r>
        <w:rPr>
          <w:rtl w:val="true"/>
        </w:rPr>
        <w:t>במועד המוקדם ביותר</w:t>
      </w:r>
      <w:r>
        <w:rPr>
          <w:rtl w:val="true"/>
        </w:rPr>
        <w:t xml:space="preserve">, </w:t>
      </w:r>
      <w:r>
        <w:rPr>
          <w:rtl w:val="true"/>
        </w:rPr>
        <w:t xml:space="preserve">כי לא יספיק ללמוד את התיק </w:t>
      </w:r>
      <w:r>
        <w:rPr>
          <w:rtl w:val="true"/>
        </w:rPr>
        <w:t>(</w:t>
      </w:r>
      <w:r>
        <w:rPr>
          <w:rtl w:val="true"/>
        </w:rPr>
        <w:t>ויוער</w:t>
      </w:r>
      <w:r>
        <w:rPr>
          <w:rtl w:val="true"/>
        </w:rPr>
        <w:t xml:space="preserve">, </w:t>
      </w:r>
      <w:r>
        <w:rPr>
          <w:rtl w:val="true"/>
        </w:rPr>
        <w:t>כי לרשותו עמד אך שבוע להתכונן לדיוני הוכחות בתיק פשע חמור ו</w:t>
      </w:r>
      <w:r>
        <w:rPr>
          <w:rtl w:val="true"/>
        </w:rPr>
        <w:t>-"</w:t>
      </w:r>
      <w:r>
        <w:rPr>
          <w:rtl w:val="true"/>
        </w:rPr>
        <w:t>חדש</w:t>
      </w:r>
      <w:r>
        <w:rPr>
          <w:rtl w:val="true"/>
        </w:rPr>
        <w:t xml:space="preserve">", </w:t>
      </w:r>
      <w:r>
        <w:rPr>
          <w:rtl w:val="true"/>
        </w:rPr>
        <w:t>מבחינתו</w:t>
      </w:r>
      <w:r>
        <w:rPr>
          <w:rtl w:val="true"/>
        </w:rPr>
        <w:t xml:space="preserve">), </w:t>
      </w:r>
      <w:r>
        <w:rPr>
          <w:rtl w:val="true"/>
        </w:rPr>
        <w:t>נכון היה להתחשב בנסיבות הייחודיות שנוצרו</w:t>
      </w:r>
      <w:r>
        <w:rPr>
          <w:rtl w:val="true"/>
        </w:rPr>
        <w:t xml:space="preserve">, </w:t>
      </w:r>
      <w:r>
        <w:rPr>
          <w:rtl w:val="true"/>
        </w:rPr>
        <w:t>ולדחות את מועד דיון ההוכחות שנקבע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במיוחד לאור תוצאות ההחלטה מיום </w:t>
      </w:r>
      <w:r>
        <w:rPr/>
        <w:t>20.3.2019</w:t>
      </w:r>
      <w:r>
        <w:rPr>
          <w:rtl w:val="true"/>
        </w:rPr>
        <w:t xml:space="preserve">, </w:t>
      </w:r>
      <w:r>
        <w:rPr>
          <w:rtl w:val="true"/>
        </w:rPr>
        <w:t>אשר הובילו לחקירתה השנייה של המתלוננת על ידי הסניגורים הפרטיים</w:t>
      </w:r>
      <w:r>
        <w:rPr>
          <w:rtl w:val="true"/>
        </w:rPr>
        <w:t xml:space="preserve">, </w:t>
      </w:r>
      <w:r>
        <w:rPr>
          <w:rtl w:val="true"/>
        </w:rPr>
        <w:t>חרף בקשתם להשתחרר מייצוג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ויודגש</w:t>
      </w:r>
      <w:r>
        <w:rPr>
          <w:rtl w:val="true"/>
        </w:rPr>
        <w:t xml:space="preserve">, </w:t>
      </w:r>
      <w:r>
        <w:rPr>
          <w:rtl w:val="true"/>
        </w:rPr>
        <w:t>הטעם שבאי דחיית עדותה של המתלוננת במקרה דנן</w:t>
      </w:r>
      <w:r>
        <w:rPr>
          <w:rtl w:val="true"/>
        </w:rPr>
        <w:t xml:space="preserve">, </w:t>
      </w:r>
      <w:r>
        <w:rPr>
          <w:rtl w:val="true"/>
        </w:rPr>
        <w:t xml:space="preserve">אינו זהה במשקלו לטעם </w:t>
      </w:r>
      <w:r>
        <w:rPr>
          <w:rtl w:val="true"/>
        </w:rPr>
        <w:t>–</w:t>
      </w:r>
      <w:r>
        <w:rPr>
          <w:rtl w:val="true"/>
        </w:rPr>
        <w:t xml:space="preserve"> אשר איני מקל בו ראש </w:t>
      </w:r>
      <w:r>
        <w:rPr>
          <w:rtl w:val="true"/>
        </w:rPr>
        <w:t>–</w:t>
      </w:r>
      <w:r>
        <w:rPr>
          <w:rtl w:val="true"/>
        </w:rPr>
        <w:t xml:space="preserve"> שבאי דחיית דיון ההוכחות שנקבע לאחר מכן</w:t>
      </w:r>
      <w:r>
        <w:rPr>
          <w:rtl w:val="true"/>
        </w:rPr>
        <w:t xml:space="preserve">. </w:t>
      </w:r>
      <w:r>
        <w:rPr>
          <w:rtl w:val="true"/>
        </w:rPr>
        <w:t>בעוד שבמצב הדברים הראשון מדובר היה בעדות מתלוננת קטינה</w:t>
      </w:r>
      <w:r>
        <w:rPr>
          <w:rtl w:val="true"/>
        </w:rPr>
        <w:t xml:space="preserve">, </w:t>
      </w:r>
      <w:r>
        <w:rPr>
          <w:rtl w:val="true"/>
        </w:rPr>
        <w:t>אשר נעשו מאמצים רבים לשכנעה להעיד מלכתחילה</w:t>
      </w:r>
      <w:r>
        <w:rPr>
          <w:rtl w:val="true"/>
        </w:rPr>
        <w:t xml:space="preserve">, </w:t>
      </w:r>
      <w:r>
        <w:rPr>
          <w:rtl w:val="true"/>
        </w:rPr>
        <w:t>ושהחלה כבר להעיד</w:t>
      </w:r>
      <w:r>
        <w:rPr>
          <w:rtl w:val="true"/>
        </w:rPr>
        <w:t xml:space="preserve">, </w:t>
      </w:r>
      <w:r>
        <w:rPr>
          <w:rtl w:val="true"/>
        </w:rPr>
        <w:t>כך שדחיית השלמת עדותה עלולה הייתה לפגוע בה ובאיכות עדותה</w:t>
      </w:r>
      <w:r>
        <w:rPr>
          <w:rtl w:val="true"/>
        </w:rPr>
        <w:t xml:space="preserve">; </w:t>
      </w:r>
      <w:r>
        <w:rPr>
          <w:rtl w:val="true"/>
        </w:rPr>
        <w:t>במצב הדברים השני</w:t>
      </w:r>
      <w:r>
        <w:rPr>
          <w:rtl w:val="true"/>
        </w:rPr>
        <w:t xml:space="preserve">, </w:t>
      </w:r>
      <w:r>
        <w:rPr>
          <w:rtl w:val="true"/>
        </w:rPr>
        <w:t>הנזק שצפוי היה להיגרם בדחיית דיון ההוכחות קטן יותר</w:t>
      </w:r>
      <w:r>
        <w:rPr>
          <w:rtl w:val="true"/>
        </w:rPr>
        <w:t xml:space="preserve">, </w:t>
      </w:r>
      <w:r>
        <w:rPr>
          <w:rtl w:val="true"/>
        </w:rPr>
        <w:t>ועיקרו בהארכת משך ההליך</w:t>
      </w:r>
      <w:r>
        <w:rPr>
          <w:rtl w:val="true"/>
        </w:rPr>
        <w:t xml:space="preserve">, </w:t>
      </w:r>
      <w:r>
        <w:rPr>
          <w:rtl w:val="true"/>
        </w:rPr>
        <w:t xml:space="preserve">והארכת מעצרו של המערער בהתאם </w:t>
      </w:r>
      <w:r>
        <w:rPr>
          <w:rtl w:val="true"/>
        </w:rPr>
        <w:t>(</w:t>
      </w:r>
      <w:r>
        <w:rPr>
          <w:rtl w:val="true"/>
        </w:rPr>
        <w:t>כאשר בקשת הדחייה הוגשה מטעמו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לסיכום נקודה זו</w:t>
      </w:r>
      <w:r>
        <w:rPr>
          <w:rtl w:val="true"/>
        </w:rPr>
        <w:t xml:space="preserve">, </w:t>
      </w:r>
      <w:r>
        <w:rPr>
          <w:rtl w:val="true"/>
        </w:rPr>
        <w:t xml:space="preserve">סבורני כי ההחלטה מיום </w:t>
      </w:r>
      <w:r>
        <w:rPr/>
        <w:t>20.3.2019</w:t>
      </w:r>
      <w:r>
        <w:rPr>
          <w:rtl w:val="true"/>
        </w:rPr>
        <w:t xml:space="preserve"> </w:t>
      </w:r>
      <w:r>
        <w:rPr>
          <w:rtl w:val="true"/>
        </w:rPr>
        <w:t>שלא לדחות את מועד העדת המתלוננת הייתה סבירה בנסיבות העניין</w:t>
      </w:r>
      <w:r>
        <w:rPr>
          <w:rtl w:val="true"/>
        </w:rPr>
        <w:t xml:space="preserve">, </w:t>
      </w:r>
      <w:r>
        <w:rPr>
          <w:rtl w:val="true"/>
        </w:rPr>
        <w:t>ואולם משהושלמה העדת המתלוננת</w:t>
      </w:r>
      <w:r>
        <w:rPr>
          <w:rtl w:val="true"/>
        </w:rPr>
        <w:t xml:space="preserve">, </w:t>
      </w:r>
      <w:r>
        <w:rPr>
          <w:rtl w:val="true"/>
        </w:rPr>
        <w:t>ומונה סניגור חלופי</w:t>
      </w:r>
      <w:r>
        <w:rPr>
          <w:rtl w:val="true"/>
        </w:rPr>
        <w:t xml:space="preserve">, </w:t>
      </w:r>
      <w:r>
        <w:rPr>
          <w:rtl w:val="true"/>
        </w:rPr>
        <w:t>היה מקום לדחות את המשך דיוני ההוכחות</w:t>
      </w:r>
      <w:r>
        <w:rPr>
          <w:rtl w:val="true"/>
        </w:rPr>
        <w:t xml:space="preserve">, </w:t>
      </w:r>
      <w:r>
        <w:rPr>
          <w:rtl w:val="true"/>
        </w:rPr>
        <w:t>כך שעו</w:t>
      </w:r>
      <w:r>
        <w:rPr>
          <w:rtl w:val="true"/>
        </w:rPr>
        <w:t>"</w:t>
      </w:r>
      <w:r>
        <w:rPr>
          <w:rtl w:val="true"/>
        </w:rPr>
        <w:t>ד פצ</w:t>
      </w:r>
      <w:r>
        <w:rPr>
          <w:rtl w:val="true"/>
        </w:rPr>
        <w:t>'</w:t>
      </w:r>
      <w:r>
        <w:rPr>
          <w:rtl w:val="true"/>
        </w:rPr>
        <w:t>בסקי יספיק להיערך אליו כראוי</w:t>
      </w:r>
      <w:r>
        <w:rPr>
          <w:rtl w:val="true"/>
        </w:rPr>
        <w:t xml:space="preserve">, </w:t>
      </w:r>
      <w:r>
        <w:rPr>
          <w:rtl w:val="true"/>
        </w:rPr>
        <w:t>ולשחרר בשלב זה את הסניגורים הפרטיים מייצוג 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שונים הם פני הדברים אשר להחלטה מיום </w:t>
      </w:r>
      <w:r>
        <w:rPr/>
        <w:t>18.6.2019</w:t>
      </w:r>
      <w:r>
        <w:rPr>
          <w:rtl w:val="true"/>
        </w:rPr>
        <w:t xml:space="preserve">. </w:t>
      </w:r>
      <w:r>
        <w:rPr>
          <w:rtl w:val="true"/>
        </w:rPr>
        <w:t>בנוגע להחלטה זו</w:t>
      </w:r>
      <w:r>
        <w:rPr>
          <w:rtl w:val="true"/>
        </w:rPr>
        <w:t xml:space="preserve">, </w:t>
      </w:r>
      <w:r>
        <w:rPr>
          <w:rtl w:val="true"/>
        </w:rPr>
        <w:t>אני סבור שצדק בית המשפט קמא כשדחה את בקשתו של עו</w:t>
      </w:r>
      <w:r>
        <w:rPr>
          <w:rtl w:val="true"/>
        </w:rPr>
        <w:t>"</w:t>
      </w:r>
      <w:r>
        <w:rPr>
          <w:rtl w:val="true"/>
        </w:rPr>
        <w:t>ד פצ</w:t>
      </w:r>
      <w:r>
        <w:rPr>
          <w:rtl w:val="true"/>
        </w:rPr>
        <w:t>'</w:t>
      </w:r>
      <w:r>
        <w:rPr>
          <w:rtl w:val="true"/>
        </w:rPr>
        <w:t>בסקי לזמן את המתלוננת להשלמת עדות</w:t>
      </w:r>
      <w:r>
        <w:rPr>
          <w:rtl w:val="true"/>
        </w:rPr>
        <w:t xml:space="preserve">. </w:t>
      </w:r>
      <w:r>
        <w:rPr>
          <w:rtl w:val="true"/>
        </w:rPr>
        <w:t>בית משפט קמא נדרש לבקשה לגופה</w:t>
      </w:r>
      <w:r>
        <w:rPr>
          <w:rtl w:val="true"/>
        </w:rPr>
        <w:t xml:space="preserve">, </w:t>
      </w:r>
      <w:r>
        <w:rPr>
          <w:rtl w:val="true"/>
        </w:rPr>
        <w:t>ופירט מדוע הוא אינו רואה צורך בחקירת המתלוננת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הן משום שעו</w:t>
      </w:r>
      <w:r>
        <w:rPr>
          <w:rtl w:val="true"/>
        </w:rPr>
        <w:t>"</w:t>
      </w:r>
      <w:r>
        <w:rPr>
          <w:rtl w:val="true"/>
        </w:rPr>
        <w:t>ד פצ</w:t>
      </w:r>
      <w:r>
        <w:rPr>
          <w:rtl w:val="true"/>
        </w:rPr>
        <w:t>'</w:t>
      </w:r>
      <w:r>
        <w:rPr>
          <w:rtl w:val="true"/>
        </w:rPr>
        <w:t>בסקי ביקש לחקור את המתלוננת בשאלות שהיא סיפקה להן מענה זה מכבר</w:t>
      </w:r>
      <w:r>
        <w:rPr>
          <w:rtl w:val="true"/>
        </w:rPr>
        <w:t xml:space="preserve">, </w:t>
      </w:r>
      <w:r>
        <w:rPr>
          <w:rtl w:val="true"/>
        </w:rPr>
        <w:t>והן משום ש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שמטעמיו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גרסתו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בחקירה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במשטרה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במענה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בזמן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להינתן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ומוצא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לנכון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ובהבל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לגרום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להחזרת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לדוכן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להחלטה</w:t>
      </w:r>
      <w:r>
        <w:rPr>
          <w:rtl w:val="true"/>
        </w:rPr>
        <w:t xml:space="preserve">). </w:t>
      </w:r>
      <w:r>
        <w:rPr>
          <w:rtl w:val="true"/>
        </w:rPr>
        <w:t>החלטה זו סבירה בעיניי ומאזנת כראוי בין השיקולים השונים</w:t>
      </w:r>
      <w:r>
        <w:rPr>
          <w:rtl w:val="true"/>
        </w:rPr>
        <w:t xml:space="preserve">, </w:t>
      </w:r>
      <w:r>
        <w:rPr>
          <w:rtl w:val="true"/>
        </w:rPr>
        <w:t>ובכלל זה הטעמים כבדי המשקל שפורטו לעיל שבהגנה על נפגעי עבירה בעבירות מין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איני מוצא מקום להתערב בה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המסקנה כי נפל פגם מסוים בהליך הפלילי שנוהל בבית המשפט קמא אינה מחייבת כמובן את ביטול ההליך</w:t>
      </w:r>
      <w:r>
        <w:rPr>
          <w:rtl w:val="true"/>
        </w:rPr>
        <w:t xml:space="preserve">. </w:t>
      </w:r>
      <w:r>
        <w:rPr>
          <w:rtl w:val="true"/>
        </w:rPr>
        <w:t>רק באותם מקרים בהם הפגם בו מדובר הוא פגם חמור</w:t>
      </w:r>
      <w:r>
        <w:rPr>
          <w:rtl w:val="true"/>
        </w:rPr>
        <w:t xml:space="preserve">, </w:t>
      </w:r>
      <w:r>
        <w:rPr>
          <w:rtl w:val="true"/>
        </w:rPr>
        <w:t>היורד לשורשם של דברים</w:t>
      </w:r>
      <w:r>
        <w:rPr>
          <w:rtl w:val="true"/>
        </w:rPr>
        <w:t xml:space="preserve">, </w:t>
      </w:r>
      <w:r>
        <w:rPr>
          <w:rtl w:val="true"/>
        </w:rPr>
        <w:t>במובן זה שהתרחשותו פגעה באופן ממשי ביכולתו של הנאשם להתגונן באופן ראוי</w:t>
      </w:r>
      <w:r>
        <w:rPr>
          <w:rtl w:val="true"/>
        </w:rPr>
        <w:t xml:space="preserve">, </w:t>
      </w:r>
      <w:r>
        <w:rPr>
          <w:rtl w:val="true"/>
        </w:rPr>
        <w:t xml:space="preserve">עשויה להימצא הצדקה למסקנה מחמירה זו </w:t>
      </w:r>
      <w:r>
        <w:rPr>
          <w:rtl w:val="true"/>
        </w:rPr>
        <w:t>(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6143/03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פורטל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נח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614</w:t>
      </w:r>
      <w:r>
        <w:rPr>
          <w:rtl w:val="true"/>
        </w:rPr>
        <w:t xml:space="preserve">, </w:t>
      </w:r>
      <w:r>
        <w:rPr/>
        <w:t>620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); </w:t>
      </w:r>
      <w:hyperlink r:id="rId4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8135/07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גורן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 נ</w:t>
      </w:r>
      <w:r>
        <w:rPr>
          <w:rtl w:val="true"/>
        </w:rPr>
        <w:t>"</w:t>
      </w:r>
      <w:r>
        <w:rPr>
          <w:rtl w:val="true"/>
        </w:rPr>
        <w:t xml:space="preserve">ו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11.2.2009</w:t>
      </w:r>
      <w:r>
        <w:rPr>
          <w:rtl w:val="true"/>
        </w:rPr>
        <w:t xml:space="preserve">)). </w:t>
      </w:r>
      <w:r>
        <w:rPr>
          <w:rtl w:val="true"/>
        </w:rPr>
        <w:t>כך על דרך הכלל</w:t>
      </w:r>
      <w:r>
        <w:rPr>
          <w:rtl w:val="true"/>
        </w:rPr>
        <w:t xml:space="preserve">, </w:t>
      </w:r>
      <w:r>
        <w:rPr>
          <w:rtl w:val="true"/>
        </w:rPr>
        <w:t xml:space="preserve">וכך ביתר שאת ביחס לפגם בהליך מסוג של כשל בייצוג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4883/11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מרקוביץ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FrankRuehl" w:ascii="FrankRuehl" w:hAnsi="FrankRuehl"/>
          <w:rtl w:val="true"/>
        </w:rPr>
        <w:t>,</w:t>
      </w:r>
      <w:r>
        <w:rPr>
          <w:rFonts w:cs="Miriam" w:ascii="Miriam" w:hAnsi="Miriam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פסקה </w:t>
      </w:r>
      <w:r>
        <w:rPr/>
        <w:t>33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21.3.2013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2921/13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רייטבורג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50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</w:t>
      </w:r>
      <w:r>
        <w:rPr/>
        <w:t>.</w:t>
      </w:r>
      <w:r>
        <w:rPr/>
        <w:t>1</w:t>
      </w:r>
      <w:r>
        <w:rPr/>
        <w:t>.2015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3371/17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20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</w:t>
      </w:r>
      <w:r>
        <w:rPr/>
        <w:t>.</w:t>
      </w:r>
      <w:r>
        <w:rPr/>
        <w:t>7</w:t>
      </w:r>
      <w:r>
        <w:rPr/>
        <w:t>.2018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אין זהו מצב הדברים בענייננו</w:t>
      </w:r>
      <w:r>
        <w:rPr>
          <w:rtl w:val="true"/>
        </w:rPr>
        <w:t xml:space="preserve">. </w:t>
      </w:r>
      <w:r>
        <w:rPr>
          <w:rtl w:val="true"/>
        </w:rPr>
        <w:t xml:space="preserve">הפגם שנמצא נוגע אך לאופן ניהולו של דיון הוכחות אחד </w:t>
      </w:r>
      <w:r>
        <w:rPr>
          <w:rtl w:val="true"/>
        </w:rPr>
        <w:t>(</w:t>
      </w:r>
      <w:r>
        <w:rPr>
          <w:rtl w:val="true"/>
        </w:rPr>
        <w:t xml:space="preserve">זה שהתקיים ביום </w:t>
      </w:r>
      <w:r>
        <w:rPr/>
        <w:t>8.4.2019</w:t>
      </w:r>
      <w:r>
        <w:rPr>
          <w:rtl w:val="true"/>
        </w:rPr>
        <w:t xml:space="preserve">), </w:t>
      </w:r>
      <w:r>
        <w:rPr>
          <w:rtl w:val="true"/>
        </w:rPr>
        <w:t xml:space="preserve">כאשר בדיון ההוכחות הבא </w:t>
      </w:r>
      <w:r>
        <w:rPr>
          <w:rtl w:val="true"/>
        </w:rPr>
        <w:t>(</w:t>
      </w:r>
      <w:r>
        <w:rPr>
          <w:rtl w:val="true"/>
        </w:rPr>
        <w:t xml:space="preserve">שהתקיים ביום </w:t>
      </w:r>
      <w:r>
        <w:rPr/>
        <w:t>2.7.2019</w:t>
      </w:r>
      <w:r>
        <w:rPr>
          <w:rtl w:val="true"/>
        </w:rPr>
        <w:t xml:space="preserve">), </w:t>
      </w:r>
      <w:r>
        <w:rPr>
          <w:rtl w:val="true"/>
        </w:rPr>
        <w:t>כבר היה עו</w:t>
      </w:r>
      <w:r>
        <w:rPr>
          <w:rtl w:val="true"/>
        </w:rPr>
        <w:t>"</w:t>
      </w:r>
      <w:r>
        <w:rPr>
          <w:rtl w:val="true"/>
        </w:rPr>
        <w:t>ד פצ</w:t>
      </w:r>
      <w:r>
        <w:rPr>
          <w:rtl w:val="true"/>
        </w:rPr>
        <w:t>'</w:t>
      </w:r>
      <w:r>
        <w:rPr>
          <w:rtl w:val="true"/>
        </w:rPr>
        <w:t>בסקי מוכן היטב לייצוג</w:t>
      </w:r>
      <w:r>
        <w:rPr>
          <w:rtl w:val="true"/>
        </w:rPr>
        <w:t xml:space="preserve">, </w:t>
      </w:r>
      <w:r>
        <w:rPr>
          <w:rtl w:val="true"/>
        </w:rPr>
        <w:t>וחקר כדבעי בשם המערער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 xml:space="preserve">במועד ההוכחות האמור יוצג המערער על ידי הסניגורים הפרטיים </w:t>
      </w:r>
      <w:r>
        <w:rPr>
          <w:rtl w:val="true"/>
        </w:rPr>
        <w:t>(</w:t>
      </w:r>
      <w:r>
        <w:rPr>
          <w:rtl w:val="true"/>
        </w:rPr>
        <w:t>כאשר עו</w:t>
      </w:r>
      <w:r>
        <w:rPr>
          <w:rtl w:val="true"/>
        </w:rPr>
        <w:t>"</w:t>
      </w:r>
      <w:r>
        <w:rPr>
          <w:rtl w:val="true"/>
        </w:rPr>
        <w:t>ד פצ</w:t>
      </w:r>
      <w:r>
        <w:rPr>
          <w:rtl w:val="true"/>
        </w:rPr>
        <w:t>'</w:t>
      </w:r>
      <w:r>
        <w:rPr>
          <w:rtl w:val="true"/>
        </w:rPr>
        <w:t>בסקי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נכח באולם</w:t>
      </w:r>
      <w:r>
        <w:rPr>
          <w:rtl w:val="true"/>
        </w:rPr>
        <w:t xml:space="preserve">), </w:t>
      </w:r>
      <w:r>
        <w:rPr>
          <w:rtl w:val="true"/>
        </w:rPr>
        <w:t>אשר אף חקרו את העדים השונים שהתייצבו באותו יום</w:t>
      </w:r>
      <w:r>
        <w:rPr>
          <w:rtl w:val="true"/>
        </w:rPr>
        <w:t xml:space="preserve">. </w:t>
      </w:r>
      <w:r>
        <w:rPr>
          <w:rtl w:val="true"/>
        </w:rPr>
        <w:t>כנגזר מכך</w:t>
      </w:r>
      <w:r>
        <w:rPr>
          <w:rtl w:val="true"/>
        </w:rPr>
        <w:t xml:space="preserve">, </w:t>
      </w:r>
      <w:r>
        <w:rPr>
          <w:rtl w:val="true"/>
        </w:rPr>
        <w:t>אין טענה כי כתוצאה מחקירות אלה נגרם עיוות דין של ממש למערער</w:t>
      </w:r>
      <w:r>
        <w:rPr>
          <w:rtl w:val="true"/>
        </w:rPr>
        <w:t xml:space="preserve">, </w:t>
      </w:r>
      <w:r>
        <w:rPr>
          <w:rtl w:val="true"/>
        </w:rPr>
        <w:t xml:space="preserve">והדבר אף מתיישב עם אפיון התיק כתיק של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</w:t>
      </w:r>
      <w:r>
        <w:rPr>
          <w:rtl w:val="true"/>
        </w:rPr>
        <w:t xml:space="preserve">", </w:t>
      </w:r>
      <w:r>
        <w:rPr>
          <w:rtl w:val="true"/>
        </w:rPr>
        <w:t>בהינתן שבמועד האמור לא העידו לא המתלוננת ולא המערער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גם בא</w:t>
      </w:r>
      <w:r>
        <w:rPr>
          <w:rtl w:val="true"/>
        </w:rPr>
        <w:t>-</w:t>
      </w:r>
      <w:r>
        <w:rPr>
          <w:rtl w:val="true"/>
        </w:rPr>
        <w:t>כוח המערער לא ביקש כי נשיב את התיק לבית המשפט קמא</w:t>
      </w:r>
      <w:r>
        <w:rPr>
          <w:rtl w:val="true"/>
        </w:rPr>
        <w:t xml:space="preserve">, </w:t>
      </w:r>
      <w:r>
        <w:rPr>
          <w:rtl w:val="true"/>
        </w:rPr>
        <w:t>אלא הסתפק בהצבעה על הפגמים שנפלו להבנתו לטובת התדיינויות עתידיות</w:t>
      </w:r>
      <w:r>
        <w:rPr>
          <w:rtl w:val="true"/>
        </w:rPr>
        <w:t xml:space="preserve">, </w:t>
      </w:r>
      <w:r>
        <w:rPr>
          <w:rtl w:val="true"/>
        </w:rPr>
        <w:t>ובבקשה כי יובאו בחשבון לעניין גזירת העונש</w:t>
      </w:r>
      <w:r>
        <w:rPr>
          <w:rtl w:val="true"/>
        </w:rPr>
        <w:t xml:space="preserve">. </w:t>
      </w:r>
      <w:r>
        <w:rPr>
          <w:rtl w:val="true"/>
        </w:rPr>
        <w:t>כך נעשה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מספר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להרשיע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טענתו השנייה של המערער מופנית כלפי הרשעתו בעבירה של ביצוע מעשה מגונה ובכפל עבירות אינוס</w:t>
      </w:r>
      <w:r>
        <w:rPr>
          <w:rtl w:val="true"/>
        </w:rPr>
        <w:t xml:space="preserve">, </w:t>
      </w:r>
      <w:r>
        <w:rPr>
          <w:rtl w:val="true"/>
        </w:rPr>
        <w:t>חלף עבירת אינוס אחת</w:t>
      </w:r>
      <w:r>
        <w:rPr>
          <w:rtl w:val="true"/>
        </w:rPr>
        <w:t xml:space="preserve">. </w:t>
      </w:r>
      <w:r>
        <w:rPr>
          <w:rtl w:val="true"/>
        </w:rPr>
        <w:t>אבחן טענות אלה</w:t>
      </w:r>
      <w:r>
        <w:rPr>
          <w:rtl w:val="true"/>
        </w:rPr>
        <w:t xml:space="preserve">, </w:t>
      </w:r>
      <w:r>
        <w:rPr>
          <w:rtl w:val="true"/>
        </w:rPr>
        <w:t>מהקלה אל הכבדה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ביחס למעשה המגונה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 xml:space="preserve">כי המעשים המגונים שביצע המערער במתלוננת </w:t>
      </w:r>
      <w:r>
        <w:rPr>
          <w:rtl w:val="true"/>
        </w:rPr>
        <w:t>"</w:t>
      </w:r>
      <w:r>
        <w:rPr>
          <w:rtl w:val="true"/>
        </w:rPr>
        <w:t>נבלעים</w:t>
      </w:r>
      <w:r>
        <w:rPr>
          <w:rtl w:val="true"/>
        </w:rPr>
        <w:t xml:space="preserve">" </w:t>
      </w:r>
      <w:r>
        <w:rPr>
          <w:rtl w:val="true"/>
        </w:rPr>
        <w:t>כולם בעבירת האינוס בה הורשע</w:t>
      </w:r>
      <w:r>
        <w:rPr>
          <w:rtl w:val="true"/>
        </w:rPr>
        <w:t xml:space="preserve">, </w:t>
      </w:r>
      <w:r>
        <w:rPr>
          <w:rtl w:val="true"/>
        </w:rPr>
        <w:t>ועל כן שגה בית המשפט קמא כשהרשיע אותו בשתיהן</w:t>
      </w:r>
      <w:r>
        <w:rPr>
          <w:rtl w:val="true"/>
        </w:rPr>
        <w:t xml:space="preserve">. </w:t>
      </w:r>
      <w:r>
        <w:rPr>
          <w:rtl w:val="true"/>
        </w:rPr>
        <w:t>סבורני כי בנסיבות המקרה שלפנינו</w:t>
      </w:r>
      <w:r>
        <w:rPr>
          <w:rtl w:val="true"/>
        </w:rPr>
        <w:t xml:space="preserve">, </w:t>
      </w:r>
      <w:r>
        <w:rPr>
          <w:rtl w:val="true"/>
        </w:rPr>
        <w:t>יש לקבל טענה זו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רצף של עבירות ייחשב כנטמע בעבירה הסופית</w:t>
      </w:r>
      <w:r>
        <w:rPr>
          <w:rtl w:val="true"/>
        </w:rPr>
        <w:t xml:space="preserve">, </w:t>
      </w:r>
      <w:r>
        <w:rPr>
          <w:rtl w:val="true"/>
        </w:rPr>
        <w:t>כאשר כל אחת מהעבירות שנעברו פוגעת בערך חברתי דומה או זהה</w:t>
      </w:r>
      <w:r>
        <w:rPr>
          <w:rtl w:val="true"/>
        </w:rPr>
        <w:t xml:space="preserve">, </w:t>
      </w:r>
      <w:r>
        <w:rPr>
          <w:rtl w:val="true"/>
        </w:rPr>
        <w:t>ואולם הפגיעה החריפה ביותר בערך האמור טמונה בעבירה הסופית</w:t>
      </w:r>
      <w:r>
        <w:rPr>
          <w:rtl w:val="true"/>
        </w:rPr>
        <w:t xml:space="preserve">, </w:t>
      </w:r>
      <w:r>
        <w:rPr>
          <w:rtl w:val="true"/>
        </w:rPr>
        <w:t xml:space="preserve">שהיא העבירה האחרונה או החמורה ברצף </w:t>
      </w:r>
      <w:r>
        <w:rPr>
          <w:rtl w:val="true"/>
        </w:rPr>
        <w:t>(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8573/96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מרקדו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''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נא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481</w:t>
      </w:r>
      <w:r>
        <w:rPr>
          <w:rtl w:val="true"/>
        </w:rPr>
        <w:t xml:space="preserve">, </w:t>
      </w:r>
      <w:r>
        <w:rPr/>
        <w:t>509-508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 </w:t>
      </w:r>
      <w:r>
        <w:rPr>
          <w:rtl w:val="true"/>
        </w:rPr>
        <w:t>פלר</w:t>
      </w:r>
      <w:r>
        <w:rPr>
          <w:rtl w:val="true"/>
        </w:rPr>
        <w:t xml:space="preserve"> </w:t>
      </w:r>
      <w:hyperlink r:id="rId52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יסודות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בדיני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עונשין</w:t>
        </w:r>
      </w:hyperlink>
      <w:r>
        <w:rPr>
          <w:rtl w:val="true"/>
        </w:rPr>
        <w:t xml:space="preserve"> </w:t>
      </w:r>
      <w:r>
        <w:rPr>
          <w:rtl w:val="true"/>
        </w:rPr>
        <w:t>כרך</w:t>
      </w:r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 </w:t>
      </w:r>
      <w:r>
        <w:rPr/>
        <w:t>260-258</w:t>
      </w:r>
      <w:r>
        <w:rPr>
          <w:rtl w:val="true"/>
        </w:rPr>
        <w:t xml:space="preserve"> (</w:t>
      </w:r>
      <w:r>
        <w:rPr/>
        <w:t>1992</w:t>
      </w:r>
      <w:r>
        <w:rPr>
          <w:rtl w:val="true"/>
        </w:rPr>
        <w:t>)</w:t>
      </w:r>
      <w:r>
        <w:rPr>
          <w:rtl w:val="true"/>
        </w:rPr>
        <w:t>). "</w:t>
      </w:r>
      <w:r>
        <w:rPr>
          <w:rtl w:val="true"/>
        </w:rPr>
        <w:t>היטמעות</w:t>
      </w:r>
      <w:r>
        <w:rPr>
          <w:rtl w:val="true"/>
        </w:rPr>
        <w:t xml:space="preserve">" </w:t>
      </w:r>
      <w:r>
        <w:rPr>
          <w:rtl w:val="true"/>
        </w:rPr>
        <w:t xml:space="preserve">מסוג זה מתרחשת בהכרח במקרים בהם העבירות הנטמעות הן בבחינת </w:t>
      </w:r>
      <w:r>
        <w:rPr>
          <w:rtl w:val="true"/>
        </w:rPr>
        <w:t>"</w:t>
      </w:r>
      <w:r>
        <w:rPr>
          <w:rtl w:val="true"/>
        </w:rPr>
        <w:t>הקדמה</w:t>
      </w:r>
      <w:r>
        <w:rPr>
          <w:rtl w:val="true"/>
        </w:rPr>
        <w:t xml:space="preserve">" </w:t>
      </w:r>
      <w:r>
        <w:rPr>
          <w:rtl w:val="true"/>
        </w:rPr>
        <w:t>לעבירה המאוחרת שמתבצעת</w:t>
      </w:r>
      <w:r>
        <w:rPr>
          <w:rtl w:val="true"/>
        </w:rPr>
        <w:t xml:space="preserve">, </w:t>
      </w:r>
      <w:r>
        <w:rPr>
          <w:rtl w:val="true"/>
        </w:rPr>
        <w:t>באופן שהופך אותן לחלק מהתפתחותה של העבירה המאוחרת</w:t>
      </w:r>
      <w:r>
        <w:rPr>
          <w:rtl w:val="true"/>
        </w:rPr>
        <w:t xml:space="preserve">, </w:t>
      </w:r>
      <w:r>
        <w:rPr>
          <w:rtl w:val="true"/>
        </w:rPr>
        <w:t xml:space="preserve">בגדר </w:t>
      </w:r>
      <w:r>
        <w:rPr>
          <w:rtl w:val="true"/>
        </w:rPr>
        <w:t>"</w:t>
      </w:r>
      <w:r>
        <w:rPr>
          <w:rtl w:val="true"/>
        </w:rPr>
        <w:t>עבירה במהלך התהוות מדורג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עוד ראו</w:t>
      </w:r>
      <w:r>
        <w:rPr>
          <w:rtl w:val="true"/>
        </w:rPr>
        <w:t xml:space="preserve">: 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889/15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מהרט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tl w:val="true"/>
        </w:rPr>
        <w:t xml:space="preserve"> </w:t>
      </w:r>
      <w:r>
        <w:rPr>
          <w:rtl w:val="true"/>
        </w:rPr>
        <w:t>דינה</w:t>
      </w:r>
      <w:r>
        <w:rPr>
          <w:rtl w:val="true"/>
        </w:rPr>
        <w:t xml:space="preserve">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חיות</w:t>
      </w:r>
      <w:r>
        <w:rPr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ודעתו החולקת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מזוז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</w:t>
      </w:r>
      <w:r>
        <w:rPr/>
        <w:t>5</w:t>
      </w:r>
      <w:r>
        <w:rPr/>
        <w:t>.2016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מהרט</w:t>
      </w:r>
      <w:r>
        <w:rPr>
          <w:rtl w:val="true"/>
        </w:rPr>
        <w:t xml:space="preserve">).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1900/18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ילמה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</w:t>
      </w:r>
      <w:r>
        <w:rPr/>
        <w:t>.10.2019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ברם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כאשר מדובר ב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רצף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של מעשים נפרדים שאינם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נשזרים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ונטמעים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זה בזה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במובן שהוסבר לעיל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אין מניעה להרשיע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נאשם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בעבירה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נפרדת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בגין כל אחד מהמעשים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האמורים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מהרט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 xml:space="preserve">אין חולק כי המעשים המגונים בוצעו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ובמהלך</w:t>
      </w:r>
      <w:r>
        <w:rPr>
          <w:rtl w:val="true"/>
        </w:rPr>
        <w:t xml:space="preserve"> ביצועו של המעשה השני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אין אלא לראות בהם כחלק מהתפתחותה של עבירת האינוס</w:t>
      </w:r>
      <w:r>
        <w:rPr>
          <w:rtl w:val="true"/>
        </w:rPr>
        <w:t xml:space="preserve">. </w:t>
      </w:r>
      <w:r>
        <w:rPr>
          <w:rtl w:val="true"/>
        </w:rPr>
        <w:t>זאת במיוחד לאור אופיים של המעשים</w:t>
      </w:r>
      <w:r>
        <w:rPr>
          <w:rtl w:val="true"/>
        </w:rPr>
        <w:t xml:space="preserve">, </w:t>
      </w:r>
      <w:r>
        <w:rPr>
          <w:rtl w:val="true"/>
        </w:rPr>
        <w:t>אשר מטרתם הייתה להגביר את הגירוי המיני שחש המערער</w:t>
      </w:r>
      <w:r>
        <w:rPr>
          <w:rtl w:val="true"/>
        </w:rPr>
        <w:t xml:space="preserve">, </w:t>
      </w:r>
      <w:r>
        <w:rPr>
          <w:rtl w:val="true"/>
        </w:rPr>
        <w:t>תוך כדי שהוא מבצע במתלוננת את זממו</w:t>
      </w:r>
      <w:r>
        <w:rPr>
          <w:rtl w:val="true"/>
        </w:rPr>
        <w:t xml:space="preserve">, </w:t>
      </w:r>
      <w:r>
        <w:rPr>
          <w:rtl w:val="true"/>
        </w:rPr>
        <w:t>עד שהגיע לפורקן</w:t>
      </w:r>
      <w:r>
        <w:rPr>
          <w:rtl w:val="true"/>
        </w:rPr>
        <w:t xml:space="preserve">. </w:t>
      </w: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>יש להתייחס למעשים המגונים שבוצעו כמעשים ש</w:t>
      </w:r>
      <w:r>
        <w:rPr>
          <w:rtl w:val="true"/>
        </w:rPr>
        <w:t>"</w:t>
      </w:r>
      <w:r>
        <w:rPr>
          <w:rtl w:val="true"/>
        </w:rPr>
        <w:t>נטמעו</w:t>
      </w:r>
      <w:r>
        <w:rPr>
          <w:rtl w:val="true"/>
        </w:rPr>
        <w:t xml:space="preserve">" </w:t>
      </w:r>
      <w:r>
        <w:rPr>
          <w:rtl w:val="true"/>
        </w:rPr>
        <w:t>בעבירת האינוס בה הורשע המערער</w:t>
      </w:r>
      <w:r>
        <w:rPr>
          <w:rtl w:val="true"/>
        </w:rPr>
        <w:t xml:space="preserve">, </w:t>
      </w:r>
      <w:r>
        <w:rPr>
          <w:rtl w:val="true"/>
        </w:rPr>
        <w:t>ועל כן אין מקום להרשיעו בנפרד בעבירה של מעשים מגונים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בנוגע להרשעה בגין כפל עבירות האינוס הדברים מורכבים יותר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המערער טוען לעניין זה כי המעשה הראשון והמעשה השני יצרו רצף של התנהגויות עוקבות</w:t>
      </w:r>
      <w:r>
        <w:rPr>
          <w:rtl w:val="true"/>
        </w:rPr>
        <w:t xml:space="preserve">, </w:t>
      </w:r>
      <w:r>
        <w:rPr>
          <w:rtl w:val="true"/>
        </w:rPr>
        <w:t>אשר מגבשות את אינוס המתלוננת</w:t>
      </w:r>
      <w:r>
        <w:rPr>
          <w:rtl w:val="true"/>
        </w:rPr>
        <w:t xml:space="preserve">, </w:t>
      </w:r>
      <w:r>
        <w:rPr>
          <w:rtl w:val="true"/>
        </w:rPr>
        <w:t>ועל כן אין להרשיעו בגין שתי עבירות אינוס נפרדות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ההפרדה בין המעשים במקרה דנן היא מלאכותית</w:t>
      </w:r>
      <w:r>
        <w:rPr>
          <w:rtl w:val="true"/>
        </w:rPr>
        <w:t xml:space="preserve">, </w:t>
      </w:r>
      <w:r>
        <w:rPr>
          <w:rtl w:val="true"/>
        </w:rPr>
        <w:t>ולפיכך יש להימנע ממנה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מדגישה כי מבחינה עובדתית ניתן להפריד בין המעשה הראשון לבין המעשה השני</w:t>
      </w:r>
      <w:r>
        <w:rPr>
          <w:rtl w:val="true"/>
        </w:rPr>
        <w:t xml:space="preserve">, </w:t>
      </w:r>
      <w:r>
        <w:rPr>
          <w:rtl w:val="true"/>
        </w:rPr>
        <w:t>ולפיכך סבורה שאין להתייחס אליהם כמעשה אחד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overflowPunct w:val="true"/>
        <w:autoSpaceDE w:val="true"/>
        <w:ind w:hanging="0" w:start="0" w:end="0"/>
        <w:jc w:val="both"/>
        <w:textAlignment w:val="auto"/>
        <w:rPr/>
      </w:pPr>
      <w:r>
        <w:rPr>
          <w:rtl w:val="true"/>
        </w:rPr>
        <w:t>לשיטת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מצב הדברים בו עסקינן מכונה </w:t>
      </w:r>
      <w:r>
        <w:rPr>
          <w:rtl w:val="true"/>
        </w:rPr>
        <w:t>"</w:t>
      </w:r>
      <w:r>
        <w:rPr>
          <w:rtl w:val="true"/>
        </w:rPr>
        <w:t>עבירה רבת</w:t>
      </w:r>
      <w:r>
        <w:rPr>
          <w:rtl w:val="true"/>
        </w:rPr>
        <w:t>-</w:t>
      </w:r>
      <w:r>
        <w:rPr>
          <w:rtl w:val="true"/>
        </w:rPr>
        <w:t>פריטים</w:t>
      </w:r>
      <w:r>
        <w:rPr>
          <w:rtl w:val="true"/>
        </w:rPr>
        <w:t xml:space="preserve">". </w:t>
      </w:r>
      <w:r>
        <w:rPr>
          <w:rtl w:val="true"/>
        </w:rPr>
        <w:t xml:space="preserve">הכוונה למצב דברים בו כל </w:t>
      </w:r>
      <w:r>
        <w:rPr>
          <w:rtl w:val="true"/>
        </w:rPr>
        <w:t>"</w:t>
      </w:r>
      <w:r>
        <w:rPr>
          <w:rtl w:val="true"/>
        </w:rPr>
        <w:t>פריט</w:t>
      </w:r>
      <w:r>
        <w:rPr>
          <w:rtl w:val="true"/>
        </w:rPr>
        <w:t xml:space="preserve">",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כל פעולה</w:t>
      </w:r>
      <w:r>
        <w:rPr>
          <w:rtl w:val="true"/>
        </w:rPr>
        <w:t xml:space="preserve">, </w:t>
      </w:r>
      <w:r>
        <w:rPr>
          <w:rtl w:val="true"/>
        </w:rPr>
        <w:t xml:space="preserve">עשויה לקיים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עצמה</w:t>
      </w:r>
      <w:r>
        <w:rPr>
          <w:rtl w:val="true"/>
        </w:rPr>
        <w:t xml:space="preserve"> את כל הרכיבים הנדרשים להרשעה</w:t>
      </w:r>
      <w:r>
        <w:rPr>
          <w:rtl w:val="true"/>
        </w:rPr>
        <w:t xml:space="preserve">, </w:t>
      </w:r>
      <w:r>
        <w:rPr>
          <w:rtl w:val="true"/>
        </w:rPr>
        <w:t>ואולם בהינתן היות הפריטים חלק ממהלך אחד</w:t>
      </w:r>
      <w:r>
        <w:rPr>
          <w:rtl w:val="true"/>
        </w:rPr>
        <w:t xml:space="preserve">, </w:t>
      </w:r>
      <w:r>
        <w:rPr>
          <w:rtl w:val="true"/>
        </w:rPr>
        <w:t xml:space="preserve">אין הצדקה לפצל את האירוע העברייני השלם לפרטיו </w:t>
      </w:r>
      <w:r>
        <w:rPr>
          <w:rtl w:val="true"/>
        </w:rPr>
        <w:t>(</w:t>
      </w:r>
      <w:r>
        <w:rPr>
          <w:rtl w:val="true"/>
        </w:rPr>
        <w:t xml:space="preserve">על המאפיינים של </w:t>
      </w:r>
      <w:r>
        <w:rPr>
          <w:rtl w:val="true"/>
        </w:rPr>
        <w:t>"</w:t>
      </w:r>
      <w:r>
        <w:rPr>
          <w:rtl w:val="true"/>
        </w:rPr>
        <w:t>עבירה רבת</w:t>
      </w:r>
      <w:r>
        <w:rPr>
          <w:rtl w:val="true"/>
        </w:rPr>
        <w:t>-</w:t>
      </w:r>
      <w:r>
        <w:rPr>
          <w:rtl w:val="true"/>
        </w:rPr>
        <w:t>פריטים</w:t>
      </w:r>
      <w:r>
        <w:rPr>
          <w:rtl w:val="true"/>
        </w:rPr>
        <w:t xml:space="preserve">", </w:t>
      </w:r>
      <w:r>
        <w:rPr>
          <w:rtl w:val="true"/>
        </w:rPr>
        <w:t xml:space="preserve">והשוני בינה לבין </w:t>
      </w:r>
      <w:r>
        <w:rPr>
          <w:rtl w:val="true"/>
        </w:rPr>
        <w:t>"</w:t>
      </w:r>
      <w:r>
        <w:rPr>
          <w:rtl w:val="true"/>
        </w:rPr>
        <w:t>עבירת שרשרת</w:t>
      </w:r>
      <w:r>
        <w:rPr>
          <w:rtl w:val="true"/>
        </w:rPr>
        <w:t xml:space="preserve">", </w:t>
      </w:r>
      <w:r>
        <w:rPr>
          <w:rtl w:val="true"/>
        </w:rPr>
        <w:t xml:space="preserve">עמד בהרחבה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אהרן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ברק</w:t>
      </w:r>
      <w:r>
        <w:rPr>
          <w:rtl w:val="true"/>
        </w:rPr>
        <w:t xml:space="preserve"> ב</w:t>
      </w:r>
      <w:hyperlink r:id="rId55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4603/97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נא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160</w:t>
      </w:r>
      <w:r>
        <w:rPr>
          <w:rtl w:val="true"/>
        </w:rPr>
        <w:t xml:space="preserve">, </w:t>
      </w:r>
      <w:r>
        <w:rPr/>
        <w:t>188-183</w:t>
      </w:r>
      <w:r>
        <w:rPr>
          <w:rtl w:val="true"/>
        </w:rPr>
        <w:t xml:space="preserve"> (</w:t>
      </w:r>
      <w:r>
        <w:rPr/>
        <w:t>1998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משולם</w:t>
      </w:r>
      <w:r>
        <w:rPr>
          <w:rtl w:val="true"/>
        </w:rPr>
        <w:t xml:space="preserve">); </w:t>
      </w:r>
      <w:r>
        <w:rPr>
          <w:rtl w:val="true"/>
        </w:rPr>
        <w:t xml:space="preserve">וראו גם 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גולד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פסקה </w:t>
      </w:r>
      <w:r>
        <w:rPr/>
        <w:t>28</w:t>
      </w:r>
      <w:r>
        <w:rPr>
          <w:rtl w:val="true"/>
        </w:rPr>
        <w:t xml:space="preserve">). </w:t>
      </w:r>
      <w:r>
        <w:rPr>
          <w:rtl w:val="true"/>
        </w:rPr>
        <w:t>וכך מדגים פרופ</w:t>
      </w:r>
      <w:r>
        <w:rPr>
          <w:rtl w:val="true"/>
        </w:rPr>
        <w:t xml:space="preserve">'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ז פלר קטגוריית מצבים זו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התוקף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תקיפות</w:t>
      </w:r>
      <w:r>
        <w:rPr>
          <w:rtl w:val="true"/>
        </w:rPr>
        <w:t xml:space="preserve">;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הגונב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נטילות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נשיאות</w:t>
      </w:r>
      <w:r>
        <w:rPr>
          <w:rtl w:val="true"/>
        </w:rPr>
        <w:t>" "</w:t>
      </w:r>
      <w:r>
        <w:rPr>
          <w:rtl w:val="true"/>
        </w:rPr>
        <w:t>כמה</w:t>
      </w:r>
      <w:r>
        <w:rPr>
          <w:rtl w:val="true"/>
        </w:rPr>
        <w:t xml:space="preserve">" </w:t>
      </w:r>
      <w:r>
        <w:rPr>
          <w:rtl w:val="true"/>
        </w:rPr>
        <w:t>ספרים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ספרים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גניבות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שבהגדרת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דבר</w:t>
      </w:r>
      <w:r>
        <w:rPr>
          <w:rtl w:val="true"/>
        </w:rPr>
        <w:t xml:space="preserve">" </w:t>
      </w:r>
      <w:r>
        <w:rPr>
          <w:rtl w:val="true"/>
        </w:rPr>
        <w:t>ביחיד</w:t>
      </w:r>
      <w:r>
        <w:rPr>
          <w:rtl w:val="true"/>
        </w:rPr>
        <w:t xml:space="preserve">, </w:t>
      </w:r>
      <w:r>
        <w:rPr>
          <w:rtl w:val="true"/>
        </w:rPr>
        <w:t>וכנראה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נטילה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נשיאה</w:t>
      </w:r>
      <w:r>
        <w:rPr>
          <w:rtl w:val="true"/>
        </w:rPr>
        <w:t xml:space="preserve">"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ביחיד</w:t>
      </w:r>
      <w:r>
        <w:rPr>
          <w:rtl w:val="true"/>
        </w:rPr>
        <w:t xml:space="preserve">. </w:t>
      </w:r>
      <w:r>
        <w:rPr>
          <w:rtl w:val="true"/>
        </w:rPr>
        <w:t>יחידו</w:t>
      </w:r>
      <w:r>
        <w:rPr>
          <w:rFonts w:ascii="FrankRuehl" w:hAnsi="FrankRuehl"/>
          <w:rtl w:val="true"/>
        </w:rPr>
        <w:t>ּ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הפריטים</w:t>
      </w:r>
      <w:r>
        <w:rPr>
          <w:rtl w:val="true"/>
        </w:rPr>
        <w:t>... 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עבירת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השרשרת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מהותה</w:t>
      </w:r>
      <w:r>
        <w:rPr>
          <w:rFonts w:cs="Century" w:ascii="Century" w:hAnsi="Century"/>
          <w:rtl w:val="true"/>
        </w:rPr>
        <w:t>"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כט</w:t>
      </w:r>
      <w:r>
        <w:rPr>
          <w:rFonts w:eastAsia="Arial TUR;Arial" w:cs="Arial TUR;Arial"/>
          <w:rtl w:val="true"/>
        </w:rPr>
        <w:t xml:space="preserve"> </w:t>
      </w:r>
      <w:r>
        <w:rPr/>
        <w:t>529</w:t>
      </w:r>
      <w:r>
        <w:rPr>
          <w:rtl w:val="true"/>
        </w:rPr>
        <w:t xml:space="preserve">, </w:t>
      </w:r>
      <w:r>
        <w:rPr/>
        <w:t>539</w:t>
      </w:r>
      <w:r>
        <w:rPr>
          <w:rtl w:val="true"/>
        </w:rPr>
        <w:t xml:space="preserve"> (</w:t>
      </w:r>
      <w:r>
        <w:rPr/>
        <w:t>1999</w:t>
      </w:r>
      <w:r>
        <w:rPr>
          <w:rtl w:val="true"/>
        </w:rPr>
        <w:t xml:space="preserve">)). </w:t>
      </w:r>
    </w:p>
    <w:p>
      <w:pPr>
        <w:pStyle w:val="Ruller41"/>
        <w:numPr>
          <w:ilvl w:val="0"/>
          <w:numId w:val="0"/>
        </w:numPr>
        <w:overflowPunct w:val="true"/>
        <w:autoSpaceDE w:val="true"/>
        <w:ind w:hanging="0" w:start="0" w:end="0"/>
        <w:jc w:val="both"/>
        <w:textAlignment w:val="auto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overflowPunct w:val="true"/>
        <w:autoSpaceDE w:val="true"/>
        <w:ind w:hanging="0" w:start="0" w:end="0"/>
        <w:jc w:val="both"/>
        <w:textAlignment w:val="auto"/>
        <w:rPr/>
      </w:pPr>
      <w:r>
        <w:rPr>
          <w:rtl w:val="true"/>
        </w:rPr>
        <w:t>מאפיין בולט של עבירה רבת</w:t>
      </w:r>
      <w:r>
        <w:rPr>
          <w:rtl w:val="true"/>
        </w:rPr>
        <w:t>-</w:t>
      </w:r>
      <w:r>
        <w:rPr>
          <w:rtl w:val="true"/>
        </w:rPr>
        <w:t>פריטים</w:t>
      </w:r>
      <w:r>
        <w:rPr>
          <w:rtl w:val="true"/>
        </w:rPr>
        <w:t xml:space="preserve">, </w:t>
      </w:r>
      <w:r>
        <w:rPr>
          <w:rtl w:val="true"/>
        </w:rPr>
        <w:t>במקרה הטיפוסי</w:t>
      </w:r>
      <w:r>
        <w:rPr>
          <w:rtl w:val="true"/>
        </w:rPr>
        <w:t xml:space="preserve">, </w:t>
      </w:r>
      <w:r>
        <w:rPr>
          <w:rtl w:val="true"/>
        </w:rPr>
        <w:t>הוא אחדות של זמן ומקום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הקביעה תתבסס בראש ובראשונה על השכל הישר</w:t>
      </w:r>
      <w:r>
        <w:rPr>
          <w:rtl w:val="true"/>
        </w:rPr>
        <w:t xml:space="preserve">, </w:t>
      </w:r>
      <w:r>
        <w:rPr>
          <w:rtl w:val="true"/>
        </w:rPr>
        <w:t>ואין הכרח כי האירועים יתרחשו בסמיכות בזמן לצורך הקביעה כי מדובר בעבירה רבת</w:t>
      </w:r>
      <w:r>
        <w:rPr>
          <w:rtl w:val="true"/>
        </w:rPr>
        <w:t>-</w:t>
      </w:r>
      <w:r>
        <w:rPr>
          <w:rtl w:val="true"/>
        </w:rPr>
        <w:t xml:space="preserve">פריטים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משולם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בעמ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185</w:t>
      </w:r>
      <w:r>
        <w:rPr>
          <w:rtl w:val="true"/>
        </w:rPr>
        <w:t xml:space="preserve">). </w:t>
      </w:r>
      <w:r>
        <w:rPr>
          <w:rtl w:val="true"/>
        </w:rPr>
        <w:t xml:space="preserve">בנוסף </w:t>
      </w:r>
      <w:r>
        <w:rPr>
          <w:rtl w:val="true"/>
        </w:rPr>
        <w:t>–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5"/>
        <w:ind w:end="1282"/>
        <w:jc w:val="both"/>
        <w:rPr>
          <w:shd w:fill="FFFFFF" w:val="clear"/>
        </w:rPr>
      </w:pPr>
      <w:r>
        <w:rPr>
          <w:shd w:fill="FFFFFF" w:val="clear"/>
          <w:rtl w:val="true"/>
        </w:rPr>
        <w:t>המאפיין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העבירה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רבת</w:t>
      </w:r>
      <w:r>
        <w:rPr>
          <w:shd w:fill="FFFFFF" w:val="clear"/>
          <w:rtl w:val="true"/>
        </w:rPr>
        <w:t>-</w:t>
      </w:r>
      <w:r>
        <w:rPr>
          <w:shd w:fill="FFFFFF" w:val="clear"/>
          <w:rtl w:val="true"/>
        </w:rPr>
        <w:t>הפריטים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הוא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במחשבה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פלילית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אחת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ובתכנון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פלילי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אחד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המקיף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הרצף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כולו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וסוגר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עליו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כן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מתאפיינת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עבירה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זו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בסדרת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מעשים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המהווים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ביטוי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לדחף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עברייני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אחד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פרקי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הזמן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שבין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פריט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לפריט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צריכים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מטבע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הדברים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שלא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להיות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ארוכים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מדי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אף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שהסימולטניות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אינה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תנאי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הכרחי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הרי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הפרשי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זמן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ארוכים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מנתקים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הקשר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בין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הפריטים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 xml:space="preserve">[...]. </w:t>
      </w:r>
      <w:r>
        <w:rPr>
          <w:shd w:fill="FFFFFF" w:val="clear"/>
          <w:rtl w:val="true"/>
        </w:rPr>
        <w:t>העבירה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רבת</w:t>
      </w:r>
      <w:r>
        <w:rPr>
          <w:shd w:fill="FFFFFF" w:val="clear"/>
          <w:rtl w:val="true"/>
        </w:rPr>
        <w:t>-</w:t>
      </w:r>
      <w:r>
        <w:rPr>
          <w:shd w:fill="FFFFFF" w:val="clear"/>
          <w:rtl w:val="true"/>
        </w:rPr>
        <w:t>הפריטים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תחול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בכל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אותם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מצבים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</w:t>
      </w:r>
      <w:r>
        <w:rPr>
          <w:shd w:fill="FFFFFF" w:val="clear"/>
          <w:rtl w:val="true"/>
        </w:rPr>
        <w:t>בהם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הסתכלות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על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האירוע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העברייני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מובילה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המסתכל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לכלל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מסקנה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כי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תהא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זו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גישה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מלאכותית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להשקיף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על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האירוע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כעל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מספר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עבירות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כמספר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הפריטים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וכי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ההסתכלות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הנכונה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המשקפת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באופן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אמיתי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התופעה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העבריינית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היא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זו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הרואה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באירוע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מכלול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אחד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המבוסס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על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פריטים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מספר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זאת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ועוד</w:t>
      </w:r>
      <w:r>
        <w:rPr>
          <w:shd w:fill="FFFFFF" w:val="clear"/>
          <w:rtl w:val="true"/>
        </w:rPr>
        <w:t xml:space="preserve">: </w:t>
      </w:r>
      <w:r>
        <w:rPr>
          <w:shd w:fill="FFFFFF" w:val="clear"/>
          <w:rtl w:val="true"/>
        </w:rPr>
        <w:t>תנאי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להכרה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בעבירה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רבת</w:t>
      </w:r>
      <w:r>
        <w:rPr>
          <w:shd w:fill="FFFFFF" w:val="clear"/>
          <w:rtl w:val="true"/>
        </w:rPr>
        <w:t>-</w:t>
      </w:r>
      <w:r>
        <w:rPr>
          <w:shd w:fill="FFFFFF" w:val="clear"/>
          <w:rtl w:val="true"/>
        </w:rPr>
        <w:t>פריטים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הוא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כי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האינטרס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החברתי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המוגן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בעבירה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מאפשר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קיבוצם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מספר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פריטים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המצויים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על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רצף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אחד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לכדי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עבירה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אחת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רבת</w:t>
      </w:r>
      <w:r>
        <w:rPr>
          <w:shd w:fill="FFFFFF" w:val="clear"/>
          <w:rtl w:val="true"/>
        </w:rPr>
        <w:t>-</w:t>
      </w:r>
      <w:r>
        <w:rPr>
          <w:shd w:fill="FFFFFF" w:val="clear"/>
          <w:rtl w:val="true"/>
        </w:rPr>
        <w:t>פריטים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(</w:t>
      </w:r>
      <w:r>
        <w:rPr>
          <w:rFonts w:ascii="FrankRuehl" w:hAnsi="FrankRuehl"/>
          <w:color w:val="000000"/>
          <w:shd w:fill="FFFFFF" w:val="clear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משולם</w:t>
      </w:r>
      <w:r>
        <w:rPr>
          <w:rFonts w:cs="FrankRuehl" w:ascii="FrankRuehl" w:hAnsi="FrankRuehl"/>
          <w:color w:val="000000"/>
          <w:shd w:fill="FFFFFF" w:val="clear"/>
          <w:rtl w:val="true"/>
        </w:rPr>
        <w:t xml:space="preserve">, </w:t>
      </w:r>
      <w:r>
        <w:rPr>
          <w:rFonts w:ascii="FrankRuehl" w:hAnsi="FrankRuehl"/>
          <w:color w:val="000000"/>
          <w:shd w:fill="FFFFFF" w:val="clear"/>
          <w:rtl w:val="true"/>
        </w:rPr>
        <w:t>בעמ</w:t>
      </w:r>
      <w:r>
        <w:rPr>
          <w:rFonts w:cs="FrankRuehl" w:ascii="FrankRuehl" w:hAnsi="FrankRuehl"/>
          <w:color w:val="000000"/>
          <w:shd w:fill="FFFFFF" w:val="clear"/>
          <w:rtl w:val="true"/>
        </w:rPr>
        <w:t xml:space="preserve">' </w:t>
      </w:r>
      <w:r>
        <w:rPr>
          <w:rFonts w:cs="FrankRuehl" w:ascii="FrankRuehl" w:hAnsi="FrankRuehl"/>
          <w:color w:val="000000"/>
          <w:shd w:fill="FFFFFF" w:val="clear"/>
        </w:rPr>
        <w:t>185</w:t>
      </w:r>
      <w:r>
        <w:rPr>
          <w:rFonts w:cs="FrankRuehl" w:ascii="FrankRuehl" w:hAnsi="FrankRuehl"/>
          <w:color w:val="000000"/>
          <w:shd w:fill="FFFFFF" w:val="clear"/>
          <w:rtl w:val="true"/>
        </w:rPr>
        <w:t xml:space="preserve"> </w:t>
      </w:r>
      <w:r>
        <w:rPr>
          <w:rFonts w:ascii="FrankRuehl" w:hAnsi="FrankRuehl"/>
          <w:color w:val="000000"/>
          <w:shd w:fill="FFFFFF" w:val="clear"/>
          <w:rtl w:val="true"/>
        </w:rPr>
        <w:t>והאסמכתאות שם</w:t>
      </w:r>
      <w:r>
        <w:rPr>
          <w:rFonts w:cs="FrankRuehl" w:ascii="FrankRuehl" w:hAnsi="FrankRuehl"/>
          <w:color w:val="000000"/>
          <w:shd w:fill="FFFFFF" w:val="clear"/>
          <w:rtl w:val="true"/>
        </w:rPr>
        <w:t>).</w:t>
      </w:r>
    </w:p>
    <w:p>
      <w:pPr>
        <w:pStyle w:val="Ruller4"/>
        <w:ind w:end="0"/>
        <w:jc w:val="both"/>
        <w:rPr>
          <w:shd w:fill="FFFFFF" w:val="clear"/>
        </w:rPr>
      </w:pPr>
      <w:r>
        <w:rPr>
          <w:shd w:fill="FFFFFF" w:val="clear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ascii="Century" w:hAnsi="Century" w:cs="Century"/>
          <w:rtl w:val="true"/>
        </w:rPr>
        <w:t xml:space="preserve"> 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קורבנות</w:t>
      </w:r>
      <w:r>
        <w:rPr>
          <w:rtl w:val="true"/>
        </w:rPr>
        <w:t xml:space="preserve">),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185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גולד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עבירת האינוס</w:t>
      </w:r>
      <w:r>
        <w:rPr>
          <w:rtl w:val="true"/>
        </w:rPr>
        <w:t xml:space="preserve">, </w:t>
      </w:r>
      <w:r>
        <w:rPr>
          <w:rtl w:val="true"/>
        </w:rPr>
        <w:t>כאשר מדובר באירוע אחד</w:t>
      </w:r>
      <w:r>
        <w:rPr>
          <w:rtl w:val="true"/>
        </w:rPr>
        <w:t xml:space="preserve">, </w:t>
      </w:r>
      <w:r>
        <w:rPr>
          <w:rtl w:val="true"/>
        </w:rPr>
        <w:t>מורכבת</w:t>
      </w:r>
      <w:r>
        <w:rPr>
          <w:rtl w:val="true"/>
        </w:rPr>
        <w:t xml:space="preserve">, </w:t>
      </w:r>
      <w:r>
        <w:rPr>
          <w:rtl w:val="true"/>
        </w:rPr>
        <w:t>על פי רוב</w:t>
      </w:r>
      <w:r>
        <w:rPr>
          <w:rtl w:val="true"/>
        </w:rPr>
        <w:t xml:space="preserve">, </w:t>
      </w:r>
      <w:r>
        <w:rPr>
          <w:rtl w:val="true"/>
        </w:rPr>
        <w:t>מסדרה של פעולות אשר מתרחשות במקום אחד וללא הפרשי זמן משמעותיים ביניהן</w:t>
      </w:r>
      <w:r>
        <w:rPr>
          <w:rtl w:val="true"/>
        </w:rPr>
        <w:t xml:space="preserve">, </w:t>
      </w:r>
      <w:r>
        <w:rPr>
          <w:rtl w:val="true"/>
        </w:rPr>
        <w:t>ועל כן היא יכולה להיכנס להגדרה של עבירה רבת</w:t>
      </w:r>
      <w:r>
        <w:rPr>
          <w:rtl w:val="true"/>
        </w:rPr>
        <w:t>-</w:t>
      </w:r>
      <w:r>
        <w:rPr>
          <w:rtl w:val="true"/>
        </w:rPr>
        <w:t>פריטים</w:t>
      </w:r>
      <w:r>
        <w:rPr>
          <w:rtl w:val="true"/>
        </w:rPr>
        <w:t xml:space="preserve">. </w:t>
      </w:r>
      <w:r>
        <w:rPr>
          <w:rtl w:val="true"/>
        </w:rPr>
        <w:t>כפי שנאמר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ורציף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עלולים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וחדירה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שבמקרה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כוונת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המחוקק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הדוקטרינה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מחייבים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להסתכל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אינוס</w:t>
      </w:r>
      <w:r>
        <w:rPr>
          <w:rtl w:val="true"/>
        </w:rPr>
        <w:t>" (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7951/05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סב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710</w:t>
      </w:r>
      <w:r>
        <w:rPr>
          <w:rtl w:val="true"/>
        </w:rPr>
        <w:t xml:space="preserve">, </w:t>
      </w:r>
      <w:r>
        <w:rPr/>
        <w:t>736-735</w:t>
      </w:r>
      <w:r>
        <w:rPr>
          <w:rtl w:val="true"/>
        </w:rPr>
        <w:t xml:space="preserve"> (</w:t>
      </w:r>
      <w:r>
        <w:rPr/>
        <w:t>2007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 xml:space="preserve">הובהר בפסיקה כי מספר מעשי אונס שונים </w:t>
      </w:r>
      <w:r>
        <w:rPr>
          <w:rtl w:val="true"/>
        </w:rPr>
        <w:t>–</w:t>
      </w:r>
      <w:r>
        <w:rPr>
          <w:rtl w:val="true"/>
        </w:rPr>
        <w:t xml:space="preserve"> גם אם הם בוצעו על ידי אותו עבריין וכלפי אותו קורבן </w:t>
      </w:r>
      <w:r>
        <w:rPr>
          <w:rtl w:val="true"/>
        </w:rPr>
        <w:t>–</w:t>
      </w:r>
      <w:r>
        <w:rPr>
          <w:rtl w:val="true"/>
        </w:rPr>
        <w:t xml:space="preserve"> ואפילו אם תתקיים ביניהם סמיכות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מסוימת</w:t>
      </w:r>
      <w:r>
        <w:rPr>
          <w:rtl w:val="true"/>
        </w:rPr>
        <w:t xml:space="preserve"> של זמן ומקום </w:t>
      </w:r>
      <w:r>
        <w:rPr>
          <w:rtl w:val="true"/>
        </w:rPr>
        <w:t>–</w:t>
      </w:r>
      <w:r>
        <w:rPr>
          <w:rtl w:val="true"/>
        </w:rPr>
        <w:t xml:space="preserve"> עשויים לעיתים לגבש מספר הרשעות בגין עבירת אינוס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מהרט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פסקאות </w:t>
      </w:r>
      <w:r>
        <w:rPr>
          <w:rFonts w:cs="Century" w:ascii="Century" w:hAnsi="Century"/>
          <w:sz w:val="22"/>
        </w:rPr>
        <w:t>8-7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tl w:val="true"/>
        </w:rPr>
        <w:t xml:space="preserve">לפסק דינה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חיות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11125/04</w:t>
        </w:r>
      </w:hyperlink>
      <w:r>
        <w:rPr>
          <w:color w:val="000000"/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10.</w:t>
      </w:r>
      <w:r>
        <w:rPr>
          <w:rFonts w:cs="Century" w:ascii="Century" w:hAnsi="Century"/>
          <w:sz w:val="22"/>
        </w:rPr>
        <w:t>5</w:t>
      </w:r>
      <w:r>
        <w:rPr>
          <w:rFonts w:cs="Century" w:ascii="Century" w:hAnsi="Century"/>
          <w:sz w:val="22"/>
        </w:rPr>
        <w:t>.2007</w:t>
      </w:r>
      <w:r>
        <w:rPr>
          <w:color w:val="000000"/>
          <w:sz w:val="27"/>
          <w:szCs w:val="27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קו הגבול בין אירוע אונס שהוא בגדר עבירה רבת</w:t>
      </w:r>
      <w:r>
        <w:rPr>
          <w:rtl w:val="true"/>
        </w:rPr>
        <w:t>-</w:t>
      </w:r>
      <w:r>
        <w:rPr>
          <w:rtl w:val="true"/>
        </w:rPr>
        <w:t>פריטים</w:t>
      </w:r>
      <w:r>
        <w:rPr>
          <w:rtl w:val="true"/>
        </w:rPr>
        <w:t xml:space="preserve">, </w:t>
      </w:r>
      <w:r>
        <w:rPr>
          <w:rtl w:val="true"/>
        </w:rPr>
        <w:t>לבין אירוע אונס בו מבוצעות מספר עבירות בסמיכות זמן ומקום עשוי להיות דק</w:t>
      </w:r>
      <w:r>
        <w:rPr>
          <w:rtl w:val="true"/>
        </w:rPr>
        <w:t xml:space="preserve">, </w:t>
      </w:r>
      <w:r>
        <w:rPr>
          <w:rtl w:val="true"/>
        </w:rPr>
        <w:t>ולעיתים דקיק</w:t>
      </w:r>
      <w:r>
        <w:rPr>
          <w:rtl w:val="true"/>
        </w:rPr>
        <w:t xml:space="preserve">, </w:t>
      </w:r>
      <w:r>
        <w:rPr>
          <w:rtl w:val="true"/>
        </w:rPr>
        <w:t>ואין מנוס מהפעלת מבחן השכל הישר על מנת להבחין בין גווני המצבים</w:t>
      </w:r>
      <w:r>
        <w:rPr>
          <w:rtl w:val="true"/>
        </w:rPr>
        <w:t xml:space="preserve">. </w:t>
      </w:r>
      <w:r>
        <w:rPr>
          <w:rtl w:val="true"/>
        </w:rPr>
        <w:t>במידה לא מבוטלת יש בעניין זה שיקול דעת לתביעה</w:t>
      </w:r>
      <w:r>
        <w:rPr>
          <w:rtl w:val="true"/>
        </w:rPr>
        <w:t xml:space="preserve">, </w:t>
      </w:r>
      <w:r>
        <w:rPr>
          <w:rtl w:val="true"/>
        </w:rPr>
        <w:t>בבואה לנסח את כתב האישום</w:t>
      </w:r>
      <w:r>
        <w:rPr>
          <w:rtl w:val="true"/>
        </w:rPr>
        <w:t xml:space="preserve">, </w:t>
      </w:r>
      <w:r>
        <w:rPr>
          <w:rtl w:val="true"/>
        </w:rPr>
        <w:t>כאשר יש לצפות שתימנע מפיצול מלאכותי ושלא לצורך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ויודגש</w:t>
      </w:r>
      <w:r>
        <w:rPr>
          <w:rtl w:val="true"/>
        </w:rPr>
        <w:t xml:space="preserve">, </w:t>
      </w:r>
      <w:r>
        <w:rPr>
          <w:rtl w:val="true"/>
        </w:rPr>
        <w:t>אף כאשר מוצדק לפצל הרשעה המייחסת לאירוע אחד מספר עבירות אינוס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כאשר לא רואים בעבירת האינוס עבירה רבת</w:t>
      </w:r>
      <w:r>
        <w:rPr>
          <w:rtl w:val="true"/>
        </w:rPr>
        <w:t>-</w:t>
      </w:r>
      <w:r>
        <w:rPr>
          <w:rtl w:val="true"/>
        </w:rPr>
        <w:t>פריטים</w:t>
      </w:r>
      <w:r>
        <w:rPr>
          <w:rtl w:val="true"/>
        </w:rPr>
        <w:t xml:space="preserve">, </w:t>
      </w:r>
      <w:r>
        <w:rPr>
          <w:rtl w:val="true"/>
        </w:rPr>
        <w:t>אין משמעות הדבר</w:t>
      </w:r>
      <w:r>
        <w:rPr>
          <w:rtl w:val="true"/>
        </w:rPr>
        <w:t xml:space="preserve">, </w:t>
      </w:r>
      <w:r>
        <w:rPr>
          <w:rtl w:val="true"/>
        </w:rPr>
        <w:t>בהכרח</w:t>
      </w:r>
      <w:r>
        <w:rPr>
          <w:rtl w:val="true"/>
        </w:rPr>
        <w:t xml:space="preserve">, </w:t>
      </w:r>
      <w:r>
        <w:rPr>
          <w:rtl w:val="true"/>
        </w:rPr>
        <w:t>כי יש להעניש את העבריין בנפרד בגין כל אחת מעבירות האינוס</w:t>
      </w:r>
      <w:r>
        <w:rPr>
          <w:rtl w:val="true"/>
        </w:rPr>
        <w:t xml:space="preserve">. </w:t>
      </w:r>
      <w:hyperlink r:id="rId5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9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 קובע כי הגם ש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רשאי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להרשיע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שאשמתו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נתגלתה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שהוכחו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לפניו</w:t>
      </w:r>
      <w:r>
        <w:rPr>
          <w:rStyle w:val="default"/>
          <w:rFonts w:cs="Century" w:ascii="Century" w:hAnsi="Century"/>
          <w:sz w:val="22"/>
          <w:rtl w:val="true"/>
        </w:rPr>
        <w:t>"</w:t>
      </w:r>
      <w:r>
        <w:rPr>
          <w:rStyle w:val="default"/>
          <w:rFonts w:cs="FrankRuehl" w:ascii="FrankRuehl" w:hAnsi="FrankRuehl"/>
          <w:sz w:val="26"/>
          <w:szCs w:val="26"/>
          <w:rtl w:val="true"/>
        </w:rPr>
        <w:t xml:space="preserve"> </w:t>
      </w:r>
      <w:r>
        <w:rPr>
          <w:rtl w:val="true"/>
        </w:rPr>
        <w:t xml:space="preserve">אין להעניש אדם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tl w:val="true"/>
        </w:rPr>
        <w:t xml:space="preserve">". </w:t>
      </w:r>
      <w:r>
        <w:rPr>
          <w:rtl w:val="true"/>
        </w:rPr>
        <w:t xml:space="preserve">השאלה מהו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tl w:val="true"/>
        </w:rPr>
        <w:t xml:space="preserve">" </w:t>
      </w:r>
      <w:r>
        <w:rPr>
          <w:rtl w:val="true"/>
        </w:rPr>
        <w:t>לעניין הסעיף האמור נבחנה בפסיקה הישראלית פעמים רבות</w:t>
      </w:r>
      <w:r>
        <w:rPr>
          <w:rtl w:val="true"/>
        </w:rPr>
        <w:t xml:space="preserve">, </w:t>
      </w:r>
      <w:r>
        <w:rPr>
          <w:rtl w:val="true"/>
        </w:rPr>
        <w:t>כאשר שני מבחני העזר שהתגבשו הם המבחן הצורני</w:t>
      </w:r>
      <w:r>
        <w:rPr>
          <w:rtl w:val="true"/>
        </w:rPr>
        <w:t>-</w:t>
      </w:r>
      <w:r>
        <w:rPr>
          <w:rtl w:val="true"/>
        </w:rPr>
        <w:t>עובדתי והמבחן המהותי</w:t>
      </w:r>
      <w:r>
        <w:rPr>
          <w:rtl w:val="true"/>
        </w:rPr>
        <w:t>-</w:t>
      </w:r>
      <w:r>
        <w:rPr>
          <w:rtl w:val="true"/>
        </w:rPr>
        <w:t>מוסרי</w:t>
      </w:r>
      <w:r>
        <w:rPr>
          <w:rtl w:val="true"/>
        </w:rPr>
        <w:t xml:space="preserve">. </w:t>
      </w:r>
      <w:r>
        <w:rPr>
          <w:rtl w:val="true"/>
        </w:rPr>
        <w:t>על פי המבחן הצורני</w:t>
      </w:r>
      <w:r>
        <w:rPr>
          <w:rtl w:val="true"/>
        </w:rPr>
        <w:t>-</w:t>
      </w:r>
      <w:r>
        <w:rPr>
          <w:rtl w:val="true"/>
        </w:rPr>
        <w:t>עובדתי</w:t>
      </w:r>
      <w:r>
        <w:rPr>
          <w:rtl w:val="true"/>
        </w:rPr>
        <w:t xml:space="preserve">, </w:t>
      </w:r>
      <w:r>
        <w:rPr>
          <w:rtl w:val="true"/>
        </w:rPr>
        <w:t xml:space="preserve">על בית המשפט לבחון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בפעולה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מתמשכת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לפצלה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פעולות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בשרשרת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פעולות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עוקבות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חוליה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נפרדת</w:t>
      </w:r>
      <w:r>
        <w:rPr>
          <w:rtl w:val="true"/>
        </w:rPr>
        <w:t xml:space="preserve">"; </w:t>
      </w:r>
      <w:r>
        <w:rPr>
          <w:rtl w:val="true"/>
        </w:rPr>
        <w:t>ואילו על פי המבחן המהותי</w:t>
      </w:r>
      <w:r>
        <w:rPr>
          <w:rtl w:val="true"/>
        </w:rPr>
        <w:t>-</w:t>
      </w:r>
      <w:r>
        <w:rPr>
          <w:rtl w:val="true"/>
        </w:rPr>
        <w:t>מוסרי</w:t>
      </w:r>
      <w:r>
        <w:rPr>
          <w:rtl w:val="true"/>
        </w:rPr>
        <w:t xml:space="preserve">, </w:t>
      </w:r>
      <w:r>
        <w:rPr>
          <w:rtl w:val="true"/>
        </w:rPr>
        <w:t>עלינו לבחון אם קיימת זהות באינטרסים החברתיים שנפגעו בעקבות הפעולות</w:t>
      </w:r>
      <w:r>
        <w:rPr>
          <w:rtl w:val="true"/>
        </w:rPr>
        <w:t xml:space="preserve">, </w:t>
      </w:r>
      <w:r>
        <w:rPr>
          <w:rtl w:val="true"/>
        </w:rPr>
        <w:t>כמו גם בנזקים שנגרמו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למשל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במספר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נפגעים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מהנפגעים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אינטרס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לשמירה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גופו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לטובת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פיצול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והעונשים</w:t>
      </w:r>
      <w:r>
        <w:rPr>
          <w:rFonts w:cs="Century" w:ascii="Century" w:hAnsi="Century"/>
          <w:spacing w:val="6"/>
          <w:sz w:val="22"/>
          <w:rtl w:val="true"/>
        </w:rPr>
        <w:t xml:space="preserve">". </w:t>
      </w:r>
      <w:r>
        <w:rPr>
          <w:rFonts w:ascii="Century" w:hAnsi="Century" w:cs="Century"/>
          <w:spacing w:val="6"/>
          <w:sz w:val="22"/>
          <w:sz w:val="22"/>
          <w:rtl w:val="true"/>
        </w:rPr>
        <w:t>ויובהר</w:t>
      </w:r>
      <w:r>
        <w:rPr>
          <w:rFonts w:cs="Century" w:ascii="Century" w:hAnsi="Century"/>
          <w:spacing w:val="6"/>
          <w:sz w:val="22"/>
          <w:rtl w:val="true"/>
        </w:rPr>
        <w:t>,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מבחנים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המוצא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הסיום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בסופו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לבחון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לגופו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נסיבותיו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ומאפייניו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בנמצא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מבחן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וגורף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שנותן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סוגי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המקרים</w:t>
      </w:r>
      <w:r>
        <w:rPr>
          <w:rFonts w:cs="Century" w:ascii="Century" w:hAnsi="Century"/>
          <w:spacing w:val="6"/>
          <w:sz w:val="22"/>
          <w:rtl w:val="true"/>
        </w:rPr>
        <w:t xml:space="preserve">" </w:t>
      </w:r>
      <w:r>
        <w:rPr>
          <w:rtl w:val="true"/>
        </w:rPr>
        <w:t>(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4910/13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</w:t>
      </w:r>
      <w:r>
        <w:rPr>
          <w:rtl w:val="true"/>
        </w:rPr>
        <w:t xml:space="preserve">ה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דנציגר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והאסמכתאות הנזכרות שם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29.10.2014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8686/15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גריבוב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3.10.2017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4039/19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נחמני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92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17.3.2021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מכאן שגם כאשר ניתן להרשיע פלוני בשתי עבירות של אינוס בגין אירוע אחד</w:t>
      </w:r>
      <w:r>
        <w:rPr>
          <w:rtl w:val="true"/>
        </w:rPr>
        <w:t xml:space="preserve">, </w:t>
      </w:r>
      <w:r>
        <w:rPr>
          <w:rtl w:val="true"/>
        </w:rPr>
        <w:t>לא מתחייב מכך שיש להענישו פעמיים בגינן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החדיר את אצבעותיו לאיבר מינה של המתלוננת במטרה </w:t>
      </w:r>
      <w:r>
        <w:rPr>
          <w:rtl w:val="true"/>
        </w:rPr>
        <w:t>"</w:t>
      </w:r>
      <w:r>
        <w:rPr>
          <w:rtl w:val="true"/>
        </w:rPr>
        <w:t>לבדוק</w:t>
      </w:r>
      <w:r>
        <w:rPr>
          <w:rtl w:val="true"/>
        </w:rPr>
        <w:t xml:space="preserve">" </w:t>
      </w:r>
      <w:r>
        <w:rPr>
          <w:rtl w:val="true"/>
        </w:rPr>
        <w:t xml:space="preserve">בעצמו אם היא בתולה </w:t>
      </w:r>
      <w:r>
        <w:rPr>
          <w:rtl w:val="true"/>
        </w:rPr>
        <w:t>(</w:t>
      </w:r>
      <w:r>
        <w:rPr>
          <w:rtl w:val="true"/>
        </w:rPr>
        <w:t>המעשה הראשון</w:t>
      </w:r>
      <w:r>
        <w:rPr>
          <w:rtl w:val="true"/>
        </w:rPr>
        <w:t xml:space="preserve">); </w:t>
      </w:r>
      <w:r>
        <w:rPr>
          <w:rtl w:val="true"/>
        </w:rPr>
        <w:t>ובהמשך לכך</w:t>
      </w:r>
      <w:r>
        <w:rPr>
          <w:rtl w:val="true"/>
        </w:rPr>
        <w:t xml:space="preserve">, </w:t>
      </w:r>
      <w:r>
        <w:rPr>
          <w:rtl w:val="true"/>
        </w:rPr>
        <w:t>לאחר שהגיע לדבריו למסקנה כי אינה בתולה</w:t>
      </w:r>
      <w:r>
        <w:rPr>
          <w:rtl w:val="true"/>
        </w:rPr>
        <w:t xml:space="preserve">, </w:t>
      </w:r>
      <w:r>
        <w:rPr>
          <w:rtl w:val="true"/>
        </w:rPr>
        <w:t>כפה את עצמו עליה</w:t>
      </w:r>
      <w:r>
        <w:rPr>
          <w:rtl w:val="true"/>
        </w:rPr>
        <w:t xml:space="preserve">, </w:t>
      </w:r>
      <w:r>
        <w:rPr>
          <w:rtl w:val="true"/>
        </w:rPr>
        <w:t xml:space="preserve">בהחדרתו את איבר מינו לאיבר מינה </w:t>
      </w:r>
      <w:r>
        <w:rPr>
          <w:rtl w:val="true"/>
        </w:rPr>
        <w:t>(</w:t>
      </w:r>
      <w:r>
        <w:rPr>
          <w:rtl w:val="true"/>
        </w:rPr>
        <w:t>המעשה השני</w:t>
      </w:r>
      <w:r>
        <w:rPr>
          <w:rtl w:val="true"/>
        </w:rPr>
        <w:t xml:space="preserve">). </w:t>
      </w:r>
      <w:r>
        <w:rPr>
          <w:rtl w:val="true"/>
        </w:rPr>
        <w:t>כשלעצמי</w:t>
      </w:r>
      <w:r>
        <w:rPr>
          <w:rtl w:val="true"/>
        </w:rPr>
        <w:t xml:space="preserve">, </w:t>
      </w:r>
      <w:r>
        <w:rPr>
          <w:rtl w:val="true"/>
        </w:rPr>
        <w:t xml:space="preserve">ברור שלעניין </w:t>
      </w:r>
      <w:hyperlink r:id="rId6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4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 המדובר ב</w:t>
      </w:r>
      <w:r>
        <w:rPr>
          <w:rtl w:val="true"/>
        </w:rPr>
        <w:t>"</w:t>
      </w:r>
      <w:r>
        <w:rPr>
          <w:rtl w:val="true"/>
        </w:rPr>
        <w:t>מעשה אחד</w:t>
      </w:r>
      <w:r>
        <w:rPr>
          <w:rtl w:val="true"/>
        </w:rPr>
        <w:t xml:space="preserve">", </w:t>
      </w:r>
      <w:r>
        <w:rPr>
          <w:rtl w:val="true"/>
        </w:rPr>
        <w:t xml:space="preserve">ועל כן לא ניתן להעניש את המערער בנפרד בגין המעשה הראשון והמעשה השני </w:t>
      </w:r>
      <w:r>
        <w:rPr>
          <w:rtl w:val="true"/>
        </w:rPr>
        <w:t>(</w:t>
      </w:r>
      <w:r>
        <w:rPr>
          <w:rtl w:val="true"/>
        </w:rPr>
        <w:t>וכך סבר גם בית המשפט קמא</w:t>
      </w:r>
      <w:r>
        <w:rPr>
          <w:rtl w:val="true"/>
        </w:rPr>
        <w:t xml:space="preserve">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השאלה המתעוררת היא האם ראוי להרחיק אף מעבר לכך</w:t>
      </w:r>
      <w:r>
        <w:rPr>
          <w:rtl w:val="true"/>
        </w:rPr>
        <w:t xml:space="preserve">, </w:t>
      </w:r>
      <w:r>
        <w:rPr>
          <w:rtl w:val="true"/>
        </w:rPr>
        <w:t xml:space="preserve">ולקבוע כי הגם שמבחינה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עיונית</w:t>
      </w:r>
      <w:r>
        <w:rPr>
          <w:rtl w:val="true"/>
        </w:rPr>
        <w:t xml:space="preserve"> ניתן להפריד בין המעשים</w:t>
      </w:r>
      <w:r>
        <w:rPr>
          <w:rtl w:val="true"/>
        </w:rPr>
        <w:t xml:space="preserve">, </w:t>
      </w:r>
      <w:r>
        <w:rPr>
          <w:rtl w:val="true"/>
        </w:rPr>
        <w:t xml:space="preserve">הרי שמבחינה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מהותית</w:t>
      </w:r>
      <w:r>
        <w:rPr>
          <w:rtl w:val="true"/>
        </w:rPr>
        <w:t xml:space="preserve"> אין הצדקה לפיצולם לשתי עבירות אינוס שונות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בהינתן שמדובר ברצף אחד של מעשים מבחינת המקום והזמן</w:t>
      </w:r>
      <w:r>
        <w:rPr>
          <w:rtl w:val="true"/>
        </w:rPr>
        <w:t xml:space="preserve">, </w:t>
      </w:r>
      <w:r>
        <w:rPr>
          <w:rtl w:val="true"/>
        </w:rPr>
        <w:t>הפוגעים באותו קורבן ובאותם ערכים מוגנים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עיון בפסיקה מלמד על היעדר אחידות בעניין זה</w:t>
      </w:r>
      <w:r>
        <w:rPr>
          <w:rtl w:val="true"/>
        </w:rPr>
        <w:t xml:space="preserve">. </w:t>
      </w:r>
      <w:r>
        <w:rPr>
          <w:rtl w:val="true"/>
        </w:rPr>
        <w:t>ישנן דוגמאות לאירועי תקיפה מינית קשים ואכזריים</w:t>
      </w:r>
      <w:r>
        <w:rPr>
          <w:rtl w:val="true"/>
        </w:rPr>
        <w:t xml:space="preserve">, </w:t>
      </w:r>
      <w:r>
        <w:rPr>
          <w:rtl w:val="true"/>
        </w:rPr>
        <w:t>שהיו מורכבים ממספר שלבי התעללות</w:t>
      </w:r>
      <w:r>
        <w:rPr>
          <w:rtl w:val="true"/>
        </w:rPr>
        <w:t xml:space="preserve">, </w:t>
      </w:r>
      <w:r>
        <w:rPr>
          <w:rtl w:val="true"/>
        </w:rPr>
        <w:t xml:space="preserve">כאשר הנאשם הועמד לדין והורשע בעבירת אינוס אחת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65"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>ע</w:t>
        </w:r>
        <w:r>
          <w:rPr>
            <w:rStyle w:val="Hyperlink"/>
            <w:color w:val="0000FF"/>
            <w:sz w:val="27"/>
            <w:szCs w:val="27"/>
            <w:u w:val="single"/>
            <w:rtl w:val="true"/>
          </w:rPr>
          <w:t>"</w:t>
        </w:r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>פ</w:t>
        </w:r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7"/>
            <w:szCs w:val="27"/>
            <w:u w:val="single"/>
          </w:rPr>
          <w:t>2035/16</w:t>
        </w:r>
      </w:hyperlink>
      <w:r>
        <w:rPr>
          <w:color w:val="000000"/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sz w:val="27"/>
          <w:sz w:val="27"/>
          <w:szCs w:val="27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sz w:val="27"/>
          <w:szCs w:val="27"/>
          <w:rtl w:val="true"/>
        </w:rPr>
        <w:t>(</w:t>
      </w:r>
      <w:r>
        <w:rPr>
          <w:color w:val="000000"/>
          <w:sz w:val="27"/>
          <w:szCs w:val="27"/>
        </w:rPr>
        <w:t>14.</w:t>
      </w:r>
      <w:r>
        <w:rPr>
          <w:color w:val="000000"/>
          <w:sz w:val="27"/>
          <w:szCs w:val="27"/>
        </w:rPr>
        <w:t>9</w:t>
      </w:r>
      <w:r>
        <w:rPr>
          <w:color w:val="000000"/>
          <w:sz w:val="27"/>
          <w:szCs w:val="27"/>
        </w:rPr>
        <w:t>.2017</w:t>
      </w:r>
      <w:r>
        <w:rPr>
          <w:color w:val="000000"/>
          <w:sz w:val="27"/>
          <w:szCs w:val="27"/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66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2035/16</w:t>
        </w:r>
      </w:hyperlink>
      <w:r>
        <w:rPr>
          <w:rtl w:val="true"/>
        </w:rPr>
        <w:t xml:space="preserve">); 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2013/19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13.8.2020</w:t>
      </w:r>
      <w:r>
        <w:rPr>
          <w:rtl w:val="true"/>
        </w:rPr>
        <w:t>)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3265/22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2.11.2022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69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3265/22</w:t>
        </w:r>
      </w:hyperlink>
      <w:r>
        <w:rPr>
          <w:rtl w:val="true"/>
        </w:rPr>
        <w:t xml:space="preserve">)).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ישנם מקרים בהם בגין אירועים דומים מבחינת מורכבותם וחומרתם</w:t>
      </w:r>
      <w:r>
        <w:rPr>
          <w:rtl w:val="true"/>
        </w:rPr>
        <w:t xml:space="preserve">, </w:t>
      </w:r>
      <w:r>
        <w:rPr>
          <w:rtl w:val="true"/>
        </w:rPr>
        <w:t>יוחסו מספר מעשי אונס</w:t>
      </w:r>
      <w:r>
        <w:rPr>
          <w:rtl w:val="true"/>
        </w:rPr>
        <w:t xml:space="preserve">, </w:t>
      </w:r>
      <w:r>
        <w:rPr>
          <w:rtl w:val="true"/>
        </w:rPr>
        <w:t xml:space="preserve">למרות שדובר ברצף מעשים מבחינת הזמן והמקום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70"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>ע</w:t>
        </w:r>
        <w:r>
          <w:rPr>
            <w:rStyle w:val="Hyperlink"/>
            <w:color w:val="0000FF"/>
            <w:sz w:val="27"/>
            <w:szCs w:val="27"/>
            <w:u w:val="single"/>
            <w:rtl w:val="true"/>
          </w:rPr>
          <w:t>"</w:t>
        </w:r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>פ</w:t>
        </w:r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7"/>
            <w:szCs w:val="27"/>
            <w:u w:val="single"/>
          </w:rPr>
          <w:t>6164/10</w:t>
        </w:r>
      </w:hyperlink>
      <w:r>
        <w:rPr>
          <w:color w:val="000000"/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sz w:val="27"/>
          <w:sz w:val="27"/>
          <w:szCs w:val="27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sz w:val="27"/>
          <w:szCs w:val="27"/>
          <w:rtl w:val="true"/>
        </w:rPr>
        <w:t>(</w:t>
      </w:r>
      <w:r>
        <w:rPr>
          <w:color w:val="000000"/>
          <w:sz w:val="27"/>
          <w:szCs w:val="27"/>
        </w:rPr>
        <w:t>20.</w:t>
      </w:r>
      <w:r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.2012</w:t>
      </w:r>
      <w:r>
        <w:rPr>
          <w:color w:val="000000"/>
          <w:sz w:val="27"/>
          <w:szCs w:val="27"/>
          <w:rtl w:val="true"/>
        </w:rPr>
        <w:t>)</w:t>
      </w:r>
      <w:r>
        <w:rPr>
          <w:rtl w:val="true"/>
        </w:rPr>
        <w:t xml:space="preserve">; </w:t>
      </w:r>
      <w:hyperlink r:id="rId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319/21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אלהיגא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10.4.2022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אלהיגא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דומה שבעניין זה לניסוח כתב האישום יש חשיבות לא מבוטלת </w:t>
      </w:r>
      <w:r>
        <w:rPr>
          <w:rtl w:val="true"/>
        </w:rPr>
        <w:t>(</w:t>
      </w:r>
      <w:r>
        <w:rPr>
          <w:rtl w:val="true"/>
        </w:rPr>
        <w:t xml:space="preserve">אך ראו </w:t>
      </w:r>
      <w:hyperlink r:id="rId7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2035/16</w:t>
        </w:r>
      </w:hyperlink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בו יוחסו בכתב האישום שתי עבירות אינוס</w:t>
      </w:r>
      <w:r>
        <w:rPr>
          <w:rtl w:val="true"/>
        </w:rPr>
        <w:t xml:space="preserve">, </w:t>
      </w:r>
      <w:r>
        <w:rPr>
          <w:rtl w:val="true"/>
        </w:rPr>
        <w:t xml:space="preserve">ובית המשפט המחוזי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ההגנה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ייחוס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נפרדות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החדרת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האצבעות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החדרת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תהא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מלאכותית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מתבקשת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העניין</w:t>
      </w:r>
      <w:r>
        <w:rPr>
          <w:rtl w:val="true"/>
        </w:rPr>
        <w:t xml:space="preserve">". </w:t>
      </w:r>
      <w:r>
        <w:rPr>
          <w:rtl w:val="true"/>
        </w:rPr>
        <w:t>המדינה לא ערערה על הכרעת הדין באותו עניין</w:t>
      </w:r>
      <w:r>
        <w:rPr>
          <w:rtl w:val="true"/>
        </w:rPr>
        <w:t xml:space="preserve">). </w:t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חוסר האחידות האמור מטריד</w:t>
      </w:r>
      <w:r>
        <w:rPr>
          <w:rtl w:val="true"/>
        </w:rPr>
        <w:t xml:space="preserve">, </w:t>
      </w:r>
      <w:r>
        <w:rPr>
          <w:rtl w:val="true"/>
        </w:rPr>
        <w:t xml:space="preserve">וראוי להקפיד על מדיניות תביעה אחידה בדבר ניסוח כתבי אישום במקרים מעין אלה </w:t>
      </w:r>
      <w:r>
        <w:rPr>
          <w:rtl w:val="true"/>
        </w:rPr>
        <w:t>(</w:t>
      </w:r>
      <w:r>
        <w:rPr>
          <w:rtl w:val="true"/>
        </w:rPr>
        <w:t>וראו הנחיית פרקליט המדינה מס</w:t>
      </w:r>
      <w:r>
        <w:rPr>
          <w:rtl w:val="true"/>
        </w:rPr>
        <w:t xml:space="preserve">' </w:t>
      </w:r>
      <w:r>
        <w:rPr/>
        <w:t>3.1</w:t>
      </w:r>
      <w:r>
        <w:rPr>
          <w:rtl w:val="true"/>
        </w:rPr>
        <w:t xml:space="preserve"> </w:t>
      </w:r>
      <w:r>
        <w:rPr>
          <w:rtl w:val="true"/>
        </w:rPr>
        <w:t xml:space="preserve">מיום </w:t>
      </w:r>
      <w:r>
        <w:rPr/>
        <w:t>27.12.2017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שכותרתה </w:t>
      </w:r>
      <w:r>
        <w:rPr>
          <w:rtl w:val="true"/>
        </w:rPr>
        <w:t>"</w:t>
      </w:r>
      <w:r>
        <w:rPr>
          <w:rtl w:val="true"/>
        </w:rPr>
        <w:t>הכנה וניסוח כתב אישום</w:t>
      </w:r>
      <w:r>
        <w:rPr>
          <w:rtl w:val="true"/>
        </w:rPr>
        <w:t xml:space="preserve">". </w:t>
      </w:r>
      <w:r>
        <w:rPr>
          <w:rtl w:val="true"/>
        </w:rPr>
        <w:t>הנחיה זו כוללת התייחסות חלקית בלבד לסוגיה בה עסקינן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 לערעורים שלפנינו</w:t>
      </w:r>
      <w:r>
        <w:rPr>
          <w:rtl w:val="true"/>
        </w:rPr>
        <w:t xml:space="preserve">, </w:t>
      </w:r>
      <w:r>
        <w:rPr>
          <w:rtl w:val="true"/>
        </w:rPr>
        <w:t>לא בלי התלבטות</w:t>
      </w:r>
      <w:r>
        <w:rPr>
          <w:rtl w:val="true"/>
        </w:rPr>
        <w:t xml:space="preserve">, </w:t>
      </w:r>
      <w:r>
        <w:rPr>
          <w:rtl w:val="true"/>
        </w:rPr>
        <w:t>הגעתי למסקנה כי במקרה דנן אין מקום להתערב במסקנת בית המשפט קמא לעניין מספר עבירות האינוס בהן יש להרשיע את המערער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המתלוננת חוותה טראומה כוללת קשה בעקבות המעשים</w:t>
      </w:r>
      <w:r>
        <w:rPr>
          <w:rtl w:val="true"/>
        </w:rPr>
        <w:t xml:space="preserve">, </w:t>
      </w:r>
      <w:r>
        <w:rPr>
          <w:rtl w:val="true"/>
        </w:rPr>
        <w:t xml:space="preserve">וספק אם ניתן להפריד בין שלביו השונים של האירוע לעניין השלכתם על נפשה הדואבת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7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10898/08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</w:t>
      </w:r>
      <w:r>
        <w:rPr/>
        <w:t>4</w:t>
      </w:r>
      <w:r>
        <w:rPr/>
        <w:t>.2010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קיימות הבחנות מסוימות בין המעשה הראשון לבין המעשה השני</w:t>
      </w:r>
      <w:r>
        <w:rPr>
          <w:rtl w:val="true"/>
        </w:rPr>
        <w:t xml:space="preserve">, </w:t>
      </w:r>
      <w:r>
        <w:rPr>
          <w:rtl w:val="true"/>
        </w:rPr>
        <w:t>הן מבחינת טיב המעשים ותכלית עשייתם</w:t>
      </w:r>
      <w:r>
        <w:rPr>
          <w:rtl w:val="true"/>
        </w:rPr>
        <w:t xml:space="preserve">, </w:t>
      </w:r>
      <w:r>
        <w:rPr>
          <w:rtl w:val="true"/>
        </w:rPr>
        <w:t>והן מבחינת אופי הפגיעה במתלוננת והיבט ההשפלה הייחודי שנלווה לכל אחד מהם</w:t>
      </w:r>
      <w:r>
        <w:rPr>
          <w:rtl w:val="true"/>
        </w:rPr>
        <w:t xml:space="preserve">. </w:t>
      </w:r>
      <w:r>
        <w:rPr>
          <w:rtl w:val="true"/>
        </w:rPr>
        <w:t>במצב דברים זה</w:t>
      </w:r>
      <w:r>
        <w:rPr>
          <w:rtl w:val="true"/>
        </w:rPr>
        <w:t xml:space="preserve">, </w:t>
      </w:r>
      <w:r>
        <w:rPr>
          <w:rtl w:val="true"/>
        </w:rPr>
        <w:t>בחירת התביעה בניסוח כתב האישום</w:t>
      </w:r>
      <w:r>
        <w:rPr>
          <w:rtl w:val="true"/>
        </w:rPr>
        <w:t xml:space="preserve">, </w:t>
      </w:r>
      <w:r>
        <w:rPr>
          <w:rtl w:val="true"/>
        </w:rPr>
        <w:t>והחלטת בית המשפט קמא בהכרעת הדין</w:t>
      </w:r>
      <w:r>
        <w:rPr>
          <w:rtl w:val="true"/>
        </w:rPr>
        <w:t xml:space="preserve">, </w:t>
      </w:r>
      <w:r>
        <w:rPr>
          <w:rtl w:val="true"/>
        </w:rPr>
        <w:t>לפצל את האירוע לשתי עבירות אינוס נפרדות אינן מצדיקות התערבות של ערכאת הערעור</w:t>
      </w:r>
      <w:r>
        <w:rPr>
          <w:rtl w:val="true"/>
        </w:rPr>
        <w:t xml:space="preserve">. </w:t>
      </w:r>
      <w:r>
        <w:rPr>
          <w:rtl w:val="true"/>
        </w:rPr>
        <w:t>ויודגש</w:t>
      </w:r>
      <w:r>
        <w:rPr>
          <w:rtl w:val="true"/>
        </w:rPr>
        <w:t xml:space="preserve">, </w:t>
      </w:r>
      <w:r>
        <w:rPr>
          <w:rtl w:val="true"/>
        </w:rPr>
        <w:t>בין כך ובין כך</w:t>
      </w:r>
      <w:r>
        <w:rPr>
          <w:rtl w:val="true"/>
        </w:rPr>
        <w:t xml:space="preserve">, </w:t>
      </w:r>
      <w:r>
        <w:rPr>
          <w:rtl w:val="true"/>
        </w:rPr>
        <w:t>פגיעתו של המערער במתלוננת קשה וכואבת עד מאד</w:t>
      </w:r>
      <w:r>
        <w:rPr>
          <w:rtl w:val="true"/>
        </w:rPr>
        <w:t xml:space="preserve">. </w:t>
      </w:r>
      <w:r>
        <w:rPr>
          <w:rtl w:val="true"/>
        </w:rPr>
        <w:t>עוצמת הפגיעה אינה נקבעת לפי החלוקה למספר מעשים</w:t>
      </w:r>
      <w:r>
        <w:rPr>
          <w:rtl w:val="true"/>
        </w:rPr>
        <w:t xml:space="preserve">, </w:t>
      </w:r>
      <w:r>
        <w:rPr>
          <w:rtl w:val="true"/>
        </w:rPr>
        <w:t>אלא נגזרת מהחומרה המיוחסת למכלול המעשים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גם את דינו של המערער יש לגזור בהלימה לחומרת המעשים</w:t>
      </w:r>
      <w:r>
        <w:rPr>
          <w:rtl w:val="true"/>
        </w:rPr>
        <w:t xml:space="preserve">, </w:t>
      </w:r>
      <w:r>
        <w:rPr>
          <w:rtl w:val="true"/>
        </w:rPr>
        <w:t>וזאת בין אם יאוחדו לעבירת אינוס אחת ובין אם יפוצלו לשתי עבירות אינוס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את הדיון בערעורים על גזר הדין יש לפתוח בהלכה לפיה אין זו מדרכה של ערכאת הערעור למצות את הדין עם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ועל כן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 xml:space="preserve">לא תתערב </w:t>
      </w:r>
      <w:r>
        <w:rPr>
          <w:rtl w:val="true"/>
        </w:rPr>
        <w:t>בעונשים</w:t>
      </w:r>
      <w:r>
        <w:rPr>
          <w:rtl w:val="true"/>
        </w:rPr>
        <w:t xml:space="preserve"> </w:t>
      </w:r>
      <w:r>
        <w:rPr>
          <w:rtl w:val="true"/>
        </w:rPr>
        <w:t>שגזרה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מקרים</w:t>
      </w:r>
      <w:r>
        <w:rPr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 </w:t>
      </w:r>
      <w:r>
        <w:rPr>
          <w:rtl w:val="true"/>
        </w:rPr>
        <w:t xml:space="preserve">שבהם דבקה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 xml:space="preserve">כשהוא </w:t>
      </w:r>
      <w:r>
        <w:rPr>
          <w:rtl w:val="true"/>
        </w:rPr>
        <w:t>סוטה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קיצוני</w:t>
      </w:r>
      <w:r>
        <w:rPr>
          <w:rtl w:val="true"/>
        </w:rPr>
        <w:t xml:space="preserve"> </w:t>
      </w:r>
      <w:r>
        <w:rPr>
          <w:rtl w:val="true"/>
        </w:rPr>
        <w:t>ממדיניות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>:</w:t>
      </w:r>
      <w:r>
        <w:rPr>
          <w:rtl w:val="true"/>
        </w:rPr>
        <w:t xml:space="preserve"> </w:t>
      </w:r>
      <w:hyperlink r:id="rId7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8280/15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גולאני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28.3.2016</w:t>
      </w:r>
      <w:r>
        <w:rPr>
          <w:rtl w:val="true"/>
        </w:rPr>
        <w:t xml:space="preserve">); </w:t>
      </w:r>
      <w:hyperlink r:id="rId7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8720/15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פינטו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</w:t>
      </w:r>
      <w:r>
        <w:rPr/>
        <w:t>9</w:t>
      </w:r>
      <w:r>
        <w:rPr/>
        <w:t>.2016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7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1935/20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</w:t>
      </w:r>
      <w:r>
        <w:rPr/>
        <w:t>3</w:t>
      </w:r>
      <w:r>
        <w:rPr/>
        <w:t>.2021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7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2211/21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בדארנה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14.7.2022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בטרם</w:t>
      </w:r>
      <w:r>
        <w:rPr>
          <w:rtl w:val="true"/>
        </w:rPr>
        <w:t xml:space="preserve"> </w:t>
      </w:r>
      <w:r>
        <w:rPr>
          <w:rtl w:val="true"/>
        </w:rPr>
        <w:t>אדרש</w:t>
      </w:r>
      <w:r>
        <w:rPr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, </w:t>
      </w:r>
      <w:r>
        <w:rPr>
          <w:rtl w:val="true"/>
        </w:rPr>
        <w:t>אקדים</w:t>
      </w:r>
      <w:r>
        <w:rPr>
          <w:rtl w:val="true"/>
        </w:rPr>
        <w:t xml:space="preserve"> </w:t>
      </w:r>
      <w:r>
        <w:rPr>
          <w:rtl w:val="true"/>
        </w:rPr>
        <w:t>מסקנה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דיון</w:t>
      </w:r>
      <w:r>
        <w:rPr>
          <w:rtl w:val="true"/>
        </w:rPr>
        <w:t xml:space="preserve">, </w:t>
      </w:r>
      <w:r>
        <w:rPr>
          <w:rtl w:val="true"/>
        </w:rPr>
        <w:t>ואבהיר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מצאתי</w:t>
      </w:r>
      <w:r>
        <w:rPr>
          <w:rtl w:val="true"/>
        </w:rPr>
        <w:t xml:space="preserve"> </w:t>
      </w:r>
      <w:r>
        <w:rPr>
          <w:rtl w:val="true"/>
        </w:rPr>
        <w:t>שהמקרה</w:t>
      </w:r>
      <w:r>
        <w:rPr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 – </w:t>
      </w:r>
      <w:r>
        <w:rPr>
          <w:rtl w:val="true"/>
        </w:rPr>
        <w:t>חרף</w:t>
      </w:r>
      <w:r>
        <w:rPr>
          <w:rtl w:val="true"/>
        </w:rPr>
        <w:t xml:space="preserve"> </w:t>
      </w:r>
      <w:r>
        <w:rPr>
          <w:rtl w:val="true"/>
        </w:rPr>
        <w:t>קביעותיי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 </w:t>
      </w:r>
      <w:r>
        <w:rPr>
          <w:rtl w:val="true"/>
        </w:rPr>
        <w:t>הכרעת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–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נמנה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 פעם עמד בית משפט זה על החומרה הרבה שבעבירות מין</w:t>
      </w:r>
      <w:r>
        <w:rPr>
          <w:rtl w:val="true"/>
        </w:rPr>
        <w:t xml:space="preserve">, </w:t>
      </w:r>
      <w:r>
        <w:rPr>
          <w:rtl w:val="true"/>
        </w:rPr>
        <w:t>כמו גם על השלכותיהן ההרסניות על קורבנותיהן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עבירות מין נושאות משמעות כה טראומתית</w:t>
      </w:r>
      <w:r>
        <w:rPr>
          <w:rtl w:val="true"/>
        </w:rPr>
        <w:t xml:space="preserve">, </w:t>
      </w:r>
      <w:r>
        <w:rPr>
          <w:rtl w:val="true"/>
        </w:rPr>
        <w:t>אלימה</w:t>
      </w:r>
      <w:r>
        <w:rPr>
          <w:rtl w:val="true"/>
        </w:rPr>
        <w:t xml:space="preserve">, </w:t>
      </w:r>
      <w:r>
        <w:rPr>
          <w:rtl w:val="true"/>
        </w:rPr>
        <w:t>מטלטלת ופוגענית</w:t>
      </w:r>
      <w:r>
        <w:rPr>
          <w:rtl w:val="true"/>
        </w:rPr>
        <w:t xml:space="preserve">, </w:t>
      </w:r>
      <w:r>
        <w:rPr>
          <w:rtl w:val="true"/>
        </w:rPr>
        <w:t>שלא פעם נדמה כי אין ביכולתן של מילים לתאר אותן</w:t>
      </w:r>
      <w:r>
        <w:rPr>
          <w:rtl w:val="true"/>
        </w:rPr>
        <w:t xml:space="preserve">, </w:t>
      </w:r>
      <w:r>
        <w:rPr>
          <w:rtl w:val="true"/>
        </w:rPr>
        <w:t>על מלוא מורכבותן והזעזוע שבהן</w:t>
      </w:r>
      <w:r>
        <w:rPr>
          <w:rtl w:val="true"/>
        </w:rPr>
        <w:t xml:space="preserve">. </w:t>
      </w:r>
      <w:r>
        <w:rPr>
          <w:rtl w:val="true"/>
        </w:rPr>
        <w:t xml:space="preserve">עמדה על כך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וילנר</w:t>
      </w:r>
      <w:r>
        <w:rPr>
          <w:rtl w:val="true"/>
        </w:rPr>
        <w:t xml:space="preserve"> ב</w:t>
      </w:r>
      <w:hyperlink r:id="rId7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8153/19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25.10.2020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>):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ascii="Times New Roman" w:hAnsi="Times New Roman" w:cs="Times New Roman"/>
          <w:spacing w:val="0"/>
          <w:szCs w:val="20"/>
        </w:rPr>
      </w:pP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השלכותיהן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ההרסניות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</w:t>
      </w:r>
      <w:r>
        <w:rPr>
          <w:rtl w:val="true"/>
        </w:rPr>
        <w:t xml:space="preserve">, </w:t>
      </w:r>
      <w:r>
        <w:rPr>
          <w:rtl w:val="true"/>
        </w:rPr>
        <w:t>גורמות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ובאוטונומיה</w:t>
      </w:r>
      <w:r>
        <w:rPr>
          <w:rtl w:val="true"/>
        </w:rPr>
        <w:t xml:space="preserve">, </w:t>
      </w:r>
      <w:r>
        <w:rPr>
          <w:rtl w:val="true"/>
        </w:rPr>
        <w:t>הופכות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למגוון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וגופניות</w:t>
      </w:r>
      <w:r>
        <w:rPr>
          <w:rtl w:val="true"/>
        </w:rPr>
        <w:t xml:space="preserve">, </w:t>
      </w:r>
      <w:r>
        <w:rPr>
          <w:rtl w:val="true"/>
        </w:rPr>
        <w:t>המצריכות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מורכבים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שטרם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התפתחותו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הגופנית</w:t>
      </w:r>
      <w:r>
        <w:rPr>
          <w:rtl w:val="true"/>
        </w:rPr>
        <w:t xml:space="preserve">, </w:t>
      </w:r>
      <w:r>
        <w:rPr>
          <w:rtl w:val="true"/>
        </w:rPr>
        <w:t>הנפשית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והשכלית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ומאושר</w:t>
      </w:r>
      <w:r>
        <w:rPr>
          <w:rtl w:val="true"/>
        </w:rPr>
        <w:t xml:space="preserve">. </w:t>
      </w:r>
      <w:r>
        <w:rPr>
          <w:rtl w:val="true"/>
        </w:rPr>
        <w:t>השבר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45</w:t>
      </w:r>
      <w:r>
        <w:rPr>
          <w:rtl w:val="true"/>
        </w:rPr>
        <w:t>).</w:t>
      </w:r>
      <w:r>
        <w:rPr>
          <w:rFonts w:cs="Times New Roman" w:ascii="Times New Roman" w:hAnsi="Times New Roman"/>
          <w:spacing w:val="0"/>
          <w:szCs w:val="20"/>
          <w:rtl w:val="true"/>
        </w:rPr>
        <w:t xml:space="preserve"> </w:t>
      </w:r>
    </w:p>
    <w:p>
      <w:pPr>
        <w:pStyle w:val="Normal"/>
        <w:shd w:fill="FFFFFF" w:val="clear"/>
        <w:overflowPunct w:val="true"/>
        <w:autoSpaceDE w:val="true"/>
        <w:ind w:end="1276"/>
        <w:jc w:val="both"/>
        <w:textAlignment w:val="auto"/>
        <w:rPr>
          <w:rFonts w:ascii="Times New Roman" w:hAnsi="Times New Roman" w:cs="Times New Roman"/>
          <w:spacing w:val="0"/>
          <w:sz w:val="22"/>
          <w:szCs w:val="20"/>
        </w:rPr>
      </w:pPr>
      <w:r>
        <w:rPr>
          <w:rFonts w:cs="Times New Roman"/>
          <w:spacing w:val="0"/>
          <w:sz w:val="22"/>
          <w:szCs w:val="20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FrankRuehl" w:hAnsi="FrankRuehl" w:cs="FrankRuehl"/>
          <w:color w:val="000000"/>
          <w:sz w:val="28"/>
          <w:shd w:fill="FFFFFF" w:val="clear"/>
        </w:rPr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המערער עטה על עצמו מסיכה של דמות מגוננת</w:t>
      </w:r>
      <w:r>
        <w:rPr>
          <w:rtl w:val="true"/>
        </w:rPr>
        <w:t xml:space="preserve">, </w:t>
      </w:r>
      <w:r>
        <w:rPr>
          <w:rtl w:val="true"/>
        </w:rPr>
        <w:t xml:space="preserve">בהציעו למתלוננת </w:t>
      </w:r>
      <w:r>
        <w:rPr>
          <w:rtl w:val="true"/>
        </w:rPr>
        <w:t>"</w:t>
      </w:r>
      <w:r>
        <w:rPr>
          <w:rtl w:val="true"/>
        </w:rPr>
        <w:t>להצילה</w:t>
      </w:r>
      <w:r>
        <w:rPr>
          <w:rtl w:val="true"/>
        </w:rPr>
        <w:t xml:space="preserve">" </w:t>
      </w:r>
      <w:r>
        <w:rPr>
          <w:rtl w:val="true"/>
        </w:rPr>
        <w:t>מהוויכוח בפארק בכך שיסיע אותה לביתה וימנע ממנה להיקלע לקטטה</w:t>
      </w:r>
      <w:r>
        <w:rPr>
          <w:rtl w:val="true"/>
        </w:rPr>
        <w:t xml:space="preserve">. </w:t>
      </w:r>
      <w:r>
        <w:rPr>
          <w:rtl w:val="true"/>
        </w:rPr>
        <w:t>לאחר שעלה בידו לפתותה להיכנס עמו לרכבו</w:t>
      </w:r>
      <w:r>
        <w:rPr>
          <w:rtl w:val="true"/>
        </w:rPr>
        <w:t xml:space="preserve">, </w:t>
      </w:r>
      <w:r>
        <w:rPr>
          <w:rtl w:val="true"/>
        </w:rPr>
        <w:t>הוא לקח אותה לאזור מבודד ומרוחק</w:t>
      </w:r>
      <w:r>
        <w:rPr>
          <w:rtl w:val="true"/>
        </w:rPr>
        <w:t xml:space="preserve">, </w:t>
      </w:r>
      <w:r>
        <w:rPr>
          <w:rtl w:val="true"/>
        </w:rPr>
        <w:t>ושם פגע בה</w:t>
      </w:r>
      <w:r>
        <w:rPr>
          <w:rtl w:val="true"/>
        </w:rPr>
        <w:t xml:space="preserve">, </w:t>
      </w:r>
      <w:r>
        <w:rPr>
          <w:rtl w:val="true"/>
        </w:rPr>
        <w:t>באלימות ובאכזריות</w:t>
      </w:r>
      <w:r>
        <w:rPr>
          <w:rtl w:val="true"/>
        </w:rPr>
        <w:t xml:space="preserve">, </w:t>
      </w:r>
      <w:r>
        <w:rPr>
          <w:rtl w:val="true"/>
        </w:rPr>
        <w:t>כאשר לנגד עיניו עמדו אך צרכיו המיניים</w:t>
      </w:r>
      <w:r>
        <w:rPr>
          <w:rtl w:val="true"/>
        </w:rPr>
        <w:t xml:space="preserve">, </w:t>
      </w:r>
      <w:r>
        <w:rPr>
          <w:rtl w:val="true"/>
        </w:rPr>
        <w:t>תוך התעלמות מוחלטת מהמתלוננת ומתחנוניה</w:t>
      </w:r>
      <w:r>
        <w:rPr>
          <w:rtl w:val="true"/>
        </w:rPr>
        <w:t xml:space="preserve">. </w:t>
      </w:r>
      <w:r>
        <w:rPr>
          <w:rtl w:val="true"/>
        </w:rPr>
        <w:t>המתלוננת העידה בהקשר זה כי בתום האירוע</w:t>
      </w:r>
      <w:r>
        <w:rPr>
          <w:rtl w:val="true"/>
        </w:rPr>
        <w:t xml:space="preserve">, </w:t>
      </w:r>
      <w:r>
        <w:rPr>
          <w:rtl w:val="true"/>
        </w:rPr>
        <w:t>לאחר שהמערער השיג את מבוקשו</w:t>
      </w:r>
      <w:r>
        <w:rPr>
          <w:rtl w:val="true"/>
        </w:rPr>
        <w:t xml:space="preserve">, </w:t>
      </w:r>
      <w:r>
        <w:rPr>
          <w:rtl w:val="true"/>
        </w:rPr>
        <w:t>היא נסעה יחד עמו להסיע פעם נוספת חבר של המערער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כאשר האחרון נכנס לרכב</w:t>
      </w:r>
      <w:r>
        <w:rPr>
          <w:rtl w:val="true"/>
        </w:rPr>
        <w:t xml:space="preserve">, </w:t>
      </w:r>
      <w:r>
        <w:rPr>
          <w:rtl w:val="true"/>
        </w:rPr>
        <w:t xml:space="preserve">המערער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תתנהגי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וכאילו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ניגבתי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הדמעות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תבכי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ניגבתי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הדמעות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זוכרת</w:t>
      </w:r>
      <w:r>
        <w:rPr>
          <w:rtl w:val="true"/>
        </w:rPr>
        <w:t>" (</w:t>
      </w:r>
      <w:r>
        <w:rPr>
          <w:rtl w:val="true"/>
        </w:rPr>
        <w:t xml:space="preserve">פרוטוקול הדיון מיום </w:t>
      </w:r>
      <w:r>
        <w:rPr/>
        <w:t>12.3.2019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25-14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>
          <w:rFonts w:ascii="FrankRuehl" w:hAnsi="FrankRuehl" w:cs="FrankRuehl"/>
          <w:color w:val="000000"/>
          <w:sz w:val="28"/>
          <w:shd w:fill="FFFFFF" w:val="clear"/>
        </w:rPr>
      </w:pP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shd w:fill="FFFFFF" w:val="clear"/>
          <w:rtl w:val="true"/>
        </w:rPr>
        <w:t>והנה</w:t>
      </w:r>
      <w:r>
        <w:rPr>
          <w:rtl w:val="true"/>
        </w:rPr>
        <w:t xml:space="preserve">, </w:t>
      </w:r>
      <w:r>
        <w:rPr>
          <w:rtl w:val="true"/>
        </w:rPr>
        <w:t>לא חלפה יממה ו</w:t>
      </w:r>
      <w:r>
        <w:rPr>
          <w:shd w:fill="FFFFFF" w:val="clear"/>
          <w:rtl w:val="true"/>
        </w:rPr>
        <w:t>המעשים התגלו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מעשים נלוזים כדוגמת אלה שביצע המערער</w:t>
      </w:r>
      <w:r>
        <w:rPr>
          <w:shd w:fill="FFFFFF" w:val="clear"/>
          <w:rtl w:val="true"/>
        </w:rPr>
        <w:t>,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מחייבים ענישה מחמירה</w:t>
      </w:r>
      <w:r>
        <w:rPr>
          <w:shd w:fill="FFFFFF" w:val="clear"/>
          <w:rtl w:val="true"/>
        </w:rPr>
        <w:t xml:space="preserve"> ונוקשה</w:t>
      </w:r>
      <w:r>
        <w:rPr>
          <w:shd w:fill="FFFFFF" w:val="clear"/>
          <w:rtl w:val="true"/>
        </w:rPr>
        <w:t xml:space="preserve"> המבטאת את חומרת </w:t>
      </w:r>
      <w:r>
        <w:rPr>
          <w:shd w:fill="FFFFFF" w:val="clear"/>
          <w:rtl w:val="true"/>
        </w:rPr>
        <w:t>העביר</w:t>
      </w:r>
      <w:r>
        <w:rPr>
          <w:shd w:fill="FFFFFF" w:val="clear"/>
          <w:rtl w:val="true"/>
        </w:rPr>
        <w:t>ה שביצע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את </w:t>
      </w:r>
      <w:r>
        <w:rPr>
          <w:shd w:fill="FFFFFF" w:val="clear"/>
          <w:rtl w:val="true"/>
        </w:rPr>
        <w:t>ה</w:t>
      </w:r>
      <w:r>
        <w:rPr>
          <w:shd w:fill="FFFFFF" w:val="clear"/>
          <w:rtl w:val="true"/>
        </w:rPr>
        <w:t>סליד</w:t>
      </w:r>
      <w:r>
        <w:rPr>
          <w:shd w:fill="FFFFFF" w:val="clear"/>
          <w:rtl w:val="true"/>
        </w:rPr>
        <w:t>ה</w:t>
      </w:r>
      <w:r>
        <w:rPr>
          <w:shd w:fill="FFFFFF" w:val="clear"/>
          <w:rtl w:val="true"/>
        </w:rPr>
        <w:t xml:space="preserve"> ה</w:t>
      </w:r>
      <w:r>
        <w:rPr>
          <w:shd w:fill="FFFFFF" w:val="clear"/>
          <w:rtl w:val="true"/>
        </w:rPr>
        <w:t>עמוקה של ה</w:t>
      </w:r>
      <w:r>
        <w:rPr>
          <w:shd w:fill="FFFFFF" w:val="clear"/>
          <w:rtl w:val="true"/>
        </w:rPr>
        <w:t>חברה מהן ו</w:t>
      </w:r>
      <w:r>
        <w:rPr>
          <w:shd w:fill="FFFFFF" w:val="clear"/>
          <w:rtl w:val="true"/>
        </w:rPr>
        <w:t xml:space="preserve">לא פחות חשוב מכך </w:t>
      </w:r>
      <w:r>
        <w:rPr>
          <w:shd w:fill="FFFFFF" w:val="clear"/>
          <w:rtl w:val="true"/>
        </w:rPr>
        <w:t>–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את ההכרה בסבלה של המתלוננת</w:t>
      </w:r>
      <w:r>
        <w:rPr>
          <w:shd w:fill="FFFFFF" w:val="clear"/>
          <w:rtl w:val="true"/>
        </w:rPr>
        <w:t xml:space="preserve"> ובדמעות שהיא נאלצה למחות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כמו כן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מטרתה של הענישה </w:t>
      </w:r>
      <w:r>
        <w:rPr>
          <w:shd w:fill="FFFFFF" w:val="clear"/>
          <w:rtl w:val="true"/>
        </w:rPr>
        <w:t>בעביר</w:t>
      </w:r>
      <w:r>
        <w:rPr>
          <w:shd w:fill="FFFFFF" w:val="clear"/>
          <w:rtl w:val="true"/>
        </w:rPr>
        <w:t>ה דנן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 xml:space="preserve">היא </w:t>
      </w:r>
      <w:r>
        <w:rPr>
          <w:shd w:fill="FFFFFF" w:val="clear"/>
          <w:rtl w:val="true"/>
        </w:rPr>
        <w:t xml:space="preserve">להביא להרתעה </w:t>
      </w:r>
      <w:r>
        <w:rPr>
          <w:shd w:fill="FFFFFF" w:val="clear"/>
          <w:rtl w:val="true"/>
        </w:rPr>
        <w:t xml:space="preserve">אינדיווידואלית </w:t>
      </w:r>
      <w:r>
        <w:rPr>
          <w:shd w:fill="FFFFFF" w:val="clear"/>
          <w:rtl w:val="true"/>
        </w:rPr>
        <w:t xml:space="preserve">וציבורית </w:t>
      </w:r>
      <w:r>
        <w:rPr>
          <w:shd w:fill="FFFFFF" w:val="clear"/>
          <w:rtl w:val="true"/>
        </w:rPr>
        <w:t>יעילה</w:t>
      </w:r>
      <w:r>
        <w:rPr>
          <w:shd w:fill="FFFFFF" w:val="clear"/>
          <w:rtl w:val="true"/>
        </w:rPr>
        <w:t xml:space="preserve"> ומספקת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כך ש</w:t>
      </w:r>
      <w:r>
        <w:rPr>
          <w:shd w:fill="FFFFFF" w:val="clear"/>
          <w:rtl w:val="true"/>
        </w:rPr>
        <w:t>עבירות מעין אלה</w:t>
      </w:r>
      <w:r>
        <w:rPr>
          <w:shd w:fill="FFFFFF" w:val="clear"/>
          <w:rtl w:val="true"/>
        </w:rPr>
        <w:t xml:space="preserve"> ימוגרו ממחוזותינו </w:t>
      </w:r>
      <w:r>
        <w:rPr>
          <w:rFonts w:cs="Century" w:ascii="Century" w:hAnsi="Century"/>
          <w:sz w:val="22"/>
          <w:shd w:fill="FFFFFF" w:val="clear"/>
          <w:rtl w:val="true"/>
        </w:rPr>
        <w:t>(</w:t>
      </w:r>
      <w:hyperlink r:id="rId7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shd w:fill="FFFFFF" w:val="clear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shd w:fill="FFFFFF" w:val="clear"/>
          </w:rPr>
          <w:t>677/09</w:t>
        </w:r>
      </w:hyperlink>
      <w:r>
        <w:rPr>
          <w:rFonts w:cs="Century" w:ascii="Century" w:hAnsi="Century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rFonts w:cs="Century" w:ascii="Century" w:hAnsi="Century"/>
          <w:sz w:val="22"/>
          <w:shd w:fill="FFFFFF" w:val="clear"/>
          <w:rtl w:val="true"/>
        </w:rPr>
        <w:t>(</w:t>
      </w:r>
      <w:r>
        <w:rPr>
          <w:rFonts w:cs="Century" w:ascii="Century" w:hAnsi="Century"/>
          <w:sz w:val="22"/>
          <w:shd w:fill="FFFFFF" w:val="clear"/>
        </w:rPr>
        <w:t>25.10.2009</w:t>
      </w:r>
      <w:r>
        <w:rPr>
          <w:rFonts w:cs="Century" w:ascii="Century" w:hAnsi="Century"/>
          <w:sz w:val="22"/>
          <w:shd w:fill="FFFFFF" w:val="clear"/>
          <w:rtl w:val="true"/>
        </w:rPr>
        <w:t>)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; </w:t>
      </w:r>
      <w:hyperlink r:id="rId8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2240/21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שחר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8</w:t>
      </w:r>
      <w:r>
        <w:rPr>
          <w:rFonts w:cs="Century" w:ascii="Century" w:hAnsi="Century"/>
          <w:sz w:val="22"/>
        </w:rPr>
        <w:t>.11.2021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8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7880/19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83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2.8.2022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בהקשר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זה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ראוי להדגיש שחלה תמורה ב</w:t>
      </w:r>
      <w:r>
        <w:rPr>
          <w:rFonts w:ascii="Century" w:hAnsi="Century" w:cs="Century"/>
          <w:sz w:val="22"/>
          <w:sz w:val="22"/>
          <w:rtl w:val="true"/>
        </w:rPr>
        <w:t>מדיניות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הענישה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בעבירות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מין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בשנים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האחרונות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ascii="Century" w:hAnsi="Century" w:cs="Century"/>
          <w:sz w:val="22"/>
          <w:sz w:val="22"/>
          <w:rtl w:val="true"/>
        </w:rPr>
        <w:t xml:space="preserve">המדיניות הנוהגת </w:t>
      </w:r>
      <w:r>
        <w:rPr>
          <w:rFonts w:ascii="Century" w:hAnsi="Century" w:cs="Century"/>
          <w:sz w:val="22"/>
          <w:sz w:val="22"/>
          <w:rtl w:val="true"/>
        </w:rPr>
        <w:t>כיום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מחמירה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מזו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שנהגה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בעבר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בייחוד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במקרים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ascii="Century" w:hAnsi="Century" w:cs="Century"/>
          <w:sz w:val="22"/>
          <w:sz w:val="22"/>
          <w:rtl w:val="true"/>
        </w:rPr>
        <w:t>בהם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נפגע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העבירה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הוא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קטין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ascii="Century" w:hAnsi="Century" w:cs="Century"/>
          <w:sz w:val="22"/>
          <w:sz w:val="22"/>
          <w:rtl w:val="true"/>
        </w:rPr>
        <w:t>פסקה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46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8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5839/22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פסקה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10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והאסמכתאות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27.10.2022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על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יש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לבחון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טענות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הצדדים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לעניין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העונש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בראי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מגמה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זו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 xml:space="preserve">דין טענותיו של המערער לפיהן גזר דינו חורג לחומרה ממדיניות הענישה הנוהגת </w:t>
      </w:r>
      <w:r>
        <w:rPr>
          <w:rtl w:val="true"/>
        </w:rPr>
        <w:t>–</w:t>
      </w:r>
      <w:r>
        <w:rPr>
          <w:rtl w:val="true"/>
        </w:rPr>
        <w:t xml:space="preserve"> טענות אשר גובו באסמכתאות מלפני למעלה מעשור </w:t>
      </w:r>
      <w:r>
        <w:rPr>
          <w:rtl w:val="true"/>
        </w:rPr>
        <w:t>–</w:t>
      </w:r>
      <w:r>
        <w:rPr>
          <w:rtl w:val="true"/>
        </w:rPr>
        <w:t xml:space="preserve"> להידחות</w:t>
      </w:r>
      <w:r>
        <w:rPr>
          <w:rtl w:val="true"/>
        </w:rPr>
        <w:t xml:space="preserve">. </w:t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אין לקבל גם את טענתו של המערער לפיה בית משפט קמא סטה מן הדין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התחשב</w:t>
      </w:r>
      <w:r>
        <w:rPr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>בעובדה</w:t>
      </w:r>
      <w:r>
        <w:rPr>
          <w:rtl w:val="true"/>
        </w:rPr>
        <w:t xml:space="preserve"> </w:t>
      </w:r>
      <w:r>
        <w:rPr>
          <w:rtl w:val="true"/>
        </w:rPr>
        <w:t>שה</w:t>
      </w:r>
      <w:r>
        <w:rPr>
          <w:rtl w:val="true"/>
        </w:rPr>
        <w:t>מערער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ביצוע המעשים</w:t>
      </w:r>
      <w:r>
        <w:rPr>
          <w:rtl w:val="true"/>
        </w:rPr>
        <w:t xml:space="preserve">, </w:t>
      </w:r>
      <w:r>
        <w:rPr>
          <w:rtl w:val="true"/>
        </w:rPr>
        <w:t>וממילא לא ייתר את ניהול המשפט</w:t>
      </w:r>
      <w:r>
        <w:rPr>
          <w:rtl w:val="true"/>
        </w:rPr>
        <w:t xml:space="preserve">, </w:t>
      </w:r>
      <w:r>
        <w:rPr>
          <w:rtl w:val="true"/>
        </w:rPr>
        <w:t>ובכלל זה את העדת המתלוננת</w:t>
      </w:r>
      <w:r>
        <w:rPr>
          <w:rtl w:val="true"/>
        </w:rPr>
        <w:t xml:space="preserve">. </w:t>
      </w:r>
      <w:r>
        <w:rPr>
          <w:rtl w:val="true"/>
        </w:rPr>
        <w:t>כלל ידוע הוא כי בעת גזירת דינו של הנאשם</w:t>
      </w:r>
      <w:r>
        <w:rPr>
          <w:rtl w:val="true"/>
        </w:rPr>
        <w:t xml:space="preserve">, </w:t>
      </w:r>
      <w:r>
        <w:rPr>
          <w:rtl w:val="true"/>
        </w:rPr>
        <w:t>כפירתו באשמה לא תשמש לחובתו</w:t>
      </w:r>
      <w:r>
        <w:rPr>
          <w:rtl w:val="true"/>
        </w:rPr>
        <w:t xml:space="preserve">, </w:t>
      </w:r>
      <w:r>
        <w:rPr>
          <w:rtl w:val="true"/>
        </w:rPr>
        <w:t xml:space="preserve">אך גם לא תזכה אותו בהתחשבות אשר עשויה להינתן למי שהודה במעשיו ונטל עליהם אחריות </w:t>
      </w:r>
      <w:r>
        <w:rPr>
          <w:rtl w:val="true"/>
        </w:rPr>
        <w:t>(</w:t>
      </w:r>
      <w:hyperlink r:id="rId83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84">
        <w:r>
          <w:rPr>
            <w:rStyle w:val="Hyperlink"/>
            <w:rtl w:val="true"/>
          </w:rPr>
          <w:t>יא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עוד הוסיף המערער לעניין זה</w:t>
      </w:r>
      <w:r>
        <w:rPr>
          <w:rtl w:val="true"/>
        </w:rPr>
        <w:t xml:space="preserve">, </w:t>
      </w:r>
      <w:r>
        <w:rPr>
          <w:rtl w:val="true"/>
        </w:rPr>
        <w:t xml:space="preserve">כי אם הוא יזוכה מעבירת החטיפה </w:t>
      </w:r>
      <w:r>
        <w:rPr>
          <w:rtl w:val="true"/>
        </w:rPr>
        <w:t>(</w:t>
      </w:r>
      <w:r>
        <w:rPr>
          <w:rtl w:val="true"/>
        </w:rPr>
        <w:t>אשר כזכור</w:t>
      </w:r>
      <w:r>
        <w:rPr>
          <w:rtl w:val="true"/>
        </w:rPr>
        <w:t xml:space="preserve">, </w:t>
      </w:r>
      <w:r>
        <w:rPr>
          <w:rtl w:val="true"/>
        </w:rPr>
        <w:t>המדינה הסכימה למחוק את האישום בגינה בדיון שהתקיים לפנינו</w:t>
      </w:r>
      <w:r>
        <w:rPr>
          <w:rtl w:val="true"/>
        </w:rPr>
        <w:t xml:space="preserve">), </w:t>
      </w:r>
      <w:r>
        <w:rPr>
          <w:rtl w:val="true"/>
        </w:rPr>
        <w:t>כמו גם מעבירות נוספות</w:t>
      </w:r>
      <w:r>
        <w:rPr>
          <w:rtl w:val="true"/>
        </w:rPr>
        <w:t xml:space="preserve">, </w:t>
      </w:r>
      <w:r>
        <w:rPr>
          <w:rtl w:val="true"/>
        </w:rPr>
        <w:t>אזי שרק מטעם זה יש להפחית את עונשו באופן משמעותי</w:t>
      </w:r>
      <w:r>
        <w:rPr>
          <w:rtl w:val="true"/>
        </w:rPr>
        <w:t xml:space="preserve">. </w:t>
      </w:r>
      <w:r>
        <w:rPr>
          <w:rtl w:val="true"/>
        </w:rPr>
        <w:t>אף דינה של טענה זו להידחות</w:t>
      </w:r>
      <w:r>
        <w:rPr>
          <w:rtl w:val="true"/>
        </w:rPr>
        <w:t xml:space="preserve">. </w:t>
      </w:r>
      <w:r>
        <w:rPr>
          <w:rtl w:val="true"/>
        </w:rPr>
        <w:t xml:space="preserve">ככל שמדובר בקביעות כי עבירת המעשים המגונים בעניינו של המערער </w:t>
      </w:r>
      <w:r>
        <w:rPr>
          <w:rtl w:val="true"/>
        </w:rPr>
        <w:t>"</w:t>
      </w:r>
      <w:r>
        <w:rPr>
          <w:rtl w:val="true"/>
        </w:rPr>
        <w:t>נבלעת</w:t>
      </w:r>
      <w:r>
        <w:rPr>
          <w:rtl w:val="true"/>
        </w:rPr>
        <w:t xml:space="preserve">" </w:t>
      </w:r>
      <w:r>
        <w:rPr>
          <w:rtl w:val="true"/>
        </w:rPr>
        <w:t>בעבירת האינוס</w:t>
      </w:r>
      <w:r>
        <w:rPr>
          <w:rtl w:val="true"/>
        </w:rPr>
        <w:t xml:space="preserve">, </w:t>
      </w:r>
      <w:r>
        <w:rPr>
          <w:rtl w:val="true"/>
        </w:rPr>
        <w:t>הרי שאין בה כדי לשנות</w:t>
      </w:r>
      <w:r>
        <w:rPr>
          <w:rtl w:val="true"/>
        </w:rPr>
        <w:t xml:space="preserve">, </w:t>
      </w:r>
      <w:r>
        <w:rPr>
          <w:rtl w:val="true"/>
        </w:rPr>
        <w:t>לא כל שכן להקל</w:t>
      </w:r>
      <w:r>
        <w:rPr>
          <w:rtl w:val="true"/>
        </w:rPr>
        <w:t xml:space="preserve">, </w:t>
      </w:r>
      <w:r>
        <w:rPr>
          <w:rtl w:val="true"/>
        </w:rPr>
        <w:t>מחומרת מעשיו של המערער ומהאכזריות שאפיינה אותם</w:t>
      </w:r>
      <w:r>
        <w:rPr>
          <w:rtl w:val="true"/>
        </w:rPr>
        <w:t xml:space="preserve">, </w:t>
      </w:r>
      <w:r>
        <w:rPr>
          <w:rtl w:val="true"/>
        </w:rPr>
        <w:t>כפי שעולה מהתיאור שלעיל</w:t>
      </w:r>
      <w:r>
        <w:rPr>
          <w:rtl w:val="true"/>
        </w:rPr>
        <w:t xml:space="preserve">. </w:t>
      </w:r>
      <w:r>
        <w:rPr>
          <w:rtl w:val="true"/>
        </w:rPr>
        <w:t>שונים הדברים ביחס לזיכוי מעבירת החטיפה</w:t>
      </w:r>
      <w:r>
        <w:rPr>
          <w:rtl w:val="true"/>
        </w:rPr>
        <w:t xml:space="preserve">. </w:t>
      </w:r>
      <w:r>
        <w:rPr>
          <w:rtl w:val="true"/>
        </w:rPr>
        <w:t>זיכוי שכזה בערעור מצדיק במקרה הרגיל הקלה בעונש שנגזר על ידי הערכאה קמא</w:t>
      </w:r>
      <w:r>
        <w:rPr>
          <w:rtl w:val="true"/>
        </w:rPr>
        <w:t xml:space="preserve">, </w:t>
      </w:r>
      <w:r>
        <w:rPr>
          <w:rtl w:val="true"/>
        </w:rPr>
        <w:t>אך לא כן במקרה דנן</w:t>
      </w:r>
      <w:r>
        <w:rPr>
          <w:rtl w:val="true"/>
        </w:rPr>
        <w:t xml:space="preserve">. </w:t>
      </w:r>
      <w:r>
        <w:rPr>
          <w:rtl w:val="true"/>
        </w:rPr>
        <w:t>אבהיר עניין זה אגב הדיון בערעור המדינה על קולת העונש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בערעור שהוגש מטעמה</w:t>
      </w:r>
      <w:r>
        <w:rPr>
          <w:rtl w:val="true"/>
        </w:rPr>
        <w:t xml:space="preserve">, </w:t>
      </w:r>
      <w:r>
        <w:rPr>
          <w:rtl w:val="true"/>
        </w:rPr>
        <w:t>טענה המדינה כי העונש שנגזר על הנאשם הינו מקל יתר על המידה</w:t>
      </w:r>
      <w:r>
        <w:rPr>
          <w:rtl w:val="true"/>
        </w:rPr>
        <w:t xml:space="preserve">. </w:t>
      </w:r>
      <w:r>
        <w:rPr>
          <w:rtl w:val="true"/>
        </w:rPr>
        <w:t>המדינה עמדה על ערעורה גם בהינתן הסכמתה לביטול ההרשעה בעבירת החטיפה</w:t>
      </w:r>
      <w:r>
        <w:rPr>
          <w:rtl w:val="true"/>
        </w:rPr>
        <w:t xml:space="preserve">, </w:t>
      </w:r>
      <w:r>
        <w:rPr>
          <w:rtl w:val="true"/>
        </w:rPr>
        <w:t>וזאת לאור החומרה שהיא מייחסת להרשעה בעבירות האינוס</w:t>
      </w:r>
      <w:r>
        <w:rPr>
          <w:rtl w:val="true"/>
        </w:rPr>
        <w:t xml:space="preserve">. </w:t>
      </w:r>
      <w:r>
        <w:rPr>
          <w:rtl w:val="true"/>
        </w:rPr>
        <w:t>מצאתי טעם בטענות המדינה</w:t>
      </w:r>
      <w:r>
        <w:rPr>
          <w:rtl w:val="true"/>
        </w:rPr>
        <w:t xml:space="preserve">, </w:t>
      </w:r>
      <w:r>
        <w:rPr>
          <w:rtl w:val="true"/>
        </w:rPr>
        <w:t>שעולות בקנה אחד עם מדיניות הענישה הנוהגת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רמת הענישה בגין עבירות מין חמורות עלתה בשנים האחרונות</w:t>
      </w:r>
      <w:r>
        <w:rPr>
          <w:rtl w:val="true"/>
        </w:rPr>
        <w:t xml:space="preserve">, </w:t>
      </w:r>
      <w:r>
        <w:rPr>
          <w:rtl w:val="true"/>
        </w:rPr>
        <w:t xml:space="preserve">ובגין מעשה </w:t>
      </w:r>
      <w:r>
        <w:rPr>
          <w:rtl w:val="true"/>
        </w:rPr>
        <w:t>"</w:t>
      </w:r>
      <w:r>
        <w:rPr>
          <w:rtl w:val="true"/>
        </w:rPr>
        <w:t>אונס בשדה</w:t>
      </w:r>
      <w:r>
        <w:rPr>
          <w:rtl w:val="true"/>
        </w:rPr>
        <w:t xml:space="preserve">" </w:t>
      </w:r>
      <w:r>
        <w:rPr>
          <w:rtl w:val="true"/>
        </w:rPr>
        <w:t>אלים ואכזרי מהסוג המיוחס למערער</w:t>
      </w:r>
      <w:r>
        <w:rPr>
          <w:rtl w:val="true"/>
        </w:rPr>
        <w:t xml:space="preserve">, </w:t>
      </w:r>
      <w:r>
        <w:rPr>
          <w:rtl w:val="true"/>
        </w:rPr>
        <w:t>מקובל וראוי להטיל כיום עונש העולה במספר שנות מאסר על זה שנגזר על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בוודאי כשמדובר במי שעברו הפלילי מכביד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8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3265/22</w:t>
        </w:r>
      </w:hyperlink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דעת הרוב</w:t>
      </w:r>
      <w:r>
        <w:rPr>
          <w:rtl w:val="true"/>
        </w:rPr>
        <w:t xml:space="preserve">, </w:t>
      </w:r>
      <w:r>
        <w:rPr>
          <w:rtl w:val="true"/>
        </w:rPr>
        <w:t>בניגוד לעמדתי</w:t>
      </w:r>
      <w:r>
        <w:rPr>
          <w:rtl w:val="true"/>
        </w:rPr>
        <w:t xml:space="preserve">, </w:t>
      </w:r>
      <w:r>
        <w:rPr>
          <w:rtl w:val="true"/>
        </w:rPr>
        <w:t xml:space="preserve">הותירה על כנו עונש של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ע</w:t>
      </w:r>
      <w:r>
        <w:rPr>
          <w:rtl w:val="true"/>
        </w:rPr>
        <w:t xml:space="preserve">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אלהיגא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(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). </w:t>
      </w:r>
      <w:r>
        <w:rPr>
          <w:rtl w:val="true"/>
        </w:rPr>
        <w:t>יצוין כי בשונה מהמערער בו עסקינן</w:t>
      </w:r>
      <w:r>
        <w:rPr>
          <w:rtl w:val="true"/>
        </w:rPr>
        <w:t xml:space="preserve">, </w:t>
      </w:r>
      <w:r>
        <w:rPr>
          <w:rtl w:val="true"/>
        </w:rPr>
        <w:t>שני פסקי הדין הללו דנו בנאשמים שאומנם לא היה להם עבר פלילי מכביד</w:t>
      </w:r>
      <w:r>
        <w:rPr>
          <w:rtl w:val="true"/>
        </w:rPr>
        <w:t xml:space="preserve">, </w:t>
      </w:r>
      <w:r>
        <w:rPr>
          <w:rtl w:val="true"/>
        </w:rPr>
        <w:t>ואולם אירועי האונס האלימים והאכזריים בגינם הורשעו</w:t>
      </w:r>
      <w:r>
        <w:rPr>
          <w:rtl w:val="true"/>
        </w:rPr>
        <w:t xml:space="preserve">, </w:t>
      </w:r>
      <w:r>
        <w:rPr>
          <w:rtl w:val="true"/>
        </w:rPr>
        <w:t>והעבירות שיוחסו להם בעטיים</w:t>
      </w:r>
      <w:r>
        <w:rPr>
          <w:rtl w:val="true"/>
        </w:rPr>
        <w:t xml:space="preserve">, </w:t>
      </w:r>
      <w:r>
        <w:rPr>
          <w:rtl w:val="true"/>
        </w:rPr>
        <w:t>חמורים מהמיוחס למערער</w:t>
      </w:r>
      <w:r>
        <w:rPr>
          <w:rtl w:val="true"/>
        </w:rPr>
        <w:t xml:space="preserve">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בנסיבות אחרות יתכן שהיה מקום לקבל את ערעורה של המדינה ולהחמיר בעונשו של המערער</w:t>
      </w:r>
      <w:r>
        <w:rPr>
          <w:rtl w:val="true"/>
        </w:rPr>
        <w:t xml:space="preserve">. </w:t>
      </w:r>
      <w:r>
        <w:rPr>
          <w:rtl w:val="true"/>
        </w:rPr>
        <w:t>אלא שבמקרה זה</w:t>
      </w:r>
      <w:r>
        <w:rPr>
          <w:rtl w:val="true"/>
        </w:rPr>
        <w:t xml:space="preserve">, </w:t>
      </w:r>
      <w:r>
        <w:rPr>
          <w:rtl w:val="true"/>
        </w:rPr>
        <w:t>כנגד הטענות לחומרת המעשים</w:t>
      </w:r>
      <w:r>
        <w:rPr>
          <w:rtl w:val="true"/>
        </w:rPr>
        <w:t xml:space="preserve">, </w:t>
      </w:r>
      <w:r>
        <w:rPr>
          <w:rtl w:val="true"/>
        </w:rPr>
        <w:t>יש לשקול לזכותו של המערער את הקביעות ביחס להכרעת הדין</w:t>
      </w:r>
      <w:r>
        <w:rPr>
          <w:rtl w:val="true"/>
        </w:rPr>
        <w:t xml:space="preserve">, </w:t>
      </w:r>
      <w:r>
        <w:rPr>
          <w:rtl w:val="true"/>
        </w:rPr>
        <w:t>באשר לפגם שנפל בניהול ההליך קמא ולזיכויו</w:t>
      </w:r>
      <w:r>
        <w:rPr>
          <w:rtl w:val="true"/>
        </w:rPr>
        <w:t xml:space="preserve">, </w:t>
      </w:r>
      <w:r>
        <w:rPr>
          <w:rtl w:val="true"/>
        </w:rPr>
        <w:t>בהסכמת המדינה</w:t>
      </w:r>
      <w:r>
        <w:rPr>
          <w:rtl w:val="true"/>
        </w:rPr>
        <w:t xml:space="preserve">, </w:t>
      </w:r>
      <w:r>
        <w:rPr>
          <w:rtl w:val="true"/>
        </w:rPr>
        <w:t>מעבירת החטיפה</w:t>
      </w:r>
      <w:r>
        <w:rPr>
          <w:rtl w:val="true"/>
        </w:rPr>
        <w:t xml:space="preserve">. </w:t>
      </w:r>
      <w:r>
        <w:rPr>
          <w:rtl w:val="true"/>
        </w:rPr>
        <w:t>לכך יש ליתן משקל בבחינת העונש שנגזר על המערער</w:t>
      </w:r>
      <w:r>
        <w:rPr>
          <w:rtl w:val="true"/>
        </w:rPr>
        <w:t xml:space="preserve">. </w:t>
      </w:r>
      <w:r>
        <w:rPr>
          <w:rtl w:val="true"/>
        </w:rPr>
        <w:t>באיזון כל האמור</w:t>
      </w:r>
      <w:r>
        <w:rPr>
          <w:rtl w:val="true"/>
        </w:rPr>
        <w:t xml:space="preserve">, </w:t>
      </w:r>
      <w:r>
        <w:rPr>
          <w:rtl w:val="true"/>
        </w:rPr>
        <w:t>הגעתי לפיכך למסקנה כי שיקולי ההתערבות מתקזזים</w:t>
      </w:r>
      <w:r>
        <w:rPr>
          <w:rtl w:val="true"/>
        </w:rPr>
        <w:t xml:space="preserve">, </w:t>
      </w:r>
      <w:r>
        <w:rPr>
          <w:rtl w:val="true"/>
        </w:rPr>
        <w:t>ואין להתערב במידת העונש שנקבע על ידי בית משפט קמא</w:t>
      </w:r>
      <w:r>
        <w:rPr>
          <w:rtl w:val="true"/>
        </w:rPr>
        <w:t xml:space="preserve">, </w:t>
      </w:r>
      <w:r>
        <w:rPr>
          <w:rtl w:val="true"/>
        </w:rPr>
        <w:t>לא לקולה ולא לחומרה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אם תישמע דעתי</w:t>
      </w:r>
      <w:r>
        <w:rPr>
          <w:rtl w:val="true"/>
        </w:rPr>
        <w:t xml:space="preserve">, </w:t>
      </w:r>
      <w:r>
        <w:rPr>
          <w:rtl w:val="true"/>
        </w:rPr>
        <w:t>ערעורו של המערער על הכרעת הדין יתקבל בחלקו</w:t>
      </w:r>
      <w:r>
        <w:rPr>
          <w:rtl w:val="true"/>
        </w:rPr>
        <w:t xml:space="preserve">, </w:t>
      </w:r>
      <w:r>
        <w:rPr>
          <w:rtl w:val="true"/>
        </w:rPr>
        <w:t xml:space="preserve">כך שיוותרו על כנן הרשעות בשתי עבירות אינוס לפי </w:t>
      </w:r>
      <w:hyperlink r:id="rId8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ויבוטלו הרשעותיו ביתר העבירות </w:t>
      </w:r>
      <w:r>
        <w:rPr>
          <w:rtl w:val="true"/>
        </w:rPr>
        <w:t>(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חטיפה ומעשים מגונים</w:t>
      </w:r>
      <w:r>
        <w:rPr>
          <w:rtl w:val="true"/>
        </w:rPr>
        <w:t xml:space="preserve">). </w:t>
      </w:r>
      <w:r>
        <w:rPr>
          <w:rtl w:val="true"/>
        </w:rPr>
        <w:t>למרות התערבות זו בהכרעת הדין</w:t>
      </w:r>
      <w:r>
        <w:rPr>
          <w:rtl w:val="true"/>
        </w:rPr>
        <w:t xml:space="preserve">, </w:t>
      </w:r>
      <w:r>
        <w:rPr>
          <w:rtl w:val="true"/>
        </w:rPr>
        <w:t>בשים לב לכך שהעונש שנגזר על המערער מקל בהינתן המעשים בגינם הורשע בעבירות האינוס ונתוניו האישיים</w:t>
      </w:r>
      <w:r>
        <w:rPr>
          <w:rtl w:val="true"/>
        </w:rPr>
        <w:t xml:space="preserve">, </w:t>
      </w:r>
      <w:r>
        <w:rPr>
          <w:rtl w:val="true"/>
        </w:rPr>
        <w:t>שני הערעורים על גזר הדין יידחו</w:t>
      </w:r>
      <w:r>
        <w:rPr>
          <w:rtl w:val="true"/>
        </w:rPr>
        <w:t xml:space="preserve">, </w:t>
      </w:r>
      <w:r>
        <w:rPr>
          <w:rtl w:val="true"/>
        </w:rPr>
        <w:t>כך שכלל רכיבי העונש שנגזרו על המערער ייוותרו על כנם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המדינה מתבקשת לתת דעתה לאמור בפסקאות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של חוות הדעת</w:t>
      </w:r>
      <w:r>
        <w:rPr>
          <w:rtl w:val="true"/>
        </w:rPr>
        <w:t xml:space="preserve">, </w:t>
      </w:r>
      <w:r>
        <w:rPr>
          <w:rtl w:val="true"/>
        </w:rPr>
        <w:t>ובכלל זה להוציא הנחיות מתאימות לגורמי התביעה הרלוואנטיים כפי שתמצא לנכון</w:t>
      </w:r>
      <w:r>
        <w:rPr>
          <w:rtl w:val="true"/>
        </w:rPr>
        <w:t>.</w:t>
      </w:r>
    </w:p>
    <w:p>
      <w:pPr>
        <w:pStyle w:val="Ruller4"/>
        <w:spacing w:lineRule="auto" w:line="48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pacing w:lineRule="auto" w:line="480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גרוסקופף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.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העקרונית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המסתייגת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פריטת</w:t>
      </w:r>
      <w:r>
        <w:rPr>
          <w:rtl w:val="true"/>
        </w:rPr>
        <w:t xml:space="preserve">"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מקטעי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מלאכותי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האצבעות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מנקודת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פוגעניות</w:t>
      </w:r>
      <w:r>
        <w:rPr>
          <w:rtl w:val="true"/>
        </w:rPr>
        <w:t xml:space="preserve">,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נקודת המבט של נפגעת העבירה</w:t>
      </w:r>
      <w:r>
        <w:rPr>
          <w:rtl w:val="true"/>
        </w:rPr>
        <w:t xml:space="preserve">, </w:t>
      </w:r>
      <w:r>
        <w:rPr>
          <w:rtl w:val="true"/>
        </w:rPr>
        <w:t>ובעשותי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פוגעניים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186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8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העובדתית</w:t>
      </w:r>
      <w:r>
        <w:rPr>
          <w:rtl w:val="true"/>
        </w:rPr>
        <w:t xml:space="preserve">,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הנכוחים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אכחד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הוטרדתי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tl w:val="true"/>
        </w:rPr>
        <w:t xml:space="preserve">, </w:t>
      </w:r>
      <w:r>
        <w:rPr>
          <w:rtl w:val="true"/>
        </w:rPr>
        <w:t>שבנסיבות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החטיפה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כשר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גרוסקופף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3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23.2.2023</w:t>
      </w:r>
      <w:r>
        <w:rPr>
          <w:rtl w:val="true"/>
        </w:rPr>
        <w:t xml:space="preserve">). </w:t>
      </w:r>
      <w:bookmarkEnd w:id="23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21007660</w:t>
      </w:r>
      <w:r>
        <w:rPr>
          <w:sz w:val="16"/>
          <w:rtl w:val="true"/>
        </w:rPr>
        <w:t>_</w:t>
      </w:r>
      <w:r>
        <w:rPr>
          <w:sz w:val="16"/>
        </w:rPr>
        <w:t>Y09.docx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אג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90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ד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ברק ארז </w:t>
      </w:r>
      <w:r>
        <w:rPr>
          <w:rFonts w:cs="David;Times New Roman" w:ascii="David;Times New Roman" w:hAnsi="David;Times New Roman"/>
          <w:color w:val="000000"/>
          <w:szCs w:val="22"/>
        </w:rPr>
        <w:t>54678313-766/21</w:t>
      </w:r>
    </w:p>
    <w:p>
      <w:pPr>
        <w:pStyle w:val="Ruller381"/>
        <w:ind w:end="0"/>
        <w:jc w:val="start"/>
        <w:rPr>
          <w:szCs w:val="20"/>
        </w:rPr>
      </w:pPr>
      <w:r>
        <w:rPr>
          <w:color w:val="000000"/>
          <w:szCs w:val="20"/>
          <w:rtl w:val="true"/>
        </w:rPr>
        <w:t>נוסח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מסמך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זה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כפוף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לשינויי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ניסוח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ועריכה</w:t>
      </w:r>
    </w:p>
    <w:p>
      <w:pPr>
        <w:pStyle w:val="Ruller381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9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92"/>
      <w:footerReference w:type="default" r:id="rId93"/>
      <w:type w:val="nextPage"/>
      <w:pgSz w:w="11906" w:h="16838"/>
      <w:pgMar w:left="1797" w:right="1985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766/21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חליל רביעה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color w:val="000000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color w:val="000000"/>
    </w:rPr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>
      <w:sz w:val="28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default">
    <w:name w:val="default"/>
    <w:qFormat/>
    <w:rPr>
      <w:rFonts w:ascii="Times New Roman" w:hAnsi="Times New Roman" w:cs="Times New Roman"/>
    </w:rPr>
  </w:style>
  <w:style w:type="character" w:styleId="term1">
    <w:name w:val="term_1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311">
    <w:name w:val="ruller 31"/>
    <w:basedOn w:val="Normal"/>
    <w:qFormat/>
    <w:pPr>
      <w:overflowPunct w:val="true"/>
      <w:textAlignment w:val="auto"/>
    </w:pPr>
    <w:rPr>
      <w:sz w:val="22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</w:pPr>
    <w:rPr/>
  </w:style>
  <w:style w:type="paragraph" w:styleId="Revision">
    <w:name w:val="Revision"/>
    <w:qFormat/>
    <w:pPr>
      <w:widowControl/>
      <w:bidi w:val="0"/>
    </w:pPr>
    <w:rPr>
      <w:rFonts w:ascii="Century" w:hAnsi="Century" w:eastAsia="Times New Roman" w:cs="FrankRuehl"/>
      <w:color w:val="auto"/>
      <w:spacing w:val="10"/>
      <w:sz w:val="20"/>
      <w:szCs w:val="28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157284" TargetMode="External"/><Relationship Id="rId3" Type="http://schemas.openxmlformats.org/officeDocument/2006/relationships/hyperlink" Target="http://www.nevo.co.il/safrut/book/23447" TargetMode="External"/><Relationship Id="rId4" Type="http://schemas.openxmlformats.org/officeDocument/2006/relationships/hyperlink" Target="http://www.nevo.co.il/safrut/book/23447" TargetMode="External"/><Relationship Id="rId5" Type="http://schemas.openxmlformats.org/officeDocument/2006/relationships/hyperlink" Target="http://www.nevo.co.il/safrut/bookgroup/412" TargetMode="External"/><Relationship Id="rId6" Type="http://schemas.openxmlformats.org/officeDocument/2006/relationships/hyperlink" Target="http://www.nevo.co.il/safrut/bookgroup/41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45.a.1" TargetMode="External"/><Relationship Id="rId9" Type="http://schemas.openxmlformats.org/officeDocument/2006/relationships/hyperlink" Target="http://www.nevo.co.il/law/70301/348.c" TargetMode="External"/><Relationship Id="rId10" Type="http://schemas.openxmlformats.org/officeDocument/2006/relationships/hyperlink" Target="http://www.nevo.co.il/law/70301/369" TargetMode="External"/><Relationship Id="rId11" Type="http://schemas.openxmlformats.org/officeDocument/2006/relationships/hyperlink" Target="http://www.nevo.co.il/law/70301/40ja.4" TargetMode="External"/><Relationship Id="rId12" Type="http://schemas.openxmlformats.org/officeDocument/2006/relationships/hyperlink" Target="http://www.nevo.co.il/law/70301/ja.6" TargetMode="External"/><Relationship Id="rId13" Type="http://schemas.openxmlformats.org/officeDocument/2006/relationships/hyperlink" Target="http://www.nevo.co.il/law/98569" TargetMode="External"/><Relationship Id="rId14" Type="http://schemas.openxmlformats.org/officeDocument/2006/relationships/hyperlink" Target="http://www.nevo.co.il/law/98569/54a.b" TargetMode="External"/><Relationship Id="rId15" Type="http://schemas.openxmlformats.org/officeDocument/2006/relationships/hyperlink" Target="http://www.nevo.co.il/law/74903" TargetMode="External"/><Relationship Id="rId16" Type="http://schemas.openxmlformats.org/officeDocument/2006/relationships/hyperlink" Target="http://www.nevo.co.il/law/74903/17.a" TargetMode="External"/><Relationship Id="rId17" Type="http://schemas.openxmlformats.org/officeDocument/2006/relationships/hyperlink" Target="http://www.nevo.co.il/law/74903/18" TargetMode="External"/><Relationship Id="rId18" Type="http://schemas.openxmlformats.org/officeDocument/2006/relationships/hyperlink" Target="http://www.nevo.co.il/law/74903/186" TargetMode="External"/><Relationship Id="rId19" Type="http://schemas.openxmlformats.org/officeDocument/2006/relationships/hyperlink" Target="http://www.nevo.co.il/law/71835" TargetMode="External"/><Relationship Id="rId20" Type="http://schemas.openxmlformats.org/officeDocument/2006/relationships/hyperlink" Target="http://www.nevo.co.il/law/71835/12" TargetMode="External"/><Relationship Id="rId21" Type="http://schemas.openxmlformats.org/officeDocument/2006/relationships/hyperlink" Target="http://www.nevo.co.il/case/25157284" TargetMode="External"/><Relationship Id="rId22" Type="http://schemas.openxmlformats.org/officeDocument/2006/relationships/hyperlink" Target="http://www.nevo.co.il/law/70301/345.a.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348.c" TargetMode="External"/><Relationship Id="rId25" Type="http://schemas.openxmlformats.org/officeDocument/2006/relationships/hyperlink" Target="http://www.nevo.co.il/law/70301/369" TargetMode="External"/><Relationship Id="rId26" Type="http://schemas.openxmlformats.org/officeDocument/2006/relationships/hyperlink" Target="http://www.nevo.co.il/law/98569/54a.b" TargetMode="External"/><Relationship Id="rId27" Type="http://schemas.openxmlformats.org/officeDocument/2006/relationships/hyperlink" Target="http://www.nevo.co.il/law/98569" TargetMode="External"/><Relationship Id="rId28" Type="http://schemas.openxmlformats.org/officeDocument/2006/relationships/hyperlink" Target="http://www.nevo.co.il/case/5614465" TargetMode="External"/><Relationship Id="rId29" Type="http://schemas.openxmlformats.org/officeDocument/2006/relationships/hyperlink" Target="http://www.nevo.co.il/case/6987507" TargetMode="External"/><Relationship Id="rId30" Type="http://schemas.openxmlformats.org/officeDocument/2006/relationships/hyperlink" Target="http://www.nevo.co.il/case/13054949" TargetMode="External"/><Relationship Id="rId31" Type="http://schemas.openxmlformats.org/officeDocument/2006/relationships/hyperlink" Target="http://www.nevo.co.il/case/25051015" TargetMode="External"/><Relationship Id="rId32" Type="http://schemas.openxmlformats.org/officeDocument/2006/relationships/hyperlink" Target="http://www.nevo.co.il/law/74903/17.a" TargetMode="External"/><Relationship Id="rId33" Type="http://schemas.openxmlformats.org/officeDocument/2006/relationships/hyperlink" Target="http://www.nevo.co.il/law/74903" TargetMode="External"/><Relationship Id="rId34" Type="http://schemas.openxmlformats.org/officeDocument/2006/relationships/hyperlink" Target="http://www.nevo.co.il/law/74903" TargetMode="External"/><Relationship Id="rId35" Type="http://schemas.openxmlformats.org/officeDocument/2006/relationships/hyperlink" Target="http://www.nevo.co.il/law/74903/18" TargetMode="External"/><Relationship Id="rId36" Type="http://schemas.openxmlformats.org/officeDocument/2006/relationships/hyperlink" Target="http://www.nevo.co.il/law/74903" TargetMode="External"/><Relationship Id="rId37" Type="http://schemas.openxmlformats.org/officeDocument/2006/relationships/hyperlink" Target="http://www.nevo.co.il/case/17924104" TargetMode="External"/><Relationship Id="rId38" Type="http://schemas.openxmlformats.org/officeDocument/2006/relationships/hyperlink" Target="http://www.nevo.co.il/case/27292049" TargetMode="External"/><Relationship Id="rId39" Type="http://schemas.openxmlformats.org/officeDocument/2006/relationships/hyperlink" Target="http://www.nevo.co.il/case/6200481" TargetMode="External"/><Relationship Id="rId40" Type="http://schemas.openxmlformats.org/officeDocument/2006/relationships/hyperlink" Target="http://www.nevo.co.il/case/17943141" TargetMode="External"/><Relationship Id="rId41" Type="http://schemas.openxmlformats.org/officeDocument/2006/relationships/hyperlink" Target="http://www.nevo.co.il/case/5573727" TargetMode="External"/><Relationship Id="rId42" Type="http://schemas.openxmlformats.org/officeDocument/2006/relationships/hyperlink" Target="http://www.nevo.co.il/case/5787431" TargetMode="External"/><Relationship Id="rId43" Type="http://schemas.openxmlformats.org/officeDocument/2006/relationships/hyperlink" Target="http://www.nevo.co.il/law/71835/12" TargetMode="External"/><Relationship Id="rId44" Type="http://schemas.openxmlformats.org/officeDocument/2006/relationships/hyperlink" Target="http://www.nevo.co.il/law/71835" TargetMode="External"/><Relationship Id="rId45" Type="http://schemas.openxmlformats.org/officeDocument/2006/relationships/hyperlink" Target="http://www.nevo.co.il/safrut/book/23447" TargetMode="External"/><Relationship Id="rId46" Type="http://schemas.openxmlformats.org/officeDocument/2006/relationships/hyperlink" Target="http://www.nevo.co.il/case/6051731" TargetMode="External"/><Relationship Id="rId47" Type="http://schemas.openxmlformats.org/officeDocument/2006/relationships/hyperlink" Target="http://www.nevo.co.il/case/5789861" TargetMode="External"/><Relationship Id="rId48" Type="http://schemas.openxmlformats.org/officeDocument/2006/relationships/hyperlink" Target="http://www.nevo.co.il/case/5755601" TargetMode="External"/><Relationship Id="rId49" Type="http://schemas.openxmlformats.org/officeDocument/2006/relationships/hyperlink" Target="http://www.nevo.co.il/case/16999418" TargetMode="External"/><Relationship Id="rId50" Type="http://schemas.openxmlformats.org/officeDocument/2006/relationships/hyperlink" Target="http://www.nevo.co.il/case/22546596" TargetMode="External"/><Relationship Id="rId51" Type="http://schemas.openxmlformats.org/officeDocument/2006/relationships/hyperlink" Target="http://www.nevo.co.il/case/5674009" TargetMode="External"/><Relationship Id="rId52" Type="http://schemas.openxmlformats.org/officeDocument/2006/relationships/hyperlink" Target="http://www.nevo.co.il/safrut/bookgroup/412" TargetMode="External"/><Relationship Id="rId53" Type="http://schemas.openxmlformats.org/officeDocument/2006/relationships/hyperlink" Target="http://www.nevo.co.il/case/20010477" TargetMode="External"/><Relationship Id="rId54" Type="http://schemas.openxmlformats.org/officeDocument/2006/relationships/hyperlink" Target="http://www.nevo.co.il/case/23762313" TargetMode="External"/><Relationship Id="rId55" Type="http://schemas.openxmlformats.org/officeDocument/2006/relationships/hyperlink" Target="http://www.nevo.co.il/case/5966542" TargetMode="External"/><Relationship Id="rId56" Type="http://schemas.openxmlformats.org/officeDocument/2006/relationships/hyperlink" Target="http://www.nevo.co.il/case/6238635" TargetMode="External"/><Relationship Id="rId57" Type="http://schemas.openxmlformats.org/officeDocument/2006/relationships/hyperlink" Target="http://www.nevo.co.il/case/5681192" TargetMode="External"/><Relationship Id="rId58" Type="http://schemas.openxmlformats.org/officeDocument/2006/relationships/hyperlink" Target="http://www.nevo.co.il/law/74903/186" TargetMode="External"/><Relationship Id="rId59" Type="http://schemas.openxmlformats.org/officeDocument/2006/relationships/hyperlink" Target="http://www.nevo.co.il/law/74903" TargetMode="External"/><Relationship Id="rId60" Type="http://schemas.openxmlformats.org/officeDocument/2006/relationships/hyperlink" Target="http://www.nevo.co.il/case/13093721" TargetMode="External"/><Relationship Id="rId61" Type="http://schemas.openxmlformats.org/officeDocument/2006/relationships/hyperlink" Target="http://www.nevo.co.il/case/20798648" TargetMode="External"/><Relationship Id="rId62" Type="http://schemas.openxmlformats.org/officeDocument/2006/relationships/hyperlink" Target="http://www.nevo.co.il/case/25780332" TargetMode="External"/><Relationship Id="rId63" Type="http://schemas.openxmlformats.org/officeDocument/2006/relationships/hyperlink" Target="http://www.nevo.co.il/law/74903/186" TargetMode="External"/><Relationship Id="rId64" Type="http://schemas.openxmlformats.org/officeDocument/2006/relationships/hyperlink" Target="http://www.nevo.co.il/law/74903" TargetMode="External"/><Relationship Id="rId65" Type="http://schemas.openxmlformats.org/officeDocument/2006/relationships/hyperlink" Target="http://www.nevo.co.il/case/21478802" TargetMode="External"/><Relationship Id="rId66" Type="http://schemas.openxmlformats.org/officeDocument/2006/relationships/hyperlink" Target="http://www.nevo.co.il/case/21478802" TargetMode="External"/><Relationship Id="rId67" Type="http://schemas.openxmlformats.org/officeDocument/2006/relationships/hyperlink" Target="http://www.nevo.co.il/case/25550812" TargetMode="External"/><Relationship Id="rId68" Type="http://schemas.openxmlformats.org/officeDocument/2006/relationships/hyperlink" Target="http://www.nevo.co.il/case/28610045" TargetMode="External"/><Relationship Id="rId69" Type="http://schemas.openxmlformats.org/officeDocument/2006/relationships/hyperlink" Target="http://www.nevo.co.il/case/28610045" TargetMode="External"/><Relationship Id="rId70" Type="http://schemas.openxmlformats.org/officeDocument/2006/relationships/hyperlink" Target="http://www.nevo.co.il/case/6246900" TargetMode="External"/><Relationship Id="rId71" Type="http://schemas.openxmlformats.org/officeDocument/2006/relationships/hyperlink" Target="http://www.nevo.co.il/case/27330872" TargetMode="External"/><Relationship Id="rId72" Type="http://schemas.openxmlformats.org/officeDocument/2006/relationships/hyperlink" Target="http://www.nevo.co.il/case/21478802" TargetMode="External"/><Relationship Id="rId73" Type="http://schemas.openxmlformats.org/officeDocument/2006/relationships/hyperlink" Target="http://www.nevo.co.il/case/6243324" TargetMode="External"/><Relationship Id="rId74" Type="http://schemas.openxmlformats.org/officeDocument/2006/relationships/hyperlink" Target="http://www.nevo.co.il/case/20775010" TargetMode="External"/><Relationship Id="rId75" Type="http://schemas.openxmlformats.org/officeDocument/2006/relationships/hyperlink" Target="http://www.nevo.co.il/case/21479221" TargetMode="External"/><Relationship Id="rId76" Type="http://schemas.openxmlformats.org/officeDocument/2006/relationships/hyperlink" Target="http://www.nevo.co.il/case/26538274" TargetMode="External"/><Relationship Id="rId77" Type="http://schemas.openxmlformats.org/officeDocument/2006/relationships/hyperlink" Target="http://www.nevo.co.il/case/27508058" TargetMode="External"/><Relationship Id="rId78" Type="http://schemas.openxmlformats.org/officeDocument/2006/relationships/hyperlink" Target="http://www.nevo.co.il/case/26256014" TargetMode="External"/><Relationship Id="rId79" Type="http://schemas.openxmlformats.org/officeDocument/2006/relationships/hyperlink" Target="http://www.nevo.co.il/case/6247343" TargetMode="External"/><Relationship Id="rId80" Type="http://schemas.openxmlformats.org/officeDocument/2006/relationships/hyperlink" Target="http://www.nevo.co.il/case/27513365" TargetMode="External"/><Relationship Id="rId81" Type="http://schemas.openxmlformats.org/officeDocument/2006/relationships/hyperlink" Target="http://www.nevo.co.il/case/26226475" TargetMode="External"/><Relationship Id="rId82" Type="http://schemas.openxmlformats.org/officeDocument/2006/relationships/hyperlink" Target="http://www.nevo.co.il/case/28916093" TargetMode="External"/><Relationship Id="rId83" Type="http://schemas.openxmlformats.org/officeDocument/2006/relationships/hyperlink" Target="http://www.nevo.co.il/law/70301/40ja.4" TargetMode="External"/><Relationship Id="rId84" Type="http://schemas.openxmlformats.org/officeDocument/2006/relationships/hyperlink" Target="http://www.nevo.co.il/law/70301/ja.6" TargetMode="External"/><Relationship Id="rId85" Type="http://schemas.openxmlformats.org/officeDocument/2006/relationships/hyperlink" Target="http://www.nevo.co.il/law/70301" TargetMode="External"/><Relationship Id="rId86" Type="http://schemas.openxmlformats.org/officeDocument/2006/relationships/hyperlink" Target="http://www.nevo.co.il/case/28610045" TargetMode="External"/><Relationship Id="rId87" Type="http://schemas.openxmlformats.org/officeDocument/2006/relationships/hyperlink" Target="http://www.nevo.co.il/law/70301/345.a.1" TargetMode="External"/><Relationship Id="rId88" Type="http://schemas.openxmlformats.org/officeDocument/2006/relationships/hyperlink" Target="http://www.nevo.co.il/law/70301" TargetMode="External"/><Relationship Id="rId89" Type="http://schemas.openxmlformats.org/officeDocument/2006/relationships/hyperlink" Target="http://www.nevo.co.il/law/74903" TargetMode="External"/><Relationship Id="rId90" Type="http://schemas.openxmlformats.org/officeDocument/2006/relationships/hyperlink" Target="https://supreme.court.gov.il/" TargetMode="External"/><Relationship Id="rId91" Type="http://schemas.openxmlformats.org/officeDocument/2006/relationships/hyperlink" Target="http://www.nevo.co.il/advertisements/nevo-100.doc" TargetMode="External"/><Relationship Id="rId92" Type="http://schemas.openxmlformats.org/officeDocument/2006/relationships/header" Target="header1.xml"/><Relationship Id="rId93" Type="http://schemas.openxmlformats.org/officeDocument/2006/relationships/footer" Target="footer1.xml"/><Relationship Id="rId94" Type="http://schemas.openxmlformats.org/officeDocument/2006/relationships/numbering" Target="numbering.xml"/><Relationship Id="rId95" Type="http://schemas.openxmlformats.org/officeDocument/2006/relationships/fontTable" Target="fontTable.xml"/><Relationship Id="rId96" Type="http://schemas.openxmlformats.org/officeDocument/2006/relationships/settings" Target="settings.xml"/><Relationship Id="rId9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2023-02-26T09:49:00Z</dcterms:created>
  <dc:creator>h4</dc:creator>
  <dc:description/>
  <cp:keywords/>
  <dc:language>en-IL</dc:language>
  <cp:lastModifiedBy>orly</cp:lastModifiedBy>
  <cp:lastPrinted>2023-02-23T10:32:00Z</cp:lastPrinted>
  <dcterms:modified xsi:type="dcterms:W3CDTF">2023-02-26T09:49:00Z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חליל רביעה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412</vt:lpwstr>
  </property>
  <property fmtid="{D5CDD505-2E9C-101B-9397-08002B2CF9AE}" pid="9" name="BOOKLISTTMP1">
    <vt:lpwstr>23447</vt:lpwstr>
  </property>
  <property fmtid="{D5CDD505-2E9C-101B-9397-08002B2CF9AE}" pid="10" name="CASESLISTTMP1">
    <vt:lpwstr>25157284:2;5614465;6987507;13054949;25051015;17924104;27292049;6200481;17943141;5573727;5787431;6051731;5789861;5755601;16999418;22546596;5674009;20010477;23762313;5966542;6238635;5681192;13093721;20798648;25780332;21478802:3;25550812;28610045:3;6246900</vt:lpwstr>
  </property>
  <property fmtid="{D5CDD505-2E9C-101B-9397-08002B2CF9AE}" pid="11" name="CASESLISTTMP2">
    <vt:lpwstr>27330872;6243324;20775010;21479221;26538274;27508058;26256014;6247343;27513365;26226475;28916093</vt:lpwstr>
  </property>
  <property fmtid="{D5CDD505-2E9C-101B-9397-08002B2CF9AE}" pid="12" name="CITY">
    <vt:lpwstr/>
  </property>
  <property fmtid="{D5CDD505-2E9C-101B-9397-08002B2CF9AE}" pid="13" name="DATE">
    <vt:lpwstr>20230223</vt:lpwstr>
  </property>
  <property fmtid="{D5CDD505-2E9C-101B-9397-08002B2CF9AE}" pid="14" name="DELEMATA">
    <vt:lpwstr/>
  </property>
  <property fmtid="{D5CDD505-2E9C-101B-9397-08002B2CF9AE}" pid="15" name="ISABSTRACT">
    <vt:lpwstr>Y</vt:lpwstr>
  </property>
  <property fmtid="{D5CDD505-2E9C-101B-9397-08002B2CF9AE}" pid="16" name="JUDGE">
    <vt:lpwstr>ד' ברק ארז;ע' גרוסקופף;י' כשר</vt:lpwstr>
  </property>
  <property fmtid="{D5CDD505-2E9C-101B-9397-08002B2CF9AE}" pid="17" name="LAWLISTTMP1">
    <vt:lpwstr>70301/345.a.1:2;348.c;369;40ja.4;ja.6</vt:lpwstr>
  </property>
  <property fmtid="{D5CDD505-2E9C-101B-9397-08002B2CF9AE}" pid="18" name="LAWLISTTMP2">
    <vt:lpwstr>98569/054a.b</vt:lpwstr>
  </property>
  <property fmtid="{D5CDD505-2E9C-101B-9397-08002B2CF9AE}" pid="19" name="LAWLISTTMP3">
    <vt:lpwstr>74903/017.a;018;186:2</vt:lpwstr>
  </property>
  <property fmtid="{D5CDD505-2E9C-101B-9397-08002B2CF9AE}" pid="20" name="LAWLISTTMP4">
    <vt:lpwstr>71835/012</vt:lpwstr>
  </property>
  <property fmtid="{D5CDD505-2E9C-101B-9397-08002B2CF9AE}" pid="21" name="LAWYER">
    <vt:lpwstr>יוסף קנפו;אלעד רט</vt:lpwstr>
  </property>
  <property fmtid="{D5CDD505-2E9C-101B-9397-08002B2CF9AE}" pid="22" name="LINKK1">
    <vt:lpwstr/>
  </property>
  <property fmtid="{D5CDD505-2E9C-101B-9397-08002B2CF9AE}" pid="23" name="LINKK2">
    <vt:lpwstr/>
  </property>
  <property fmtid="{D5CDD505-2E9C-101B-9397-08002B2CF9AE}" pid="24" name="LINKK3">
    <vt:lpwstr/>
  </property>
  <property fmtid="{D5CDD505-2E9C-101B-9397-08002B2CF9AE}" pid="25" name="LINKK4">
    <vt:lpwstr/>
  </property>
  <property fmtid="{D5CDD505-2E9C-101B-9397-08002B2CF9AE}" pid="26" name="LINKK5">
    <vt:lpwstr/>
  </property>
  <property fmtid="{D5CDD505-2E9C-101B-9397-08002B2CF9AE}" pid="27" name="METAKZER">
    <vt:lpwstr>פאני</vt:lpwstr>
  </property>
  <property fmtid="{D5CDD505-2E9C-101B-9397-08002B2CF9AE}" pid="28" name="NEWPARTA">
    <vt:lpwstr/>
  </property>
  <property fmtid="{D5CDD505-2E9C-101B-9397-08002B2CF9AE}" pid="29" name="NEWPARTB">
    <vt:lpwstr/>
  </property>
  <property fmtid="{D5CDD505-2E9C-101B-9397-08002B2CF9AE}" pid="30" name="NEWPARTC">
    <vt:lpwstr/>
  </property>
  <property fmtid="{D5CDD505-2E9C-101B-9397-08002B2CF9AE}" pid="31" name="NEWPROC">
    <vt:lpwstr/>
  </property>
  <property fmtid="{D5CDD505-2E9C-101B-9397-08002B2CF9AE}" pid="32" name="NOSE11">
    <vt:lpwstr>עונשין</vt:lpwstr>
  </property>
  <property fmtid="{D5CDD505-2E9C-101B-9397-08002B2CF9AE}" pid="33" name="NOSE110">
    <vt:lpwstr>עונשין</vt:lpwstr>
  </property>
  <property fmtid="{D5CDD505-2E9C-101B-9397-08002B2CF9AE}" pid="34" name="NOSE111">
    <vt:lpwstr/>
  </property>
  <property fmtid="{D5CDD505-2E9C-101B-9397-08002B2CF9AE}" pid="35" name="NOSE112">
    <vt:lpwstr/>
  </property>
  <property fmtid="{D5CDD505-2E9C-101B-9397-08002B2CF9AE}" pid="36" name="NOSE113">
    <vt:lpwstr/>
  </property>
  <property fmtid="{D5CDD505-2E9C-101B-9397-08002B2CF9AE}" pid="37" name="NOSE114">
    <vt:lpwstr/>
  </property>
  <property fmtid="{D5CDD505-2E9C-101B-9397-08002B2CF9AE}" pid="38" name="NOSE115">
    <vt:lpwstr/>
  </property>
  <property fmtid="{D5CDD505-2E9C-101B-9397-08002B2CF9AE}" pid="39" name="NOSE116">
    <vt:lpwstr/>
  </property>
  <property fmtid="{D5CDD505-2E9C-101B-9397-08002B2CF9AE}" pid="40" name="NOSE117">
    <vt:lpwstr/>
  </property>
  <property fmtid="{D5CDD505-2E9C-101B-9397-08002B2CF9AE}" pid="41" name="NOSE118">
    <vt:lpwstr/>
  </property>
  <property fmtid="{D5CDD505-2E9C-101B-9397-08002B2CF9AE}" pid="42" name="NOSE119">
    <vt:lpwstr/>
  </property>
  <property fmtid="{D5CDD505-2E9C-101B-9397-08002B2CF9AE}" pid="43" name="NOSE12">
    <vt:lpwstr>עונשין</vt:lpwstr>
  </property>
  <property fmtid="{D5CDD505-2E9C-101B-9397-08002B2CF9AE}" pid="44" name="NOSE120">
    <vt:lpwstr/>
  </property>
  <property fmtid="{D5CDD505-2E9C-101B-9397-08002B2CF9AE}" pid="45" name="NOSE13">
    <vt:lpwstr>דיון פלילי</vt:lpwstr>
  </property>
  <property fmtid="{D5CDD505-2E9C-101B-9397-08002B2CF9AE}" pid="46" name="NOSE14">
    <vt:lpwstr>דיון פלילי</vt:lpwstr>
  </property>
  <property fmtid="{D5CDD505-2E9C-101B-9397-08002B2CF9AE}" pid="47" name="NOSE15">
    <vt:lpwstr>דיון פלילי</vt:lpwstr>
  </property>
  <property fmtid="{D5CDD505-2E9C-101B-9397-08002B2CF9AE}" pid="48" name="NOSE16">
    <vt:lpwstr>דיון פלילי</vt:lpwstr>
  </property>
  <property fmtid="{D5CDD505-2E9C-101B-9397-08002B2CF9AE}" pid="49" name="NOSE17">
    <vt:lpwstr>דיון פלילי</vt:lpwstr>
  </property>
  <property fmtid="{D5CDD505-2E9C-101B-9397-08002B2CF9AE}" pid="50" name="NOSE18">
    <vt:lpwstr>עונשין</vt:lpwstr>
  </property>
  <property fmtid="{D5CDD505-2E9C-101B-9397-08002B2CF9AE}" pid="51" name="NOSE19">
    <vt:lpwstr>עונשין</vt:lpwstr>
  </property>
  <property fmtid="{D5CDD505-2E9C-101B-9397-08002B2CF9AE}" pid="52" name="NOSE1ID">
    <vt:lpwstr>77;77;18;18;18;18;18;77;77;77</vt:lpwstr>
  </property>
  <property fmtid="{D5CDD505-2E9C-101B-9397-08002B2CF9AE}" pid="53" name="NOSE21">
    <vt:lpwstr>עבירות</vt:lpwstr>
  </property>
  <property fmtid="{D5CDD505-2E9C-101B-9397-08002B2CF9AE}" pid="54" name="NOSE210">
    <vt:lpwstr>ענישה</vt:lpwstr>
  </property>
  <property fmtid="{D5CDD505-2E9C-101B-9397-08002B2CF9AE}" pid="55" name="NOSE211">
    <vt:lpwstr/>
  </property>
  <property fmtid="{D5CDD505-2E9C-101B-9397-08002B2CF9AE}" pid="56" name="NOSE212">
    <vt:lpwstr/>
  </property>
  <property fmtid="{D5CDD505-2E9C-101B-9397-08002B2CF9AE}" pid="57" name="NOSE213">
    <vt:lpwstr/>
  </property>
  <property fmtid="{D5CDD505-2E9C-101B-9397-08002B2CF9AE}" pid="58" name="NOSE214">
    <vt:lpwstr/>
  </property>
  <property fmtid="{D5CDD505-2E9C-101B-9397-08002B2CF9AE}" pid="59" name="NOSE215">
    <vt:lpwstr/>
  </property>
  <property fmtid="{D5CDD505-2E9C-101B-9397-08002B2CF9AE}" pid="60" name="NOSE216">
    <vt:lpwstr/>
  </property>
  <property fmtid="{D5CDD505-2E9C-101B-9397-08002B2CF9AE}" pid="61" name="NOSE217">
    <vt:lpwstr/>
  </property>
  <property fmtid="{D5CDD505-2E9C-101B-9397-08002B2CF9AE}" pid="62" name="NOSE218">
    <vt:lpwstr/>
  </property>
  <property fmtid="{D5CDD505-2E9C-101B-9397-08002B2CF9AE}" pid="63" name="NOSE219">
    <vt:lpwstr/>
  </property>
  <property fmtid="{D5CDD505-2E9C-101B-9397-08002B2CF9AE}" pid="64" name="NOSE22">
    <vt:lpwstr>עבירות</vt:lpwstr>
  </property>
  <property fmtid="{D5CDD505-2E9C-101B-9397-08002B2CF9AE}" pid="65" name="NOSE220">
    <vt:lpwstr/>
  </property>
  <property fmtid="{D5CDD505-2E9C-101B-9397-08002B2CF9AE}" pid="66" name="NOSE23">
    <vt:lpwstr>ייצוג</vt:lpwstr>
  </property>
  <property fmtid="{D5CDD505-2E9C-101B-9397-08002B2CF9AE}" pid="67" name="NOSE24">
    <vt:lpwstr>פגמים בדיון</vt:lpwstr>
  </property>
  <property fmtid="{D5CDD505-2E9C-101B-9397-08002B2CF9AE}" pid="68" name="NOSE25">
    <vt:lpwstr>הרשעה</vt:lpwstr>
  </property>
  <property fmtid="{D5CDD505-2E9C-101B-9397-08002B2CF9AE}" pid="69" name="NOSE26">
    <vt:lpwstr>בירור האשמה</vt:lpwstr>
  </property>
  <property fmtid="{D5CDD505-2E9C-101B-9397-08002B2CF9AE}" pid="70" name="NOSE27">
    <vt:lpwstr>ערעור</vt:lpwstr>
  </property>
  <property fmtid="{D5CDD505-2E9C-101B-9397-08002B2CF9AE}" pid="71" name="NOSE28">
    <vt:lpwstr>הרשעה</vt:lpwstr>
  </property>
  <property fmtid="{D5CDD505-2E9C-101B-9397-08002B2CF9AE}" pid="72" name="NOSE29">
    <vt:lpwstr>ענישה</vt:lpwstr>
  </property>
  <property fmtid="{D5CDD505-2E9C-101B-9397-08002B2CF9AE}" pid="73" name="NOSE2ID">
    <vt:lpwstr>1443;1443;480;505;465;449;504;17089;1446;1446</vt:lpwstr>
  </property>
  <property fmtid="{D5CDD505-2E9C-101B-9397-08002B2CF9AE}" pid="74" name="NOSE31">
    <vt:lpwstr>אינוס</vt:lpwstr>
  </property>
  <property fmtid="{D5CDD505-2E9C-101B-9397-08002B2CF9AE}" pid="75" name="NOSE310">
    <vt:lpwstr>מדיניות ענישה: שיקולים</vt:lpwstr>
  </property>
  <property fmtid="{D5CDD505-2E9C-101B-9397-08002B2CF9AE}" pid="76" name="NOSE311">
    <vt:lpwstr/>
  </property>
  <property fmtid="{D5CDD505-2E9C-101B-9397-08002B2CF9AE}" pid="77" name="NOSE312">
    <vt:lpwstr/>
  </property>
  <property fmtid="{D5CDD505-2E9C-101B-9397-08002B2CF9AE}" pid="78" name="NOSE313">
    <vt:lpwstr/>
  </property>
  <property fmtid="{D5CDD505-2E9C-101B-9397-08002B2CF9AE}" pid="79" name="NOSE314">
    <vt:lpwstr/>
  </property>
  <property fmtid="{D5CDD505-2E9C-101B-9397-08002B2CF9AE}" pid="80" name="NOSE315">
    <vt:lpwstr/>
  </property>
  <property fmtid="{D5CDD505-2E9C-101B-9397-08002B2CF9AE}" pid="81" name="NOSE316">
    <vt:lpwstr/>
  </property>
  <property fmtid="{D5CDD505-2E9C-101B-9397-08002B2CF9AE}" pid="82" name="NOSE317">
    <vt:lpwstr/>
  </property>
  <property fmtid="{D5CDD505-2E9C-101B-9397-08002B2CF9AE}" pid="83" name="NOSE318">
    <vt:lpwstr/>
  </property>
  <property fmtid="{D5CDD505-2E9C-101B-9397-08002B2CF9AE}" pid="84" name="NOSE319">
    <vt:lpwstr/>
  </property>
  <property fmtid="{D5CDD505-2E9C-101B-9397-08002B2CF9AE}" pid="85" name="NOSE32">
    <vt:lpwstr>מעשה מגונה</vt:lpwstr>
  </property>
  <property fmtid="{D5CDD505-2E9C-101B-9397-08002B2CF9AE}" pid="86" name="NOSE320">
    <vt:lpwstr/>
  </property>
  <property fmtid="{D5CDD505-2E9C-101B-9397-08002B2CF9AE}" pid="87" name="NOSE33">
    <vt:lpwstr>כשל בייצוג</vt:lpwstr>
  </property>
  <property fmtid="{D5CDD505-2E9C-101B-9397-08002B2CF9AE}" pid="88" name="NOSE34">
    <vt:lpwstr>שלא גרמו לעיוות דין</vt:lpwstr>
  </property>
  <property fmtid="{D5CDD505-2E9C-101B-9397-08002B2CF9AE}" pid="89" name="NOSE35">
    <vt:lpwstr>במספר עבירות מצטברות ‏</vt:lpwstr>
  </property>
  <property fmtid="{D5CDD505-2E9C-101B-9397-08002B2CF9AE}" pid="90" name="NOSE36">
    <vt:lpwstr>רציפות הדיון</vt:lpwstr>
  </property>
  <property fmtid="{D5CDD505-2E9C-101B-9397-08002B2CF9AE}" pid="91" name="NOSE37">
    <vt:lpwstr>אי-התערבות במידת העונש</vt:lpwstr>
  </property>
  <property fmtid="{D5CDD505-2E9C-101B-9397-08002B2CF9AE}" pid="92" name="NOSE38">
    <vt:lpwstr>במספר עבירות מצטברות</vt:lpwstr>
  </property>
  <property fmtid="{D5CDD505-2E9C-101B-9397-08002B2CF9AE}" pid="93" name="NOSE39">
    <vt:lpwstr>מדיניות ענישה: עבירות מין בקטינים</vt:lpwstr>
  </property>
  <property fmtid="{D5CDD505-2E9C-101B-9397-08002B2CF9AE}" pid="94" name="NOSE3ID">
    <vt:lpwstr>8763;8852;11594;3876;15689;3576;17039;17090;16970;8994</vt:lpwstr>
  </property>
  <property fmtid="{D5CDD505-2E9C-101B-9397-08002B2CF9AE}" pid="95" name="PADIDATE">
    <vt:lpwstr>20230226</vt:lpwstr>
  </property>
  <property fmtid="{D5CDD505-2E9C-101B-9397-08002B2CF9AE}" pid="96" name="PADIMAIL">
    <vt:lpwstr>YES</vt:lpwstr>
  </property>
  <property fmtid="{D5CDD505-2E9C-101B-9397-08002B2CF9AE}" pid="97" name="PAGE">
    <vt:lpwstr/>
  </property>
  <property fmtid="{D5CDD505-2E9C-101B-9397-08002B2CF9AE}" pid="98" name="PART">
    <vt:lpwstr/>
  </property>
  <property fmtid="{D5CDD505-2E9C-101B-9397-08002B2CF9AE}" pid="99" name="PROCESS">
    <vt:lpwstr>עפ;עפ</vt:lpwstr>
  </property>
  <property fmtid="{D5CDD505-2E9C-101B-9397-08002B2CF9AE}" pid="100" name="PROCNUM">
    <vt:lpwstr>766;801</vt:lpwstr>
  </property>
  <property fmtid="{D5CDD505-2E9C-101B-9397-08002B2CF9AE}" pid="101" name="PROCYEAR">
    <vt:lpwstr>21;21</vt:lpwstr>
  </property>
  <property fmtid="{D5CDD505-2E9C-101B-9397-08002B2CF9AE}" pid="102" name="PSAKDIN">
    <vt:lpwstr>פסק-דין</vt:lpwstr>
  </property>
  <property fmtid="{D5CDD505-2E9C-101B-9397-08002B2CF9AE}" pid="103" name="TYPE">
    <vt:lpwstr>1</vt:lpwstr>
  </property>
  <property fmtid="{D5CDD505-2E9C-101B-9397-08002B2CF9AE}" pid="104" name="TYPE_ABS_DATE">
    <vt:lpwstr>410120230223</vt:lpwstr>
  </property>
  <property fmtid="{D5CDD505-2E9C-101B-9397-08002B2CF9AE}" pid="105" name="TYPE_N_DATE">
    <vt:lpwstr>41020230223</vt:lpwstr>
  </property>
  <property fmtid="{D5CDD505-2E9C-101B-9397-08002B2CF9AE}" pid="106" name="VOLUME">
    <vt:lpwstr/>
  </property>
  <property fmtid="{D5CDD505-2E9C-101B-9397-08002B2CF9AE}" pid="107" name="WORDNUMPAGES">
    <vt:lpwstr>26</vt:lpwstr>
  </property>
</Properties>
</file>