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7692/20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2" w:name="FirstAppellant"/>
            <w:bookmarkEnd w:id="2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נתשה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27.10.2020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16438-06-19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רובין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5.1.2021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2"/>
        <w:gridCol w:w="5131"/>
      </w:tblGrid>
      <w:tr>
        <w:trPr/>
        <w:tc>
          <w:tcPr>
            <w:tcW w:w="32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ריאד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סואעד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3"/>
        <w:gridCol w:w="5130"/>
      </w:tblGrid>
      <w:tr>
        <w:trPr/>
        <w:tc>
          <w:tcPr>
            <w:tcW w:w="323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Lawyer"/>
            <w:bookmarkEnd w:id="3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1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אופיר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ביתן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5"/>
        <w:gridCol w:w="5128"/>
      </w:tblGrid>
      <w:tr>
        <w:trPr/>
        <w:tc>
          <w:tcPr>
            <w:tcW w:w="323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לשפה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הערבית</w:t>
            </w:r>
            <w:r>
              <w:rPr>
                <w:rtl w:val="true"/>
              </w:rPr>
              <w:t>:</w:t>
            </w:r>
          </w:p>
        </w:tc>
        <w:tc>
          <w:tcPr>
            <w:tcW w:w="512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הדיאה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גוש</w:t>
            </w:r>
          </w:p>
        </w:tc>
      </w:tr>
    </w:tbl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4" w:name="LawTable"/>
      <w:bookmarkStart w:id="5" w:name="LawTable"/>
      <w:bookmarkEnd w:id="5"/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51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י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1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51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י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2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51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י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51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י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2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ind w:end="0"/>
        <w:jc w:val="start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הגשת כתב אישום נגד עובד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בעבודות </w:t>
      </w:r>
      <w:r>
        <w:rPr>
          <w:rFonts w:ascii="Times New Roman" w:hAnsi="Times New Roman" w:cs="Times New Roman"/>
          <w:spacing w:val="0"/>
          <w:szCs w:val="26"/>
          <w:rtl w:val="true"/>
        </w:rPr>
        <w:t>שירות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עשויה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בכפוף לנסיבות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להצביע על כך שטעמי השיקום שעמדו בבסיס העונש שנגזר עליו מלכתחילה – איבדו ממשקלם ויתכן שבגין זאת – אין עוד טעם להמשך ריצוי העונש בדרך של עבודות שירות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בבטלו את הזכות לעבודות השירות מכוח </w:t>
      </w:r>
      <w:hyperlink r:id="rId8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51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י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2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אינו רשאי לחזור ולגזור את עונשו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של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ולהטיל עליו עונש חדש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אלא אך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להורות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המשך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תקופת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מאסרו בבית הסוהר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דרכי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עבודות שירות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פרשנות – דין – חוק העונשין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החלטת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בגדרה נקבע כי המערער ירצה את עונש המאסר שנגזר עליו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הרשעתו בעבירות הצתה ושיבוש מהלכי משפט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מאחורי סורג ובריח </w:t>
      </w:r>
      <w:r>
        <w:rPr>
          <w:rFonts w:ascii="Times New Roman" w:hAnsi="Times New Roman" w:cs="Times New Roman"/>
          <w:spacing w:val="0"/>
          <w:szCs w:val="26"/>
          <w:rtl w:val="true"/>
        </w:rPr>
        <w:t>בבית הסוהר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חלף ריצויו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Cs w:val="26"/>
          <w:rtl w:val="true"/>
        </w:rPr>
        <w:t>עבודות שירות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ברקע להחלטה מעצרו של 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>בחשד לביצוע עבירות של גניבת רכב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בעת שנפקד מביצוע עבודות השירות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קבע 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בהינתן שהעבירות המיוחסות ל</w:t>
      </w:r>
      <w:r>
        <w:rPr>
          <w:rFonts w:ascii="Times New Roman" w:hAnsi="Times New Roman" w:cs="Times New Roman"/>
          <w:spacing w:val="0"/>
          <w:szCs w:val="26"/>
          <w:rtl w:val="true"/>
        </w:rPr>
        <w:t>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בתיק הגניבה בוצעו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לכאורה </w:t>
      </w:r>
      <w:r>
        <w:rPr>
          <w:rFonts w:ascii="Times New Roman" w:hAnsi="Times New Roman" w:cs="Times New Roman"/>
          <w:spacing w:val="0"/>
          <w:szCs w:val="26"/>
          <w:rtl w:val="true"/>
        </w:rPr>
        <w:t>כארבעה וחצי חודשים בלבד לאחר שנגזר דינו בתיק ההצתה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ובהינתן קביעתו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השלום כי יש ראיות לכאורה למיוחס לו בכתב האישום בתיק הגניבה – דומה כי העונש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שנגזר על הצד הקל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 סיפק את ההרתעה הנדרשת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 נ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סולברג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במוקד הדיון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הוראת </w:t>
      </w:r>
      <w:hyperlink r:id="rId9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51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י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2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10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העונשין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העוסק במצב דברים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שבו נגזר על מי שהורשע בדין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 מאסר שירוצה בדרך של עבודות שירות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 בטרם השלים את ביצועו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הוגש נגדו כתב אישום 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הללו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נתונה לביהמ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שגזר את עונשו בראשונה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הסמכות להורות כי עונש המאסר ירוצה בבית הסוהר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חלף עבודות שירות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באם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על פי העובדות הנטענות בכתב האישום כי התחלת או המשך ביצוע עבודת השירות על ידי הנאשם אינם הולמים עוד נשיאה של עונש המאסר בעבודת שירות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לנוכח העיתוי של 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מהותה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חומרתה ונסיבות ביצועה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כלומר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ככל שמשך הזמן שחלף מיום מתן גזר הדין ועד ליום ביצוע המעשים החדשים המיוחסים לעובד השירות – קצר 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וככל שחומרתם – גדולה 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כך ת</w:t>
      </w:r>
      <w:r>
        <w:rPr>
          <w:rFonts w:ascii="Times New Roman" w:hAnsi="Times New Roman" w:cs="Times New Roman"/>
          <w:spacing w:val="0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Cs w:val="26"/>
          <w:rtl w:val="true"/>
        </w:rPr>
        <w:t>טה הכף לריצוי עונש המאסר מאחורי סורג ובריח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>לא בדרך של עבודות שירות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על פני הדברים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הוראה זו מעוררת תהייה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מדוע משליכים מעשיו של 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שבגינם הוגש נגדו כתב אישום בעניין אחד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עונש שנגזר בעניין 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? </w:t>
      </w:r>
      <w:r>
        <w:rPr>
          <w:rFonts w:ascii="Times New Roman" w:hAnsi="Times New Roman" w:cs="Times New Roman"/>
          <w:spacing w:val="0"/>
          <w:szCs w:val="26"/>
          <w:rtl w:val="true"/>
        </w:rPr>
        <w:t>שהרי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גזר הדין ניתן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גמר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את </w:t>
      </w:r>
      <w:r>
        <w:rPr>
          <w:rFonts w:ascii="Times New Roman" w:hAnsi="Times New Roman" w:cs="Times New Roman"/>
          <w:spacing w:val="0"/>
          <w:szCs w:val="26"/>
          <w:rtl w:val="true"/>
        </w:rPr>
        <w:t>מלאכתו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ובהליך החדש עומדת לעובד השירות חזקת חפותו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הטעם לדבר נעוץ במהותן של עבודות השירות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הללו נתפסות כזכות המוענקת לנאשם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בבחינת פריבילגיה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ניתנת לו האפשרות לרצות את עונשו בתנאים מקלים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מתן בכורה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בעיקר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לשיקולי שיקום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הזכות לריצוי עונש מאסר בדרך של עבודות שירות תלויה אפוא בנסיבותיו האישיות של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היא ניתנת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במבט שיקומי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צופה פני עתיד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באין צפי לשיקום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הצדקה להמיר את המאסר בבית הסוהר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בעבודות שירות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כך גם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אם לאחר שנגזר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מתברר כי תקוות השיקום שנטעו ב</w:t>
      </w:r>
      <w:r>
        <w:rPr>
          <w:rFonts w:ascii="Times New Roman" w:hAnsi="Times New Roman" w:cs="Times New Roman"/>
          <w:spacing w:val="0"/>
          <w:szCs w:val="26"/>
          <w:rtl w:val="true"/>
        </w:rPr>
        <w:t>עובד השירות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מלכתחילה התבדו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יש בכך </w:t>
      </w:r>
      <w:r>
        <w:rPr>
          <w:rFonts w:ascii="Times New Roman" w:hAnsi="Times New Roman" w:cs="Times New Roman"/>
          <w:spacing w:val="0"/>
          <w:szCs w:val="26"/>
          <w:rtl w:val="true"/>
        </w:rPr>
        <w:t>להצדיק החזרתו למסלול העונשי הרגיל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משהגיע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לכלל מסקנה כי יש מקום לעשות שימוש בסמכותו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שב</w:t>
      </w:r>
      <w:hyperlink r:id="rId11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51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י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2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הוא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מוסמך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אך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להורות שעבודת השירות לא תחל או תופסק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אינו רשאי לחזור ולגזור את 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ולהטיל עליו עונש חדש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בכוחו אך לשלול את זכות היתר שניתנה לו במסגרת 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שהציפיות ממנו נכזבו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ולהורות על כך שעליו לרצות את המשך מאסרו בבית הסוהר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זאת בניגוד להוראת </w:t>
      </w:r>
      <w:hyperlink r:id="rId12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51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י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1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המקנה לביהמ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סמכות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לגזור על הנאשם עונש 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").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על רקע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ברי כי הגשת כתב אישום נגד עובד השירות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עשויה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בכפוף לנסיבות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להצביע על כך שטעמי השיקום שעמדו בבסיס העונש שנגזר עליו מלכתחילה – איבדו ממשקלם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ויתכן שבגין זאת – אין עוד טעם להמשך ריצוי העונש בדרך של עבודות שירות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אף </w:t>
      </w:r>
      <w:r>
        <w:rPr>
          <w:rFonts w:ascii="Times New Roman" w:hAnsi="Times New Roman" w:cs="Times New Roman"/>
          <w:spacing w:val="0"/>
          <w:szCs w:val="26"/>
          <w:rtl w:val="true"/>
        </w:rPr>
        <w:t>בהנחה לטובת 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כי </w:t>
      </w:r>
      <w:r>
        <w:rPr>
          <w:rFonts w:ascii="Times New Roman" w:hAnsi="Times New Roman" w:cs="Times New Roman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לא התייצב לעבודות השירות </w:t>
      </w:r>
      <w:r>
        <w:rPr>
          <w:rFonts w:ascii="Times New Roman" w:hAnsi="Times New Roman" w:cs="Times New Roman"/>
          <w:spacing w:val="0"/>
          <w:szCs w:val="26"/>
          <w:rtl w:val="true"/>
        </w:rPr>
        <w:t>מחמת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חוסר הבנה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בינו לבין הממונה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הרי שממילא אין זו הסיבה העיקרית לביטול זכותו לעבודות שירות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היטיב לעמוד על כך שהמעשים המיוחסים ל</w:t>
      </w:r>
      <w:r>
        <w:rPr>
          <w:rFonts w:ascii="Times New Roman" w:hAnsi="Times New Roman" w:cs="Times New Roman"/>
          <w:spacing w:val="0"/>
          <w:szCs w:val="26"/>
          <w:rtl w:val="true"/>
        </w:rPr>
        <w:t>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בכתב האישום בתיק הגניבה בוצעו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כארבעה וחצי חודשים בלבד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מתן 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כי נסיבות ביצועם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מכבידות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וכי הדבר מלמד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על מעורבותו לכאורה של הנאשם בעולם העברייני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על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נקבע שתוחלת הניסיון לשקמו ולמנוע את העמקת הדרדרותו לעולם העברייני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דבר שהיווה שיקול מרכזי לריצוי עונשו בעבודות שירות ולא במאסר בבית הסוהר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איננה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עוד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שה</w:t>
      </w:r>
      <w:r>
        <w:rPr>
          <w:rFonts w:ascii="Times New Roman" w:hAnsi="Times New Roman" w:cs="Times New Roman"/>
          <w:spacing w:val="0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Cs w:val="26"/>
          <w:rtl w:val="true"/>
        </w:rPr>
        <w:t>יתה בתחילה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יש ממש במסקנה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השיקולים הרלבנטיים – נשקלו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 לדין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אף על ההשלכות של כניסה לבית הכלא בתוקפת הקורונה – הדעת ניתנה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יתירה מכך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 לשון </w:t>
      </w:r>
      <w:hyperlink r:id="rId13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51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י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2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לבחון את עניינו של הנאשם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על פי העובדות הנטענות בכתב האישום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דהיינו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בחינתו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נעשית נוכח האמור בכתב האישום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מבלי להידרש לראיות שעמדו בבסיסו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העדרה של דרישה ראייתית כלשהי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מושתת על ההנחה שכתב האישום הוגש על יסוד הערכת התביעה כי יש די ראיות להרשעה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</w:t>
      </w:r>
      <w:r>
        <w:rPr>
          <w:rFonts w:ascii="Times New Roman" w:hAnsi="Times New Roman" w:cs="Times New Roman"/>
          <w:spacing w:val="0"/>
          <w:szCs w:val="26"/>
          <w:rtl w:val="true"/>
        </w:rPr>
        <w:t>עשה עוד מעבר לנדרש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כשהתייחס לקביעותיו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השלום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בהליכי המעצר </w:t>
      </w:r>
      <w:r>
        <w:rPr>
          <w:rFonts w:ascii="Times New Roman" w:hAnsi="Times New Roman" w:cs="Times New Roman"/>
          <w:spacing w:val="0"/>
          <w:szCs w:val="26"/>
          <w:rtl w:val="true"/>
        </w:rPr>
        <w:t>בתיק הגניבה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בקבעו כי יש די ראיות לכאורה 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צורך שהייתו </w:t>
      </w:r>
      <w:r>
        <w:rPr>
          <w:rFonts w:ascii="Times New Roman" w:hAnsi="Times New Roman" w:cs="Times New Roman"/>
          <w:spacing w:val="0"/>
          <w:szCs w:val="26"/>
          <w:rtl w:val="true"/>
        </w:rPr>
        <w:t>של מוחמד ב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מעצר בית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אין לקבל את הטענה </w:t>
      </w:r>
      <w:r>
        <w:rPr>
          <w:rFonts w:ascii="Times New Roman" w:hAnsi="Times New Roman" w:cs="Times New Roman"/>
          <w:spacing w:val="0"/>
          <w:szCs w:val="26"/>
          <w:rtl w:val="true"/>
        </w:rPr>
        <w:t>כי היה מקום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 ההחלטה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להתחשב בכך שעונש של ששה חודשי עבודות שירות אינו מקביל בחומרתו לעונש של ששה חודשי מאסר בבית הסוהר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אף כי ברי שריצוי עונש מאסר מאחורי סורג ובריח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בדרך של עבודות שירות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פגיעתו בחירות קשה 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הרי שבכל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כשמו כן הוא –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מאסר בעבודות שירות זהו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בבטלו את הזכות לעבודות השירות מכוח </w:t>
      </w:r>
      <w:hyperlink r:id="rId14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51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י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2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אינו גוזר מחדש את עונשו של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שינוי משך תקופת המאסר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</w:t>
      </w:r>
      <w:r>
        <w:rPr>
          <w:rFonts w:ascii="Times New Roman" w:hAnsi="Times New Roman" w:cs="Times New Roman"/>
          <w:spacing w:val="0"/>
          <w:szCs w:val="26"/>
          <w:rtl w:val="true"/>
        </w:rPr>
        <w:t>עומד על הפרק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מטעמים דומים גם לא היה מקום לקחת בחשבון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 ההחלטה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את שה</w:t>
      </w:r>
      <w:r>
        <w:rPr>
          <w:rFonts w:ascii="Times New Roman" w:hAnsi="Times New Roman" w:cs="Times New Roman"/>
          <w:spacing w:val="0"/>
          <w:szCs w:val="26"/>
          <w:rtl w:val="true"/>
        </w:rPr>
        <w:t>יי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תו של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בשעתו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מעצר בית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בא במניין השיקולים בעת מתן גזר הדין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אין הוא בא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עוד </w:t>
      </w:r>
      <w:r>
        <w:rPr>
          <w:rFonts w:ascii="Times New Roman" w:hAnsi="Times New Roman" w:cs="Times New Roman"/>
          <w:spacing w:val="0"/>
          <w:szCs w:val="26"/>
          <w:rtl w:val="true"/>
        </w:rPr>
        <w:t>במניין השיקולים בעת שלילת הזכות לריצוי עונש המאסר בדרך של עבודות שירות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מכוח </w:t>
      </w:r>
      <w:hyperlink r:id="rId15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51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י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2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כן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</w:t>
      </w:r>
      <w:r>
        <w:rPr>
          <w:rFonts w:ascii="Times New Roman" w:hAnsi="Times New Roman" w:cs="Times New Roman"/>
          <w:spacing w:val="0"/>
          <w:szCs w:val="26"/>
          <w:rtl w:val="true"/>
        </w:rPr>
        <w:t>נ</w:t>
      </w:r>
      <w:r>
        <w:rPr>
          <w:rFonts w:ascii="Times New Roman" w:hAnsi="Times New Roman" w:cs="Times New Roman"/>
          <w:spacing w:val="0"/>
          <w:szCs w:val="26"/>
          <w:rtl w:val="true"/>
        </w:rPr>
        <w:t>מצא ממש בטענה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 היה מקום לקזז את ימי שה</w:t>
      </w:r>
      <w:r>
        <w:rPr>
          <w:rFonts w:ascii="Times New Roman" w:hAnsi="Times New Roman" w:cs="Times New Roman"/>
          <w:spacing w:val="0"/>
          <w:szCs w:val="26"/>
          <w:rtl w:val="true"/>
        </w:rPr>
        <w:t>יי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תו של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במעצר מעונש המאסר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קיזוז </w:t>
      </w:r>
      <w:r>
        <w:rPr>
          <w:rFonts w:ascii="Times New Roman" w:hAnsi="Times New Roman" w:cs="Times New Roman"/>
          <w:spacing w:val="0"/>
          <w:szCs w:val="26"/>
          <w:rtl w:val="true"/>
        </w:rPr>
        <w:t>זה נעשה כבר במסגרת גזה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31"/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החלטה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ערעור על החלטת בית המשפט המחוזי בירושלים מיום </w:t>
      </w:r>
      <w:r>
        <w:rPr/>
        <w:t>27.10.2020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16438-06-19</w:t>
        </w:r>
      </w:hyperlink>
      <w:r>
        <w:rPr>
          <w:rtl w:val="true"/>
        </w:rPr>
        <w:t xml:space="preserve"> 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רובין</w:t>
      </w:r>
      <w:r>
        <w:rPr>
          <w:rtl w:val="true"/>
        </w:rPr>
        <w:t xml:space="preserve">), </w:t>
      </w:r>
      <w:r>
        <w:rPr>
          <w:rtl w:val="true"/>
        </w:rPr>
        <w:t xml:space="preserve">בגדרה נקבע כי המערער ירצה את עונש המאסר שנגזר עליו </w:t>
      </w:r>
      <w:r>
        <w:rPr>
          <w:rtl w:val="true"/>
        </w:rPr>
        <w:t xml:space="preserve">מאחורי סורג ובריח </w:t>
      </w:r>
      <w:r>
        <w:rPr>
          <w:rtl w:val="true"/>
        </w:rPr>
        <w:t>בבית הסוהר</w:t>
      </w:r>
      <w:r>
        <w:rPr>
          <w:rtl w:val="true"/>
        </w:rPr>
        <w:t xml:space="preserve">, </w:t>
      </w:r>
      <w:r>
        <w:rPr>
          <w:rtl w:val="true"/>
        </w:rPr>
        <w:t xml:space="preserve">חלף ריצויו </w:t>
      </w:r>
      <w:r>
        <w:rPr>
          <w:rtl w:val="true"/>
        </w:rPr>
        <w:t>ב</w:t>
      </w:r>
      <w:r>
        <w:rPr>
          <w:rtl w:val="true"/>
        </w:rPr>
        <w:t>עבודות שירות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עם הגשתו</w:t>
      </w:r>
      <w:r>
        <w:rPr>
          <w:rtl w:val="true"/>
        </w:rPr>
        <w:t xml:space="preserve">, </w:t>
      </w:r>
      <w:r>
        <w:rPr>
          <w:rtl w:val="true"/>
        </w:rPr>
        <w:t>סו</w:t>
      </w:r>
      <w:r>
        <w:rPr>
          <w:rtl w:val="true"/>
        </w:rPr>
        <w:t>ּ</w:t>
      </w:r>
      <w:r>
        <w:rPr>
          <w:rtl w:val="true"/>
        </w:rPr>
        <w:t xml:space="preserve">וג התיק </w:t>
      </w:r>
      <w:r>
        <w:rPr>
          <w:rtl w:val="true"/>
        </w:rPr>
        <w:t>ב</w:t>
      </w:r>
      <w:r>
        <w:rPr>
          <w:rtl w:val="true"/>
        </w:rPr>
        <w:t xml:space="preserve">מזכירות בית המשפט כתיק </w:t>
      </w:r>
      <w:r>
        <w:rPr>
          <w:rtl w:val="true"/>
        </w:rPr>
        <w:t>'</w:t>
      </w:r>
      <w:r>
        <w:rPr>
          <w:rtl w:val="true"/>
        </w:rPr>
        <w:t>אסור לפרסום</w:t>
      </w:r>
      <w:r>
        <w:rPr>
          <w:rtl w:val="true"/>
        </w:rPr>
        <w:t xml:space="preserve">'. </w:t>
      </w:r>
      <w:r>
        <w:rPr>
          <w:rtl w:val="true"/>
        </w:rPr>
        <w:t>הלכה למעשה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>ין סיבה לאסור את הפרסום</w:t>
      </w:r>
      <w:r>
        <w:rPr>
          <w:rtl w:val="true"/>
        </w:rPr>
        <w:t xml:space="preserve"> ולחסות את שמו של המערער</w:t>
      </w:r>
      <w:r>
        <w:rPr>
          <w:rtl w:val="true"/>
        </w:rPr>
        <w:t xml:space="preserve">. </w:t>
      </w:r>
      <w:r>
        <w:rPr>
          <w:rtl w:val="true"/>
        </w:rPr>
        <w:t>כך טענה ב</w:t>
      </w:r>
      <w:r>
        <w:rPr>
          <w:rtl w:val="true"/>
        </w:rPr>
        <w:t>"</w:t>
      </w:r>
      <w:r>
        <w:rPr>
          <w:rtl w:val="true"/>
        </w:rPr>
        <w:t>כ המשיבה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המערער לא </w:t>
      </w:r>
      <w:r>
        <w:rPr>
          <w:rtl w:val="true"/>
        </w:rPr>
        <w:t>התנגד</w:t>
      </w:r>
      <w:r>
        <w:rPr>
          <w:rtl w:val="true"/>
        </w:rPr>
        <w:t xml:space="preserve">. </w:t>
      </w:r>
      <w:r>
        <w:rPr>
          <w:rtl w:val="true"/>
        </w:rPr>
        <w:t xml:space="preserve">המערער </w:t>
      </w:r>
      <w:r>
        <w:rPr>
          <w:rtl w:val="true"/>
        </w:rPr>
        <w:t>לא יקרא עוד אפוא</w:t>
      </w:r>
      <w:r>
        <w:rPr>
          <w:rtl w:val="true"/>
        </w:rPr>
        <w:t xml:space="preserve"> פלוני</w:t>
      </w:r>
      <w:r>
        <w:rPr>
          <w:rtl w:val="true"/>
        </w:rPr>
        <w:t xml:space="preserve">, </w:t>
      </w:r>
      <w:r>
        <w:rPr>
          <w:rtl w:val="true"/>
        </w:rPr>
        <w:t>אלא בשמו – מוחמד נתשה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והליכים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קודמים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23.9.2019</w:t>
      </w:r>
      <w:r>
        <w:rPr>
          <w:rtl w:val="true"/>
        </w:rPr>
        <w:t xml:space="preserve"> </w:t>
      </w:r>
      <w:r>
        <w:rPr>
          <w:rtl w:val="true"/>
        </w:rPr>
        <w:t>הודה מוחמד</w:t>
      </w:r>
      <w:r>
        <w:rPr>
          <w:rtl w:val="true"/>
        </w:rPr>
        <w:t xml:space="preserve">, </w:t>
      </w:r>
      <w:r>
        <w:rPr>
          <w:rtl w:val="true"/>
        </w:rPr>
        <w:t>בהתאם להסדר טיעון</w:t>
      </w:r>
      <w:r>
        <w:rPr>
          <w:rtl w:val="true"/>
        </w:rPr>
        <w:t xml:space="preserve">, </w:t>
      </w:r>
      <w:r>
        <w:rPr>
          <w:rtl w:val="true"/>
        </w:rPr>
        <w:t>בכתב אישום מתוקן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שייחס לו עבירות של הצתה ושיבוש מהלכי משפט</w:t>
      </w:r>
      <w:r>
        <w:rPr>
          <w:rtl w:val="true"/>
        </w:rPr>
        <w:t xml:space="preserve">. </w:t>
      </w:r>
      <w:r>
        <w:rPr>
          <w:rtl w:val="true"/>
        </w:rPr>
        <w:t>על יסוד הודאתו הרשיעו בית המשפט המחוזי בעבירות שיוחסו לו בכתב האישום המתוקן</w:t>
      </w:r>
      <w:r>
        <w:rPr>
          <w:rtl w:val="true"/>
        </w:rPr>
        <w:t xml:space="preserve">. </w:t>
      </w:r>
      <w:r>
        <w:rPr>
          <w:rtl w:val="true"/>
        </w:rPr>
        <w:t>לאחר שנשמעו טענות הצדדים ל</w:t>
      </w:r>
      <w:r>
        <w:rPr>
          <w:rtl w:val="true"/>
        </w:rPr>
        <w:t>גבי</w:t>
      </w:r>
      <w:r>
        <w:rPr>
          <w:rtl w:val="true"/>
        </w:rPr>
        <w:t xml:space="preserve"> העונש</w:t>
      </w:r>
      <w:r>
        <w:rPr>
          <w:rtl w:val="true"/>
        </w:rPr>
        <w:t xml:space="preserve">, </w:t>
      </w:r>
      <w:r>
        <w:rPr>
          <w:rtl w:val="true"/>
        </w:rPr>
        <w:t xml:space="preserve">נגזר על מוחמד </w:t>
      </w:r>
      <w:r>
        <w:rPr>
          <w:rtl w:val="true"/>
        </w:rPr>
        <w:t xml:space="preserve">עונש </w:t>
      </w:r>
      <w:r>
        <w:rPr>
          <w:rtl w:val="true"/>
        </w:rPr>
        <w:t>מאסר לריצוי בפועל בבית הסוהר</w:t>
      </w:r>
      <w:r>
        <w:rPr>
          <w:rtl w:val="true"/>
        </w:rPr>
        <w:t xml:space="preserve">, </w:t>
      </w:r>
      <w:r>
        <w:rPr>
          <w:rtl w:val="true"/>
        </w:rPr>
        <w:t>החופף במשכו את ימי מעצרו</w:t>
      </w:r>
      <w:r>
        <w:rPr>
          <w:rtl w:val="true"/>
        </w:rPr>
        <w:t xml:space="preserve">; </w:t>
      </w:r>
      <w:r>
        <w:rPr>
          <w:rtl w:val="true"/>
        </w:rPr>
        <w:t>ששה חודשי מאסר בפועל</w:t>
      </w:r>
      <w:r>
        <w:rPr>
          <w:rtl w:val="true"/>
        </w:rPr>
        <w:t xml:space="preserve">, </w:t>
      </w:r>
      <w:r>
        <w:rPr>
          <w:rtl w:val="true"/>
        </w:rPr>
        <w:t>שירוצו בדרך של עבודות שירות</w:t>
      </w:r>
      <w:r>
        <w:rPr>
          <w:rtl w:val="true"/>
        </w:rPr>
        <w:t xml:space="preserve">; </w:t>
      </w:r>
      <w:r>
        <w:rPr>
          <w:rtl w:val="true"/>
        </w:rPr>
        <w:t>ארבעה חודשי מאסר 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 xml:space="preserve">הוא חוייב בתשלום </w:t>
      </w:r>
      <w:r>
        <w:rPr>
          <w:rtl w:val="true"/>
        </w:rPr>
        <w:t xml:space="preserve">פיצוי </w:t>
      </w:r>
      <w:r>
        <w:rPr>
          <w:rtl w:val="true"/>
        </w:rPr>
        <w:t>ב</w:t>
      </w:r>
      <w:r>
        <w:rPr>
          <w:rtl w:val="true"/>
        </w:rPr>
        <w:t>סך</w:t>
      </w:r>
      <w:r>
        <w:rPr>
          <w:rtl w:val="true"/>
        </w:rPr>
        <w:t xml:space="preserve"> של</w:t>
      </w:r>
      <w:r>
        <w:rPr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₪ </w:t>
      </w:r>
      <w:r>
        <w:rPr>
          <w:rtl w:val="true"/>
        </w:rPr>
        <w:t xml:space="preserve">לנפגע העבירה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ההצתה</w:t>
      </w:r>
      <w:r>
        <w:rPr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מספר דחיות הקשורות בהתפשטות נגיף הקורונה</w:t>
      </w:r>
      <w:r>
        <w:rPr>
          <w:rtl w:val="true"/>
        </w:rPr>
        <w:t xml:space="preserve">, </w:t>
      </w:r>
      <w:r>
        <w:rPr>
          <w:rtl w:val="true"/>
        </w:rPr>
        <w:t xml:space="preserve">התייצב מוחמד ביום </w:t>
      </w:r>
      <w:r>
        <w:rPr/>
        <w:t>30.6.2020</w:t>
      </w:r>
      <w:r>
        <w:rPr>
          <w:rtl w:val="true"/>
        </w:rPr>
        <w:t xml:space="preserve"> </w:t>
      </w:r>
      <w:r>
        <w:rPr>
          <w:rtl w:val="true"/>
        </w:rPr>
        <w:t xml:space="preserve">אצל הממונה על עבודות השירות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הממונה</w:t>
      </w:r>
      <w:r>
        <w:rPr>
          <w:rtl w:val="true"/>
        </w:rPr>
        <w:t xml:space="preserve">), </w:t>
      </w:r>
      <w:r>
        <w:rPr>
          <w:rtl w:val="true"/>
        </w:rPr>
        <w:t>לצרכי קליטה</w:t>
      </w:r>
      <w:r>
        <w:rPr>
          <w:rtl w:val="true"/>
        </w:rPr>
        <w:t xml:space="preserve">. </w:t>
      </w:r>
      <w:r>
        <w:rPr>
          <w:rtl w:val="true"/>
        </w:rPr>
        <w:t>דא עקא</w:t>
      </w:r>
      <w:r>
        <w:rPr>
          <w:rtl w:val="true"/>
        </w:rPr>
        <w:t xml:space="preserve">, </w:t>
      </w:r>
      <w:r>
        <w:rPr>
          <w:rtl w:val="true"/>
        </w:rPr>
        <w:t xml:space="preserve">ממועד זה ואילך </w:t>
      </w:r>
      <w:r>
        <w:rPr>
          <w:rtl w:val="true"/>
        </w:rPr>
        <w:t>נפקד מקומו</w:t>
      </w:r>
      <w:r>
        <w:rPr>
          <w:rtl w:val="true"/>
        </w:rPr>
        <w:t xml:space="preserve">, </w:t>
      </w:r>
      <w:r>
        <w:rPr>
          <w:rtl w:val="true"/>
        </w:rPr>
        <w:t xml:space="preserve">ומוחמד </w:t>
      </w:r>
      <w:r>
        <w:rPr>
          <w:rtl w:val="true"/>
        </w:rPr>
        <w:t>לא התייצב</w:t>
      </w:r>
      <w:r>
        <w:rPr>
          <w:rtl w:val="true"/>
        </w:rPr>
        <w:t xml:space="preserve"> </w:t>
      </w:r>
      <w:r>
        <w:rPr>
          <w:rtl w:val="true"/>
        </w:rPr>
        <w:t>לביצוע עבודות השירות</w:t>
      </w:r>
      <w:r>
        <w:rPr>
          <w:rtl w:val="true"/>
        </w:rPr>
        <w:t xml:space="preserve">. </w:t>
      </w:r>
      <w:r>
        <w:rPr>
          <w:rtl w:val="true"/>
        </w:rPr>
        <w:t>ביני לביני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27.7.2020</w:t>
      </w:r>
      <w:r>
        <w:rPr>
          <w:rtl w:val="true"/>
        </w:rPr>
        <w:t xml:space="preserve">, </w:t>
      </w:r>
      <w:r>
        <w:rPr>
          <w:rtl w:val="true"/>
        </w:rPr>
        <w:t>נעצר מוחמד בחשד לביצוע עבירות של גניבת רכב</w:t>
      </w:r>
      <w:r>
        <w:rPr>
          <w:rtl w:val="true"/>
        </w:rPr>
        <w:t xml:space="preserve">; </w:t>
      </w:r>
      <w:r>
        <w:rPr>
          <w:rtl w:val="true"/>
        </w:rPr>
        <w:t xml:space="preserve">וביום </w:t>
      </w:r>
      <w:r>
        <w:rPr/>
        <w:t>9.8.2020</w:t>
      </w:r>
      <w:r>
        <w:rPr>
          <w:rtl w:val="true"/>
        </w:rPr>
        <w:t xml:space="preserve"> </w:t>
      </w:r>
      <w:r>
        <w:rPr>
          <w:rtl w:val="true"/>
        </w:rPr>
        <w:t xml:space="preserve">הוגש נגדו כתב אישום המייחס לו ביצוע עבירות כאמור </w:t>
      </w:r>
      <w:r>
        <w:rPr>
          <w:rtl w:val="true"/>
        </w:rPr>
        <w:t>(</w:t>
      </w: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16231-08-20</w:t>
        </w:r>
      </w:hyperlink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הגניבה</w:t>
      </w:r>
      <w:r>
        <w:rPr>
          <w:rtl w:val="true"/>
        </w:rPr>
        <w:t xml:space="preserve">). </w:t>
      </w:r>
      <w:r>
        <w:rPr>
          <w:rtl w:val="true"/>
        </w:rPr>
        <w:t>בד בבד</w:t>
      </w:r>
      <w:r>
        <w:rPr>
          <w:rtl w:val="true"/>
        </w:rPr>
        <w:t xml:space="preserve">, </w:t>
      </w:r>
      <w:r>
        <w:rPr>
          <w:rtl w:val="true"/>
        </w:rPr>
        <w:t>ביקשה ה</w:t>
      </w:r>
      <w:r>
        <w:rPr>
          <w:rtl w:val="true"/>
        </w:rPr>
        <w:t>משיב</w:t>
      </w:r>
      <w:r>
        <w:rPr>
          <w:rtl w:val="true"/>
        </w:rPr>
        <w:t>ה ל</w:t>
      </w:r>
      <w:r>
        <w:rPr>
          <w:rtl w:val="true"/>
        </w:rPr>
        <w:t>הורות על מ</w:t>
      </w:r>
      <w:r>
        <w:rPr>
          <w:rtl w:val="true"/>
        </w:rPr>
        <w:t>עצר</w:t>
      </w:r>
      <w:r>
        <w:rPr>
          <w:rtl w:val="true"/>
        </w:rPr>
        <w:t>ו של</w:t>
      </w:r>
      <w:r>
        <w:rPr>
          <w:rtl w:val="true"/>
        </w:rPr>
        <w:t xml:space="preserve"> מוחמד עד תום ההליכים המשפטיים נגדו </w:t>
      </w:r>
      <w:r>
        <w:rPr>
          <w:rtl w:val="true"/>
        </w:rPr>
        <w:t>(</w:t>
      </w:r>
      <w:hyperlink r:id="rId18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16186-08-20</w:t>
        </w:r>
      </w:hyperlink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]</w:t>
      </w:r>
      <w:r>
        <w:rPr>
          <w:rtl w:val="true"/>
        </w:rPr>
        <w:t xml:space="preserve">. </w:t>
      </w:r>
      <w:r>
        <w:rPr>
          <w:rtl w:val="true"/>
        </w:rPr>
        <w:t xml:space="preserve">בהחלטה מיום </w:t>
      </w:r>
      <w:r>
        <w:rPr/>
        <w:t>13.8.2020</w:t>
      </w:r>
      <w:r>
        <w:rPr>
          <w:rtl w:val="true"/>
        </w:rPr>
        <w:t xml:space="preserve">, </w:t>
      </w:r>
      <w:r>
        <w:rPr>
          <w:rtl w:val="true"/>
        </w:rPr>
        <w:t>הורה בית משפט השלום בירושלים לשחררו לחלופת מעצר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נוכח האמור</w:t>
      </w:r>
      <w:r>
        <w:rPr>
          <w:rtl w:val="true"/>
        </w:rPr>
        <w:t xml:space="preserve">, </w:t>
      </w:r>
      <w:r>
        <w:rPr>
          <w:rtl w:val="true"/>
        </w:rPr>
        <w:t>הגיש הממונה בקשה לבית המשפט המחוזי בירושלים</w:t>
      </w:r>
      <w:r>
        <w:rPr>
          <w:rtl w:val="true"/>
        </w:rPr>
        <w:t xml:space="preserve">, </w:t>
      </w:r>
      <w:r>
        <w:rPr>
          <w:rtl w:val="true"/>
        </w:rPr>
        <w:t xml:space="preserve">בהתאם </w:t>
      </w:r>
      <w:hyperlink r:id="rId19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51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ובגדרה ביקש שמוחמד לא יוסיף לרצות את עונשו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>אלא במאסר מאחורי סורג ובריח</w:t>
      </w:r>
      <w:r>
        <w:rPr>
          <w:rtl w:val="true"/>
        </w:rPr>
        <w:t xml:space="preserve">. </w:t>
      </w:r>
      <w:r>
        <w:rPr>
          <w:rtl w:val="true"/>
        </w:rPr>
        <w:t>לאחר דיון במעמד הצדדים – נעתר בית המשפט המחוזי לבקשה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 xml:space="preserve">כי בהינתן שהעבירות המיוחסות למוחמד בתיק הגניבה בוצעו </w:t>
      </w:r>
      <w:r>
        <w:rPr>
          <w:rtl w:val="true"/>
        </w:rPr>
        <w:t xml:space="preserve">לכאורה </w:t>
      </w:r>
      <w:r>
        <w:rPr>
          <w:rtl w:val="true"/>
        </w:rPr>
        <w:t>כארבעה וחצי חודשים בלבד לאחר שנגזר דינו בתיק ההצתה</w:t>
      </w:r>
      <w:r>
        <w:rPr>
          <w:rtl w:val="true"/>
        </w:rPr>
        <w:t xml:space="preserve">, </w:t>
      </w:r>
      <w:r>
        <w:rPr>
          <w:rtl w:val="true"/>
        </w:rPr>
        <w:t>ובהינתן קביעתו של בית משפט השלום כי יש ראיות לכאורה למיוחס לו בכתב האישום בתיק הגניבה – דומה כי העונש בגזר הדין לא סיפק את ההרתעה הנדרשת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 מלכתחילה נגזר על מוחמד עונש קל יחסית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הפסיקה הנוהגת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בעטיין של עבירות הצתה</w:t>
      </w:r>
      <w:r>
        <w:rPr>
          <w:rtl w:val="true"/>
        </w:rPr>
        <w:t xml:space="preserve">, </w:t>
      </w:r>
      <w:r>
        <w:rPr>
          <w:rtl w:val="true"/>
        </w:rPr>
        <w:t xml:space="preserve">יגזר עונש מאסר לריצוי </w:t>
      </w:r>
      <w:r>
        <w:rPr>
          <w:rtl w:val="true"/>
        </w:rPr>
        <w:t>בפועל מאחורי סורג ובריח</w:t>
      </w:r>
      <w:r>
        <w:rPr>
          <w:rtl w:val="true"/>
        </w:rPr>
        <w:t xml:space="preserve">. </w:t>
      </w:r>
      <w:r>
        <w:rPr>
          <w:rtl w:val="true"/>
        </w:rPr>
        <w:t>הובהר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 ביסוד גזירת העונש לקולא עמדו שיקולי שיקום</w:t>
      </w:r>
      <w:r>
        <w:rPr>
          <w:rtl w:val="true"/>
        </w:rPr>
        <w:t xml:space="preserve">, </w:t>
      </w:r>
      <w:r>
        <w:rPr>
          <w:rtl w:val="true"/>
        </w:rPr>
        <w:t>נוכח החשש שהשהייה בבית הכלא תדרדר את מוחמד אל תוככי העולם העברייני</w:t>
      </w:r>
      <w:r>
        <w:rPr>
          <w:rtl w:val="true"/>
        </w:rPr>
        <w:t xml:space="preserve">; </w:t>
      </w:r>
      <w:r>
        <w:rPr>
          <w:rtl w:val="true"/>
        </w:rPr>
        <w:t>שיקול שמאבד ממשקלו נוכח כתב האישום בתיק הגניבה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לאחר שנלקחו בחשבון שהייתו של מוחמד ב</w:t>
      </w:r>
      <w:r>
        <w:rPr>
          <w:rtl w:val="true"/>
        </w:rPr>
        <w:t>'</w:t>
      </w:r>
      <w:r>
        <w:rPr>
          <w:rtl w:val="true"/>
        </w:rPr>
        <w:t>מעצר בית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במשך תקופה לא מבוטלת</w:t>
      </w:r>
      <w:r>
        <w:rPr>
          <w:rtl w:val="true"/>
        </w:rPr>
        <w:t xml:space="preserve">, </w:t>
      </w:r>
      <w:r>
        <w:rPr>
          <w:rtl w:val="true"/>
        </w:rPr>
        <w:t>כמו גם חזקת החפות העומדת לו בקשר לתיק הגניבה</w:t>
      </w:r>
      <w:r>
        <w:rPr>
          <w:rtl w:val="true"/>
        </w:rPr>
        <w:t xml:space="preserve">, </w:t>
      </w:r>
      <w:r>
        <w:rPr>
          <w:rtl w:val="true"/>
        </w:rPr>
        <w:t>ונסיבות התפשטות מגפת הקורונה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tl w:val="true"/>
        </w:rPr>
        <w:t xml:space="preserve"> בית המשפט כי מוחמד לא ירצה את עונשו על דרך של ביצוע עבודות שירות</w:t>
      </w:r>
      <w:r>
        <w:rPr>
          <w:rtl w:val="true"/>
        </w:rPr>
        <w:t xml:space="preserve">, </w:t>
      </w:r>
      <w:r>
        <w:rPr>
          <w:rtl w:val="true"/>
        </w:rPr>
        <w:t>אותן ממילא לא החל</w:t>
      </w:r>
      <w:r>
        <w:rPr>
          <w:rtl w:val="true"/>
        </w:rPr>
        <w:t xml:space="preserve">, </w:t>
      </w:r>
      <w:r>
        <w:rPr>
          <w:rtl w:val="true"/>
        </w:rPr>
        <w:t>אלא ירצהו בבית הסוהר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שלפַני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מוחמד טוען כי בהינתן חזקת החפות העומדת ל</w:t>
      </w:r>
      <w:r>
        <w:rPr>
          <w:rtl w:val="true"/>
        </w:rPr>
        <w:t>זכות</w:t>
      </w:r>
      <w:r>
        <w:rPr>
          <w:rtl w:val="true"/>
        </w:rPr>
        <w:t>ו בתיק הגניבה</w:t>
      </w:r>
      <w:r>
        <w:rPr>
          <w:rtl w:val="true"/>
        </w:rPr>
        <w:t xml:space="preserve">, </w:t>
      </w:r>
      <w:r>
        <w:rPr>
          <w:rtl w:val="true"/>
        </w:rPr>
        <w:t>הרי שאין מקום להמיר את עבודות השירות במאסר בבית הסוהר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לא ניתן משקל בהחלטה ל</w:t>
      </w:r>
      <w:r>
        <w:rPr>
          <w:rtl w:val="true"/>
        </w:rPr>
        <w:t xml:space="preserve">עובדת </w:t>
      </w:r>
      <w:r>
        <w:rPr>
          <w:rtl w:val="true"/>
        </w:rPr>
        <w:t>שהייתו במעצר וב</w:t>
      </w:r>
      <w:r>
        <w:rPr>
          <w:rtl w:val="true"/>
        </w:rPr>
        <w:t>'</w:t>
      </w:r>
      <w:r>
        <w:rPr>
          <w:rtl w:val="true"/>
        </w:rPr>
        <w:t>מעצר בית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עובר למתן 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כמו גם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עוצמת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הפגיעה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ריצוי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תקופת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בעבודות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ריצוי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מאחורי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סורג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ובריח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לבסוף נטען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 בשל מגפת הקורונה והתחלואה הגואה</w:t>
      </w:r>
      <w:r>
        <w:rPr>
          <w:rtl w:val="true"/>
        </w:rPr>
        <w:t xml:space="preserve">, </w:t>
      </w:r>
      <w:r>
        <w:rPr>
          <w:rtl w:val="true"/>
        </w:rPr>
        <w:t>השמתו בבית הכלא</w:t>
      </w:r>
      <w:r>
        <w:rPr>
          <w:rtl w:val="true"/>
        </w:rPr>
        <w:t xml:space="preserve">, </w:t>
      </w:r>
      <w:r>
        <w:rPr>
          <w:rtl w:val="true"/>
        </w:rPr>
        <w:t>המתאפיין בתנאי מחייה צפופים</w:t>
      </w:r>
      <w:r>
        <w:rPr>
          <w:rtl w:val="true"/>
        </w:rPr>
        <w:t xml:space="preserve">, </w:t>
      </w:r>
      <w:r>
        <w:rPr>
          <w:rtl w:val="true"/>
        </w:rPr>
        <w:t>עלולה לסכן את חייו</w:t>
      </w:r>
      <w:r>
        <w:rPr>
          <w:rtl w:val="true"/>
        </w:rPr>
        <w:t xml:space="preserve">. </w:t>
      </w:r>
      <w:r>
        <w:rPr>
          <w:rtl w:val="true"/>
        </w:rPr>
        <w:t>על יסוד האמור מבוקש להורות על ביטול החלטת בית המשפט המחוזי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או לחלופין</w:t>
      </w:r>
      <w:r>
        <w:rPr>
          <w:rtl w:val="true"/>
        </w:rPr>
        <w:t xml:space="preserve">, </w:t>
      </w:r>
      <w:r>
        <w:rPr>
          <w:rtl w:val="true"/>
        </w:rPr>
        <w:t>על הקלה בעונש המאסר שהוטל עליו</w:t>
      </w:r>
      <w:r>
        <w:rPr>
          <w:rtl w:val="true"/>
        </w:rPr>
        <w:t xml:space="preserve">, </w:t>
      </w:r>
      <w:r>
        <w:rPr>
          <w:rtl w:val="true"/>
        </w:rPr>
        <w:t>תוך קיזוז הימים שבהם שהה במעצר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במהלך הדיון במעמד הצדדים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5.1.2021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 xml:space="preserve"> ב</w:t>
      </w:r>
      <w:r>
        <w:rPr>
          <w:rtl w:val="true"/>
        </w:rPr>
        <w:t>"</w:t>
      </w:r>
      <w:r>
        <w:rPr>
          <w:rtl w:val="true"/>
        </w:rPr>
        <w:t>כ של מוחמד וחזר על טענותיו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המדינה מצדה</w:t>
      </w:r>
      <w:r>
        <w:rPr>
          <w:rtl w:val="true"/>
        </w:rPr>
        <w:t xml:space="preserve">, </w:t>
      </w:r>
      <w:r>
        <w:rPr>
          <w:rtl w:val="true"/>
        </w:rPr>
        <w:t>עמדה על כך שאין מקום לשנות מהחלטתו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משום ש</w:t>
      </w:r>
      <w:r>
        <w:rPr>
          <w:rtl w:val="true"/>
        </w:rPr>
        <w:t>השיקולים הרלבנטיים נשקלו בה כדבעי</w:t>
      </w:r>
      <w:r>
        <w:rPr>
          <w:rtl w:val="true"/>
        </w:rPr>
        <w:t xml:space="preserve">. </w:t>
      </w:r>
      <w:r>
        <w:rPr>
          <w:rtl w:val="true"/>
        </w:rPr>
        <w:t>לדידה</w:t>
      </w:r>
      <w:r>
        <w:rPr>
          <w:rtl w:val="true"/>
        </w:rPr>
        <w:t xml:space="preserve">, </w:t>
      </w:r>
      <w:r>
        <w:rPr>
          <w:rtl w:val="true"/>
        </w:rPr>
        <w:t>מבראשית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העונש שנגזר על מוחמד היה על הצד הקל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ריצוי עונש מאסר בדרך של עבודות שירות הוא פריבילגיה</w:t>
      </w:r>
      <w:r>
        <w:rPr>
          <w:rtl w:val="true"/>
        </w:rPr>
        <w:t xml:space="preserve">, </w:t>
      </w:r>
      <w:r>
        <w:rPr>
          <w:rtl w:val="true"/>
        </w:rPr>
        <w:t>ובגינה</w:t>
      </w:r>
      <w:r>
        <w:rPr>
          <w:rtl w:val="true"/>
        </w:rPr>
        <w:t xml:space="preserve"> מצופה מעובד השירות שינהג בהתאם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לא זו בלבד שמוחמד שב </w:t>
      </w:r>
      <w:r>
        <w:rPr>
          <w:rtl w:val="true"/>
        </w:rPr>
        <w:t xml:space="preserve">לכאורה </w:t>
      </w:r>
      <w:r>
        <w:rPr>
          <w:rtl w:val="true"/>
        </w:rPr>
        <w:t>לסורו חודשים ספורים לאחר שנגזר דינו בתיק ההצתה</w:t>
      </w:r>
      <w:r>
        <w:rPr>
          <w:rtl w:val="true"/>
        </w:rPr>
        <w:t xml:space="preserve">, </w:t>
      </w:r>
      <w:r>
        <w:rPr>
          <w:rtl w:val="true"/>
        </w:rPr>
        <w:t>אלא שהוא גם לא התייצב לצורך ביצוע עבודות השירות</w:t>
      </w:r>
      <w:r>
        <w:rPr>
          <w:rtl w:val="true"/>
        </w:rPr>
        <w:t xml:space="preserve">. </w:t>
      </w:r>
      <w:r>
        <w:rPr>
          <w:rtl w:val="true"/>
        </w:rPr>
        <w:t>בנסיבות הללו</w:t>
      </w:r>
      <w:r>
        <w:rPr>
          <w:rtl w:val="true"/>
        </w:rPr>
        <w:t xml:space="preserve">, </w:t>
      </w:r>
      <w:r>
        <w:rPr>
          <w:rtl w:val="true"/>
        </w:rPr>
        <w:t>השיקול השיקומי מאבד מאחיזתו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במהלך הדיון נחלקו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</w:t>
      </w:r>
      <w:r>
        <w:rPr>
          <w:rtl w:val="true"/>
        </w:rPr>
        <w:t>הצדדים בשאלה אם מוחמד התייצב לעבודות השירות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כן או לא</w:t>
      </w:r>
      <w:r>
        <w:rPr>
          <w:rtl w:val="true"/>
        </w:rPr>
        <w:t xml:space="preserve">. </w:t>
      </w:r>
      <w:r>
        <w:rPr>
          <w:rtl w:val="true"/>
        </w:rPr>
        <w:t>מוחמד</w:t>
      </w:r>
      <w:r>
        <w:rPr>
          <w:rtl w:val="true"/>
        </w:rPr>
        <w:t xml:space="preserve"> </w:t>
      </w:r>
      <w:r>
        <w:rPr>
          <w:rtl w:val="true"/>
        </w:rPr>
        <w:t>גרס כי במעמד התייצבותו להליכי קליטה לפני תחילת ביצוע עבודות השירות</w:t>
      </w:r>
      <w:r>
        <w:rPr>
          <w:rtl w:val="true"/>
        </w:rPr>
        <w:t xml:space="preserve">, </w:t>
      </w:r>
      <w:r>
        <w:rPr>
          <w:rtl w:val="true"/>
        </w:rPr>
        <w:t xml:space="preserve">נמסר לו כי </w:t>
      </w:r>
      <w:r>
        <w:rPr>
          <w:rtl w:val="true"/>
        </w:rPr>
        <w:t>'</w:t>
      </w:r>
      <w:r>
        <w:rPr>
          <w:rtl w:val="true"/>
        </w:rPr>
        <w:t>כרגע אין עבודה</w:t>
      </w:r>
      <w:r>
        <w:rPr>
          <w:rtl w:val="true"/>
        </w:rPr>
        <w:t xml:space="preserve">'; </w:t>
      </w:r>
      <w:r>
        <w:rPr>
          <w:rtl w:val="true"/>
        </w:rPr>
        <w:t>וכי יתקשרו אליו לכשתהיה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בירור שעשתה ב</w:t>
      </w:r>
      <w:r>
        <w:rPr>
          <w:rtl w:val="true"/>
        </w:rPr>
        <w:t>"</w:t>
      </w:r>
      <w:r>
        <w:rPr>
          <w:rtl w:val="true"/>
        </w:rPr>
        <w:t>כ המדינה אל מול הממונה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מס</w:t>
      </w:r>
      <w:r>
        <w:rPr>
          <w:rtl w:val="true"/>
        </w:rPr>
        <w:t>ר כי כזאת לא נאמר למוחמד</w:t>
      </w:r>
      <w:r>
        <w:rPr>
          <w:rtl w:val="true"/>
        </w:rPr>
        <w:t xml:space="preserve">, </w:t>
      </w:r>
      <w:r>
        <w:rPr>
          <w:rtl w:val="true"/>
        </w:rPr>
        <w:t>ומבחינת הממונה הוא נעדר מעבודות השירות ללא סיבה של ממש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לאחר שקילת טענות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</w:t>
      </w:r>
      <w:r>
        <w:rPr>
          <w:rtl w:val="true"/>
        </w:rPr>
        <w:t>הצדדים מזה ומזה</w:t>
      </w:r>
      <w:r>
        <w:rPr>
          <w:rtl w:val="true"/>
        </w:rPr>
        <w:t xml:space="preserve">, </w:t>
      </w:r>
      <w:r>
        <w:rPr>
          <w:rtl w:val="true"/>
        </w:rPr>
        <w:t>באתי לכלל מסקנה כי אין הצדקה ל</w:t>
      </w:r>
      <w:r>
        <w:rPr>
          <w:rtl w:val="true"/>
        </w:rPr>
        <w:t>שנ</w:t>
      </w:r>
      <w:r>
        <w:rPr>
          <w:rtl w:val="true"/>
        </w:rPr>
        <w:t>ות מהחלטתו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במוקד דיוננו</w:t>
      </w:r>
      <w:r>
        <w:rPr>
          <w:rtl w:val="true"/>
        </w:rPr>
        <w:t xml:space="preserve">, </w:t>
      </w:r>
      <w:r>
        <w:rPr>
          <w:rtl w:val="true"/>
        </w:rPr>
        <w:t xml:space="preserve">הוראת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51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זו לשונה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spacing w:lineRule="auto" w:line="360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הוגש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לנשיאת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רשאי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ובהעדרו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לבקשת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הממונה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אפשרות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לטעון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טענותיו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להורות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שעבודת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תחל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תופסק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והנידון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יישא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יתרת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הסוהר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התחלת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הולמים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נשיאה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לנוכח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העיתוי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מהותה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חומרתה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ביצועה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עינינו הרואות</w:t>
      </w:r>
      <w:r>
        <w:rPr>
          <w:rtl w:val="true"/>
        </w:rPr>
        <w:t xml:space="preserve">, </w:t>
      </w:r>
      <w:r>
        <w:rPr>
          <w:rtl w:val="true"/>
        </w:rPr>
        <w:t>כי הסעיף עוסק במצב דברים</w:t>
      </w:r>
      <w:r>
        <w:rPr>
          <w:rtl w:val="true"/>
        </w:rPr>
        <w:t xml:space="preserve">, </w:t>
      </w:r>
      <w:r>
        <w:rPr>
          <w:rtl w:val="true"/>
        </w:rPr>
        <w:t>שבו נגזר על מי שהורשע בדין</w:t>
      </w:r>
      <w:r>
        <w:rPr>
          <w:rtl w:val="true"/>
        </w:rPr>
        <w:t xml:space="preserve"> </w:t>
      </w:r>
      <w:r>
        <w:rPr>
          <w:rtl w:val="true"/>
        </w:rPr>
        <w:t>עונש מאסר שירוצה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>אולם בטרם השלים את ביצועו</w:t>
      </w:r>
      <w:r>
        <w:rPr>
          <w:rtl w:val="true"/>
        </w:rPr>
        <w:t xml:space="preserve">, </w:t>
      </w:r>
      <w:r>
        <w:rPr>
          <w:rtl w:val="true"/>
        </w:rPr>
        <w:t>הוגש נגדו כתב אישום נוסף</w:t>
      </w:r>
      <w:r>
        <w:rPr>
          <w:rtl w:val="true"/>
        </w:rPr>
        <w:t xml:space="preserve">. </w:t>
      </w:r>
      <w:r>
        <w:rPr>
          <w:rtl w:val="true"/>
        </w:rPr>
        <w:t>בנסיבות הללו</w:t>
      </w:r>
      <w:r>
        <w:rPr>
          <w:rtl w:val="true"/>
        </w:rPr>
        <w:t xml:space="preserve">, </w:t>
      </w:r>
      <w:r>
        <w:rPr>
          <w:rtl w:val="true"/>
        </w:rPr>
        <w:t>נתונה לבית המשפט שגזר את עונשו בראשונה</w:t>
      </w:r>
      <w:r>
        <w:rPr>
          <w:rtl w:val="true"/>
        </w:rPr>
        <w:t xml:space="preserve">, </w:t>
      </w:r>
      <w:r>
        <w:rPr>
          <w:rtl w:val="true"/>
        </w:rPr>
        <w:t>הסמכות להורות כי עונש המאסר ירוצה בבית הסוהר</w:t>
      </w:r>
      <w:r>
        <w:rPr>
          <w:rtl w:val="true"/>
        </w:rPr>
        <w:t xml:space="preserve">, </w:t>
      </w:r>
      <w:r>
        <w:rPr>
          <w:rtl w:val="true"/>
        </w:rPr>
        <w:t>חלף עבודות שירות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Fonts w:ascii="Century" w:hAnsi="Century" w:cs="Century"/>
          <w:sz w:val="22"/>
          <w:sz w:val="22"/>
          <w:rtl w:val="true"/>
        </w:rPr>
        <w:t>אם</w:t>
      </w:r>
      <w:r>
        <w:rPr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התחלת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נשיאה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שירות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לנוכח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העיתוי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מהותה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חומרתה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ביצועה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על בית המשפט לבחון אפוא את כתב האישום החדש</w:t>
      </w:r>
      <w:r>
        <w:rPr>
          <w:rtl w:val="true"/>
        </w:rPr>
        <w:t xml:space="preserve">, </w:t>
      </w:r>
      <w:r>
        <w:rPr>
          <w:rtl w:val="true"/>
        </w:rPr>
        <w:t>וככל שימצא כי המעשים המיוחסים בו לעובד השירות מלמדים כי עונש עבודות השירות שנגזר עליו איננו הולם עוד את הנסיבות – רשאי הוא</w:t>
      </w:r>
      <w:r>
        <w:rPr>
          <w:rtl w:val="true"/>
        </w:rPr>
        <w:t xml:space="preserve">, </w:t>
      </w:r>
      <w:r>
        <w:rPr>
          <w:rtl w:val="true"/>
        </w:rPr>
        <w:t>לפי שיקול דעתו</w:t>
      </w:r>
      <w:r>
        <w:rPr>
          <w:rtl w:val="true"/>
        </w:rPr>
        <w:t xml:space="preserve">, </w:t>
      </w:r>
      <w:r>
        <w:rPr>
          <w:rtl w:val="true"/>
        </w:rPr>
        <w:t>להמיר את ריצוי עונש המאסר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>בריצויו מאחורי סורג ובריח</w:t>
      </w:r>
      <w:r>
        <w:rPr>
          <w:rtl w:val="true"/>
        </w:rPr>
        <w:t xml:space="preserve">. </w:t>
      </w:r>
      <w:r>
        <w:rPr>
          <w:rtl w:val="true"/>
        </w:rPr>
        <w:t>בהפעילו את שיקול דעתו</w:t>
      </w:r>
      <w:r>
        <w:rPr>
          <w:rtl w:val="true"/>
        </w:rPr>
        <w:t xml:space="preserve">, </w:t>
      </w:r>
      <w:r>
        <w:rPr>
          <w:rtl w:val="true"/>
        </w:rPr>
        <w:t xml:space="preserve">ישקול בית המשפט את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העיתוי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כמו גם את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מהותה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חומרתה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ביצועה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ככל שמשך הזמן שחלף מיום מתן גזר הדין ועד ליום ביצוע המעשים החדשים המיוחסים לעובד השירות – קצר יותר</w:t>
      </w:r>
      <w:r>
        <w:rPr>
          <w:rtl w:val="true"/>
        </w:rPr>
        <w:t xml:space="preserve">, </w:t>
      </w:r>
      <w:r>
        <w:rPr>
          <w:rtl w:val="true"/>
        </w:rPr>
        <w:t>וככל שחומרתם – גדולה יותר</w:t>
      </w:r>
      <w:r>
        <w:rPr>
          <w:rtl w:val="true"/>
        </w:rPr>
        <w:t xml:space="preserve">, </w:t>
      </w:r>
      <w:r>
        <w:rPr>
          <w:rtl w:val="true"/>
        </w:rPr>
        <w:t>כך ת</w:t>
      </w:r>
      <w:r>
        <w:rPr>
          <w:rtl w:val="true"/>
        </w:rPr>
        <w:t>י</w:t>
      </w:r>
      <w:r>
        <w:rPr>
          <w:rtl w:val="true"/>
        </w:rPr>
        <w:t>טה הכף לריצוי עונש המאסר מאחורי סורג ובריח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לא בדרך של עבודות שירות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פני הדברים</w:t>
      </w:r>
      <w:r>
        <w:rPr>
          <w:rtl w:val="true"/>
        </w:rPr>
        <w:t xml:space="preserve">, </w:t>
      </w:r>
      <w:r>
        <w:rPr>
          <w:rtl w:val="true"/>
        </w:rPr>
        <w:t>הוראה זו מעוררת תהייה</w:t>
      </w:r>
      <w:r>
        <w:rPr>
          <w:rtl w:val="true"/>
        </w:rPr>
        <w:t xml:space="preserve">: </w:t>
      </w:r>
      <w:r>
        <w:rPr>
          <w:rtl w:val="true"/>
        </w:rPr>
        <w:t>מדוע משליכים מעשיו של אדם</w:t>
      </w:r>
      <w:r>
        <w:rPr>
          <w:rtl w:val="true"/>
        </w:rPr>
        <w:t xml:space="preserve">, </w:t>
      </w:r>
      <w:r>
        <w:rPr>
          <w:rtl w:val="true"/>
        </w:rPr>
        <w:t>שבגינם הוגש נגדו כתב אישום בעניין אחד</w:t>
      </w:r>
      <w:r>
        <w:rPr>
          <w:rtl w:val="true"/>
        </w:rPr>
        <w:t xml:space="preserve">, </w:t>
      </w:r>
      <w:r>
        <w:rPr>
          <w:rtl w:val="true"/>
        </w:rPr>
        <w:t>על עונש שנגזר בעניין אחר</w:t>
      </w:r>
      <w:r>
        <w:rPr>
          <w:rtl w:val="true"/>
        </w:rPr>
        <w:t xml:space="preserve">? </w:t>
      </w:r>
      <w:r>
        <w:rPr>
          <w:rtl w:val="true"/>
        </w:rPr>
        <w:t>שהרי</w:t>
      </w:r>
      <w:r>
        <w:rPr>
          <w:rtl w:val="true"/>
        </w:rPr>
        <w:t xml:space="preserve"> גזר הדין ניתן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גמר </w:t>
      </w:r>
      <w:r>
        <w:rPr>
          <w:rtl w:val="true"/>
        </w:rPr>
        <w:t xml:space="preserve">את </w:t>
      </w:r>
      <w:r>
        <w:rPr>
          <w:rtl w:val="true"/>
        </w:rPr>
        <w:t>מלאכתו</w:t>
      </w:r>
      <w:r>
        <w:rPr>
          <w:rtl w:val="true"/>
        </w:rPr>
        <w:t xml:space="preserve">, </w:t>
      </w:r>
      <w:r>
        <w:rPr>
          <w:rtl w:val="true"/>
        </w:rPr>
        <w:t>ובהליך החדש עומדת לעובד השירות חזקת חפותו</w:t>
      </w:r>
      <w:r>
        <w:rPr>
          <w:rtl w:val="true"/>
        </w:rPr>
        <w:t xml:space="preserve">. </w:t>
      </w:r>
      <w:r>
        <w:rPr>
          <w:rtl w:val="true"/>
        </w:rPr>
        <w:t>הטעם לדבר נעוץ במהותן של עבודות השירות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הללו נתפסות כזכות המוענקת לנאשם</w:t>
      </w:r>
      <w:r>
        <w:rPr>
          <w:rtl w:val="true"/>
        </w:rPr>
        <w:t xml:space="preserve">, </w:t>
      </w:r>
      <w:r>
        <w:rPr>
          <w:rtl w:val="true"/>
        </w:rPr>
        <w:t>בבחינת פריבילגיה</w:t>
      </w:r>
      <w:r>
        <w:rPr>
          <w:rtl w:val="true"/>
        </w:rPr>
        <w:t xml:space="preserve">, </w:t>
      </w:r>
      <w:r>
        <w:rPr>
          <w:rtl w:val="true"/>
        </w:rPr>
        <w:t>כאשר ניתנת לו האפשרות לרצות את עונשו בתנאים מקלים</w:t>
      </w:r>
      <w:r>
        <w:rPr>
          <w:rtl w:val="true"/>
        </w:rPr>
        <w:t xml:space="preserve">, </w:t>
      </w:r>
      <w:r>
        <w:rPr>
          <w:rtl w:val="true"/>
        </w:rPr>
        <w:t>תוך מתן בכורה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tl w:val="true"/>
        </w:rPr>
        <w:t xml:space="preserve">, </w:t>
      </w:r>
      <w:r>
        <w:rPr>
          <w:rtl w:val="true"/>
        </w:rPr>
        <w:t>לשיקולי שיקום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426/06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הסוהר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10-9</w:t>
      </w:r>
      <w:r>
        <w:rPr>
          <w:rtl w:val="true"/>
        </w:rPr>
        <w:t xml:space="preserve"> (</w:t>
      </w:r>
      <w:r>
        <w:rPr/>
        <w:t>12.3.2006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חווא</w:t>
      </w:r>
      <w:r>
        <w:rPr>
          <w:rtl w:val="true"/>
        </w:rPr>
        <w:t xml:space="preserve">);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6040/18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</w:t>
      </w:r>
      <w:r>
        <w:rPr>
          <w:rtl w:val="true"/>
        </w:rPr>
        <w:t xml:space="preserve"> (</w:t>
      </w:r>
      <w:r>
        <w:rPr/>
        <w:t>2.10.2019</w:t>
      </w:r>
      <w:r>
        <w:rPr>
          <w:rtl w:val="true"/>
        </w:rPr>
        <w:t xml:space="preserve">)). </w:t>
      </w:r>
      <w:r>
        <w:rPr>
          <w:rtl w:val="true"/>
        </w:rPr>
        <w:t>הזכות לריצוי עונש מאסר בדרך של עבודות שירות תלויה אפוא בנסיבותיו האישיות של הנאשם</w:t>
      </w:r>
      <w:r>
        <w:rPr>
          <w:rtl w:val="true"/>
        </w:rPr>
        <w:t xml:space="preserve">. </w:t>
      </w:r>
      <w:r>
        <w:rPr>
          <w:rtl w:val="true"/>
        </w:rPr>
        <w:t>היא ניתנת בגזר הדין</w:t>
      </w:r>
      <w:r>
        <w:rPr>
          <w:rtl w:val="true"/>
        </w:rPr>
        <w:t xml:space="preserve">, </w:t>
      </w:r>
      <w:r>
        <w:rPr>
          <w:rtl w:val="true"/>
        </w:rPr>
        <w:t>במבט שיקומי</w:t>
      </w:r>
      <w:r>
        <w:rPr>
          <w:rtl w:val="true"/>
        </w:rPr>
        <w:t xml:space="preserve">, </w:t>
      </w:r>
      <w:r>
        <w:rPr>
          <w:rtl w:val="true"/>
        </w:rPr>
        <w:t xml:space="preserve">צופה פני עתיד  </w:t>
      </w:r>
      <w:r>
        <w:rPr>
          <w:rtl w:val="true"/>
        </w:rPr>
        <w:t>(</w:t>
      </w:r>
      <w:hyperlink r:id="rId2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8430/09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אברג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(</w:t>
      </w:r>
      <w:r>
        <w:rPr/>
        <w:t>3.1.2010</w:t>
      </w:r>
      <w:r>
        <w:rPr>
          <w:rtl w:val="true"/>
        </w:rPr>
        <w:t xml:space="preserve">); </w:t>
      </w:r>
      <w:hyperlink r:id="rId2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8220/19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הישאם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13.7.2020</w:t>
      </w:r>
      <w:r>
        <w:rPr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>באין צפי לשיקום</w:t>
      </w:r>
      <w:r>
        <w:rPr>
          <w:rtl w:val="true"/>
        </w:rPr>
        <w:t xml:space="preserve">, </w:t>
      </w:r>
      <w:r>
        <w:rPr>
          <w:rtl w:val="true"/>
        </w:rPr>
        <w:t>אין הצדקה להמיר את המאסר בבית הסוהר</w:t>
      </w:r>
      <w:r>
        <w:rPr>
          <w:rtl w:val="true"/>
        </w:rPr>
        <w:t xml:space="preserve">, </w:t>
      </w:r>
      <w:r>
        <w:rPr>
          <w:rtl w:val="true"/>
        </w:rPr>
        <w:t>בעבודות שירות</w:t>
      </w:r>
      <w:r>
        <w:rPr>
          <w:rtl w:val="true"/>
        </w:rPr>
        <w:t xml:space="preserve">; </w:t>
      </w:r>
      <w:r>
        <w:rPr>
          <w:rtl w:val="true"/>
        </w:rPr>
        <w:t xml:space="preserve">כך גם </w:t>
      </w:r>
      <w:r>
        <w:rPr>
          <w:rtl w:val="true"/>
        </w:rPr>
        <w:t xml:space="preserve">אם לאחר שנגזר </w:t>
      </w:r>
      <w:r>
        <w:rPr>
          <w:rtl w:val="true"/>
        </w:rPr>
        <w:t>העונש</w:t>
      </w:r>
      <w:r>
        <w:rPr>
          <w:rtl w:val="true"/>
        </w:rPr>
        <w:t xml:space="preserve"> מתברר כי תקוות השיקום שנטעו ב</w:t>
      </w:r>
      <w:r>
        <w:rPr>
          <w:rtl w:val="true"/>
        </w:rPr>
        <w:t>עובד השירות</w:t>
      </w:r>
      <w:r>
        <w:rPr>
          <w:rtl w:val="true"/>
        </w:rPr>
        <w:t xml:space="preserve"> מלכתחילה התבדו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הנהנה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מריצוי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שיקומי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מצביע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בהתנהגותו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עבריינית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לקעקע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הבסיס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נשען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השיקומי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ולהצדיק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החזרתו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למסלול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הרגיל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חווא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 xml:space="preserve">טיבן זה </w:t>
      </w:r>
      <w:r>
        <w:rPr>
          <w:rtl w:val="true"/>
        </w:rPr>
        <w:t xml:space="preserve">של </w:t>
      </w:r>
      <w:r>
        <w:rPr>
          <w:rtl w:val="true"/>
        </w:rPr>
        <w:t>עבודות שירות</w:t>
      </w:r>
      <w:r>
        <w:rPr>
          <w:rtl w:val="true"/>
        </w:rPr>
        <w:t xml:space="preserve">, </w:t>
      </w:r>
      <w:r>
        <w:rPr>
          <w:rtl w:val="true"/>
        </w:rPr>
        <w:t>כזכות נפרדת מעונש המאסר הקונקרטי</w:t>
      </w:r>
      <w:r>
        <w:rPr>
          <w:rtl w:val="true"/>
        </w:rPr>
        <w:t xml:space="preserve">, </w:t>
      </w:r>
      <w:r>
        <w:rPr>
          <w:rtl w:val="true"/>
        </w:rPr>
        <w:t xml:space="preserve">נלמד מהוראות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51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עצמו</w:t>
      </w:r>
      <w:r>
        <w:rPr>
          <w:rtl w:val="true"/>
        </w:rPr>
        <w:t xml:space="preserve">. </w:t>
      </w:r>
      <w:r>
        <w:rPr>
          <w:rtl w:val="true"/>
        </w:rPr>
        <w:t>משהגיע בית המשפט לכלל מסקנה כי יש מקום לעשות שימוש בסמכותו</w:t>
      </w:r>
      <w:r>
        <w:rPr>
          <w:rtl w:val="true"/>
        </w:rPr>
        <w:t xml:space="preserve">, </w:t>
      </w:r>
      <w:r>
        <w:rPr>
          <w:rtl w:val="true"/>
        </w:rPr>
        <w:t xml:space="preserve">הרי שמכוחה מוסמך הוא אך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שעבודת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תופסק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הווה אומר</w:t>
      </w:r>
      <w:r>
        <w:rPr>
          <w:rtl w:val="true"/>
        </w:rPr>
        <w:t xml:space="preserve">: </w:t>
      </w:r>
      <w:r>
        <w:rPr>
          <w:rtl w:val="true"/>
        </w:rPr>
        <w:t>הברירה בינארית – אם להורות על שלילת זכותו של הנאשם לריצוי עונש המאסר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>אם לאו</w:t>
      </w:r>
      <w:r>
        <w:rPr>
          <w:rtl w:val="true"/>
        </w:rPr>
        <w:t xml:space="preserve">. </w:t>
      </w:r>
      <w:r>
        <w:rPr>
          <w:rtl w:val="true"/>
        </w:rPr>
        <w:t>בית המשפט אינו רשאי לחזור ולגזור את עונשו</w:t>
      </w:r>
      <w:r>
        <w:rPr>
          <w:rtl w:val="true"/>
        </w:rPr>
        <w:t xml:space="preserve">, </w:t>
      </w:r>
      <w:r>
        <w:rPr>
          <w:rtl w:val="true"/>
        </w:rPr>
        <w:t xml:space="preserve">ולהטיל עליו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חדש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בכוחו אך לשלול את זכות היתר שניתנה לו במסגרת גזר הדין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לאחר שהציפיות ממנו נכזבו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ולהורות על כך שעליו לרצות את המשך מאסרו בבית הסוהר</w:t>
      </w:r>
      <w:r>
        <w:rPr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 xml:space="preserve">זאת בניגוד להוראת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51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המקנה לבית המשפט סמכות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לגזור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>).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מסקנה זו עולה גם בקנה אחד עם הוראת </w:t>
      </w:r>
      <w:hyperlink r:id="rId28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51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י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הקובעת כי בית המשפט שלערעור ידון בערעור על החלטה מכוח </w:t>
      </w:r>
      <w:hyperlink r:id="rId29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51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י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</w:rPr>
          <w:t>2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בדן יחיד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להבדיל מערעור על גזר הדין עצמו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הנדון כידוע לפני מותב תלתא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על רקע האמור</w:t>
      </w:r>
      <w:r>
        <w:rPr>
          <w:rtl w:val="true"/>
        </w:rPr>
        <w:t xml:space="preserve">, </w:t>
      </w:r>
      <w:r>
        <w:rPr>
          <w:rtl w:val="true"/>
        </w:rPr>
        <w:t>ברי כי הגשת כתב אישום נגד עובד השירות</w:t>
      </w:r>
      <w:r>
        <w:rPr>
          <w:rtl w:val="true"/>
        </w:rPr>
        <w:t xml:space="preserve">, </w:t>
      </w:r>
      <w:r>
        <w:rPr>
          <w:rtl w:val="true"/>
        </w:rPr>
        <w:t>עשויה</w:t>
      </w:r>
      <w:r>
        <w:rPr>
          <w:rtl w:val="true"/>
        </w:rPr>
        <w:t xml:space="preserve">, </w:t>
      </w:r>
      <w:r>
        <w:rPr>
          <w:rtl w:val="true"/>
        </w:rPr>
        <w:t>בכפוף לנסיבות</w:t>
      </w:r>
      <w:r>
        <w:rPr>
          <w:rtl w:val="true"/>
        </w:rPr>
        <w:t xml:space="preserve">, </w:t>
      </w:r>
      <w:r>
        <w:rPr>
          <w:rtl w:val="true"/>
        </w:rPr>
        <w:t>להצביע על כך שטעמי השיקום שעמדו בבסיס העונש שנגזר עליו מלכתחילה – איבדו ממשקלם</w:t>
      </w:r>
      <w:r>
        <w:rPr>
          <w:rtl w:val="true"/>
        </w:rPr>
        <w:t xml:space="preserve">; </w:t>
      </w:r>
      <w:r>
        <w:rPr>
          <w:rtl w:val="true"/>
        </w:rPr>
        <w:t>ויתכן שבגין זאת – אין עוד טעם להמשך ריצוי העונש בדרך של עבודות שירות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אף אם אניח כי מוחמד לא התייצב לעבודות השירות </w:t>
      </w:r>
      <w:r>
        <w:rPr>
          <w:rtl w:val="true"/>
        </w:rPr>
        <w:t>מחמת</w:t>
      </w:r>
      <w:r>
        <w:rPr>
          <w:rtl w:val="true"/>
        </w:rPr>
        <w:t xml:space="preserve"> חוסר הבנה</w:t>
      </w:r>
      <w:r>
        <w:rPr>
          <w:rtl w:val="true"/>
        </w:rPr>
        <w:t xml:space="preserve">, </w:t>
      </w:r>
      <w:r>
        <w:rPr>
          <w:rtl w:val="true"/>
        </w:rPr>
        <w:t>כזה או אחר</w:t>
      </w:r>
      <w:r>
        <w:rPr>
          <w:rtl w:val="true"/>
        </w:rPr>
        <w:t xml:space="preserve">, </w:t>
      </w:r>
      <w:r>
        <w:rPr>
          <w:rtl w:val="true"/>
        </w:rPr>
        <w:t>בינו לבין הממונה</w:t>
      </w:r>
      <w:r>
        <w:rPr>
          <w:rtl w:val="true"/>
        </w:rPr>
        <w:t xml:space="preserve">, </w:t>
      </w:r>
      <w:r>
        <w:rPr>
          <w:rtl w:val="true"/>
        </w:rPr>
        <w:t>הרי שממילא אין זו הסיבה העיקרית לביטול זכותו לעבודות שירות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היטיב לעמוד על כך שהמעשים המיוחסים למוחמד בכתב האישום בתיק הגניבה בוצעו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כארבעה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וחצי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חודשים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בלבד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לאחר מתן 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כי נסיבות ביצועם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מכבידות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וכי הדבר מלמד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מעורבותו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לכאורה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מוחמד – נ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ס</w:t>
      </w:r>
      <w:r>
        <w:rPr>
          <w:rFonts w:cs="Century" w:ascii="Century" w:hAnsi="Century"/>
          <w:sz w:val="22"/>
          <w:rtl w:val="true"/>
        </w:rPr>
        <w:t>')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העברייני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>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על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>נקבע שתוחלת הניסיון לשקמו ולמנוע את העמקת הדרדרותו לעולם העברייני</w:t>
      </w:r>
      <w:r>
        <w:rPr>
          <w:rtl w:val="true"/>
        </w:rPr>
        <w:t xml:space="preserve">, </w:t>
      </w:r>
      <w:r>
        <w:rPr>
          <w:rtl w:val="true"/>
        </w:rPr>
        <w:t>דבר שהיווה שיקול מרכזי לריצוי עונשו בעבודות שירות ולא במאסר בבית הסוהר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איננה </w:t>
      </w:r>
      <w:r>
        <w:rPr>
          <w:rFonts w:ascii="Century" w:hAnsi="Century" w:cs="Century"/>
          <w:sz w:val="22"/>
          <w:sz w:val="22"/>
          <w:rtl w:val="true"/>
        </w:rPr>
        <w:t xml:space="preserve">עוד </w:t>
      </w:r>
      <w:r>
        <w:rPr>
          <w:rFonts w:ascii="Century" w:hAnsi="Century" w:cs="Century"/>
          <w:sz w:val="22"/>
          <w:sz w:val="22"/>
          <w:rtl w:val="true"/>
        </w:rPr>
        <w:t>כפי שהיתה בתחילה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יש ממש במסקנה זו</w:t>
      </w:r>
      <w:r>
        <w:rPr>
          <w:rtl w:val="true"/>
        </w:rPr>
        <w:t xml:space="preserve">. </w:t>
      </w:r>
      <w:r>
        <w:rPr>
          <w:rtl w:val="true"/>
        </w:rPr>
        <w:t>שתי גניבות רכב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יום אחר יום</w:t>
      </w:r>
      <w:r>
        <w:rPr>
          <w:rtl w:val="true"/>
        </w:rPr>
        <w:t xml:space="preserve">, </w:t>
      </w:r>
      <w:r>
        <w:rPr>
          <w:rtl w:val="true"/>
        </w:rPr>
        <w:t xml:space="preserve">בצוותא חדא עם אחרים – </w:t>
      </w:r>
      <w:r>
        <w:rPr>
          <w:rtl w:val="true"/>
        </w:rPr>
        <w:t>הדבר מדבר לחובתו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מלמד לכאורה כי גזר הדין לא הרתיע את מוחמד מלשוב לסורו</w:t>
      </w:r>
      <w:r>
        <w:rPr>
          <w:rtl w:val="true"/>
        </w:rPr>
        <w:t xml:space="preserve">; </w:t>
      </w:r>
      <w:r>
        <w:rPr>
          <w:rtl w:val="true"/>
        </w:rPr>
        <w:t xml:space="preserve">ודאי לא </w:t>
      </w:r>
      <w:r>
        <w:rPr>
          <w:rtl w:val="true"/>
        </w:rPr>
        <w:t xml:space="preserve">מלמד </w:t>
      </w:r>
      <w:r>
        <w:rPr>
          <w:rtl w:val="true"/>
        </w:rPr>
        <w:t>על תחילתו של הליך שיקום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הנה כי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השיקולים הרלבנטיים – נשקלו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בהתאם לדין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אף </w:t>
      </w:r>
      <w:r>
        <w:rPr>
          <w:rtl w:val="true"/>
        </w:rPr>
        <w:t>על ההשלכות של כניסה לבית הכלא בתוקפת הקורונה 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tl w:val="true"/>
        </w:rPr>
        <w:t>הדעת ניתנה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 זו אף זו</w:t>
      </w:r>
      <w:r>
        <w:rPr>
          <w:rtl w:val="true"/>
        </w:rPr>
        <w:t xml:space="preserve">. </w:t>
      </w:r>
      <w:r>
        <w:rPr>
          <w:rtl w:val="true"/>
        </w:rPr>
        <w:t xml:space="preserve">לפי לשון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51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על בית המשפט לבחון את עניינו של הנאשם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בחינתו של בית המשפט נעשית נוכח האמור בכתב האישום</w:t>
      </w:r>
      <w:r>
        <w:rPr>
          <w:rtl w:val="true"/>
        </w:rPr>
        <w:t xml:space="preserve">, </w:t>
      </w:r>
      <w:r>
        <w:rPr>
          <w:rtl w:val="true"/>
        </w:rPr>
        <w:t>מבלי להידרש לראיות שעמדו בבסיסו</w:t>
      </w:r>
      <w:r>
        <w:rPr>
          <w:rtl w:val="true"/>
        </w:rPr>
        <w:t xml:space="preserve">. </w:t>
      </w:r>
      <w:r>
        <w:rPr>
          <w:rtl w:val="true"/>
        </w:rPr>
        <w:t>העדרה של דרישה ראייתית כלשהי</w:t>
      </w:r>
      <w:r>
        <w:rPr>
          <w:rtl w:val="true"/>
        </w:rPr>
        <w:t xml:space="preserve">, </w:t>
      </w:r>
      <w:r>
        <w:rPr>
          <w:rtl w:val="true"/>
        </w:rPr>
        <w:t xml:space="preserve">מושתת על ההנחה שכתב האישום הוגש על יסוד הערכת התביעה כי יש די ראיות להרשעה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חווא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16</w:t>
      </w:r>
      <w:r>
        <w:rPr>
          <w:rtl w:val="true"/>
        </w:rPr>
        <w:t xml:space="preserve">; </w:t>
      </w:r>
      <w:hyperlink r:id="rId31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2534/97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יהב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פרקליטת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המדינה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נא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1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 xml:space="preserve">)). </w:t>
      </w:r>
      <w:r>
        <w:rPr>
          <w:rtl w:val="true"/>
        </w:rPr>
        <w:t>דומני</w:t>
      </w:r>
      <w:r>
        <w:rPr>
          <w:rtl w:val="true"/>
        </w:rPr>
        <w:t xml:space="preserve">,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 xml:space="preserve">שבית המשפט המחוזי </w:t>
      </w:r>
      <w:r>
        <w:rPr>
          <w:rtl w:val="true"/>
        </w:rPr>
        <w:t>עשה עוד מעבר לנדרש</w:t>
      </w:r>
      <w:r>
        <w:rPr>
          <w:rtl w:val="true"/>
        </w:rPr>
        <w:t xml:space="preserve">, </w:t>
      </w:r>
      <w:r>
        <w:rPr>
          <w:rtl w:val="true"/>
        </w:rPr>
        <w:t xml:space="preserve">כשהתייחס לקביעותיו של בית משפט השלום </w:t>
      </w:r>
      <w:r>
        <w:rPr>
          <w:rtl w:val="true"/>
        </w:rPr>
        <w:t xml:space="preserve">בהליכי המעצר </w:t>
      </w:r>
      <w:r>
        <w:rPr>
          <w:rtl w:val="true"/>
        </w:rPr>
        <w:t>בתיק הגניבה</w:t>
      </w:r>
      <w:r>
        <w:rPr>
          <w:rtl w:val="true"/>
        </w:rPr>
        <w:t xml:space="preserve">, </w:t>
      </w:r>
      <w:r>
        <w:rPr>
          <w:rtl w:val="true"/>
        </w:rPr>
        <w:t>בקבעו כי יש די ראיות לכאורה ל</w:t>
      </w:r>
      <w:r>
        <w:rPr>
          <w:rtl w:val="true"/>
        </w:rPr>
        <w:t xml:space="preserve">צורך שהייתו </w:t>
      </w:r>
      <w:r>
        <w:rPr>
          <w:rtl w:val="true"/>
        </w:rPr>
        <w:t>של מוחמד ב</w:t>
      </w:r>
      <w:r>
        <w:rPr>
          <w:rtl w:val="true"/>
        </w:rPr>
        <w:t>'</w:t>
      </w:r>
      <w:r>
        <w:rPr>
          <w:rtl w:val="true"/>
        </w:rPr>
        <w:t>מעצר בית</w:t>
      </w:r>
      <w:r>
        <w:rPr>
          <w:rtl w:val="true"/>
        </w:rPr>
        <w:t>'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Arial TUR" w:hAnsi="Arial TUR" w:cs="Arial TUR"/>
          <w:sz w:val="22"/>
          <w:sz w:val="22"/>
          <w:rtl w:val="true"/>
        </w:rPr>
        <w:t>אין בידי גם לקבל את טענ</w:t>
      </w:r>
      <w:r>
        <w:rPr>
          <w:rFonts w:ascii="Arial TUR" w:hAnsi="Arial TUR" w:cs="Arial TUR"/>
          <w:sz w:val="22"/>
          <w:sz w:val="22"/>
          <w:rtl w:val="true"/>
        </w:rPr>
        <w:t>ת ב</w:t>
      </w:r>
      <w:r>
        <w:rPr>
          <w:rFonts w:cs="Arial TUR" w:ascii="Arial TUR" w:hAnsi="Arial TUR"/>
          <w:sz w:val="22"/>
          <w:rtl w:val="true"/>
        </w:rPr>
        <w:t>"</w:t>
      </w:r>
      <w:r>
        <w:rPr>
          <w:rFonts w:ascii="Arial TUR" w:hAnsi="Arial TUR" w:cs="Arial TUR"/>
          <w:sz w:val="22"/>
          <w:sz w:val="22"/>
          <w:rtl w:val="true"/>
        </w:rPr>
        <w:t>כ של מוחמד</w:t>
      </w:r>
      <w:r>
        <w:rPr>
          <w:rFonts w:ascii="Arial TUR" w:hAnsi="Arial TUR" w:cs="Arial TUR"/>
          <w:sz w:val="22"/>
          <w:sz w:val="22"/>
          <w:rtl w:val="true"/>
        </w:rPr>
        <w:t xml:space="preserve"> </w:t>
      </w:r>
      <w:r>
        <w:rPr>
          <w:rtl w:val="true"/>
        </w:rPr>
        <w:t>כי היה מקום</w:t>
      </w:r>
      <w:r>
        <w:rPr>
          <w:rtl w:val="true"/>
        </w:rPr>
        <w:t xml:space="preserve">, </w:t>
      </w:r>
      <w:r>
        <w:rPr>
          <w:rtl w:val="true"/>
        </w:rPr>
        <w:t>במסגרת ההחלטה</w:t>
      </w:r>
      <w:r>
        <w:rPr>
          <w:rtl w:val="true"/>
        </w:rPr>
        <w:t xml:space="preserve">, </w:t>
      </w:r>
      <w:r>
        <w:rPr>
          <w:rtl w:val="true"/>
        </w:rPr>
        <w:t>להתחשב בכך שעונש של ששה חודשי עבודות שירות אינו מקביל בחומרתו לעונש של ששה חודשי מאסר בבית הסוהר</w:t>
      </w:r>
      <w:r>
        <w:rPr>
          <w:rtl w:val="true"/>
        </w:rPr>
        <w:t xml:space="preserve">. </w:t>
      </w:r>
      <w:r>
        <w:rPr>
          <w:rtl w:val="true"/>
        </w:rPr>
        <w:t>אף כי ברי שריצוי עונש מאסר מאחורי סורג ובריח</w:t>
      </w:r>
      <w:r>
        <w:rPr>
          <w:rtl w:val="true"/>
        </w:rPr>
        <w:t xml:space="preserve">, </w:t>
      </w:r>
      <w:r>
        <w:rPr>
          <w:rtl w:val="true"/>
        </w:rPr>
        <w:t>ולא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>פגיעתו בחירות קשה יותר</w:t>
      </w:r>
      <w:r>
        <w:rPr>
          <w:rtl w:val="true"/>
        </w:rPr>
        <w:t xml:space="preserve">, </w:t>
      </w:r>
      <w:r>
        <w:rPr>
          <w:rtl w:val="true"/>
        </w:rPr>
        <w:t>הרי שבכל זאת</w:t>
      </w:r>
      <w:r>
        <w:rPr>
          <w:rtl w:val="true"/>
        </w:rPr>
        <w:t xml:space="preserve">, </w:t>
      </w:r>
      <w:r>
        <w:rPr>
          <w:rtl w:val="true"/>
        </w:rPr>
        <w:t xml:space="preserve">כשמו כן הוא – </w:t>
      </w:r>
      <w:r>
        <w:rPr>
          <w:rtl w:val="true"/>
        </w:rPr>
        <w:t xml:space="preserve">מאסר בעבודות שירות זהו </w:t>
      </w:r>
      <w:r>
        <w:rPr>
          <w:rtl w:val="true"/>
        </w:rPr>
        <w:t xml:space="preserve">עונש מאסר </w:t>
      </w:r>
      <w:r>
        <w:rPr>
          <w:rtl w:val="true"/>
        </w:rPr>
        <w:t>(</w:t>
      </w:r>
      <w:hyperlink r:id="rId3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483/14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אמסלם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(</w:t>
      </w:r>
      <w:r>
        <w:rPr/>
        <w:t>15.07.2014</w:t>
      </w:r>
      <w:r>
        <w:rPr>
          <w:rtl w:val="true"/>
        </w:rPr>
        <w:t xml:space="preserve">)). </w:t>
      </w:r>
      <w:r>
        <w:rPr>
          <w:rtl w:val="true"/>
        </w:rPr>
        <w:t>כפי ששנינו</w:t>
      </w:r>
      <w:r>
        <w:rPr>
          <w:rtl w:val="true"/>
        </w:rPr>
        <w:t xml:space="preserve">, </w:t>
      </w:r>
      <w:r>
        <w:rPr>
          <w:rtl w:val="true"/>
        </w:rPr>
        <w:t xml:space="preserve">בבטלו את הזכות לעבודות השירות מכוח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51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בית המשפט אינו גוזר מחדש את עונשו של הנאשם</w:t>
      </w:r>
      <w:r>
        <w:rPr>
          <w:rtl w:val="true"/>
        </w:rPr>
        <w:t xml:space="preserve">. </w:t>
      </w:r>
      <w:r>
        <w:rPr>
          <w:rtl w:val="true"/>
        </w:rPr>
        <w:t>שינוי משך תקופת המאסר</w:t>
      </w:r>
      <w:r>
        <w:rPr>
          <w:rtl w:val="true"/>
        </w:rPr>
        <w:t xml:space="preserve">, </w:t>
      </w:r>
      <w:r>
        <w:rPr>
          <w:rtl w:val="true"/>
        </w:rPr>
        <w:t xml:space="preserve">לא </w:t>
      </w:r>
      <w:r>
        <w:rPr>
          <w:rtl w:val="true"/>
        </w:rPr>
        <w:t>עומד על הפרק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מטעמים דומים גם לא היה מקום לקחת בחשבון</w:t>
      </w:r>
      <w:r>
        <w:rPr>
          <w:rtl w:val="true"/>
        </w:rPr>
        <w:t xml:space="preserve">, </w:t>
      </w:r>
      <w:r>
        <w:rPr>
          <w:rtl w:val="true"/>
        </w:rPr>
        <w:t>במסגרת ההחלטה</w:t>
      </w:r>
      <w:r>
        <w:rPr>
          <w:rtl w:val="true"/>
        </w:rPr>
        <w:t xml:space="preserve">, </w:t>
      </w:r>
      <w:r>
        <w:rPr>
          <w:rtl w:val="true"/>
        </w:rPr>
        <w:t>את שה</w:t>
      </w:r>
      <w:r>
        <w:rPr>
          <w:rtl w:val="true"/>
        </w:rPr>
        <w:t>יי</w:t>
      </w:r>
      <w:r>
        <w:rPr>
          <w:rtl w:val="true"/>
        </w:rPr>
        <w:t xml:space="preserve">תו של מוחמד </w:t>
      </w:r>
      <w:r>
        <w:rPr>
          <w:rtl w:val="true"/>
        </w:rPr>
        <w:t xml:space="preserve">בשעתו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>מעצר בית</w:t>
      </w:r>
      <w:r>
        <w:rPr>
          <w:rtl w:val="true"/>
        </w:rPr>
        <w:t>'</w:t>
      </w:r>
      <w:r>
        <w:rPr>
          <w:rtl w:val="true"/>
        </w:rPr>
        <w:t xml:space="preserve">. </w:t>
      </w:r>
      <w:r>
        <w:rPr>
          <w:rtl w:val="true"/>
        </w:rPr>
        <w:t>שיקול זה</w:t>
      </w:r>
      <w:r>
        <w:rPr>
          <w:rtl w:val="true"/>
        </w:rPr>
        <w:t xml:space="preserve">, </w:t>
      </w:r>
      <w:r>
        <w:rPr>
          <w:rtl w:val="true"/>
        </w:rPr>
        <w:t xml:space="preserve">בא במניין השיקולים בעת מתן גזר הדין </w:t>
      </w:r>
      <w:r>
        <w:rPr>
          <w:rtl w:val="true"/>
        </w:rPr>
        <w:t>(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1626/91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דקה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מה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76</w:t>
      </w:r>
      <w:r>
        <w:rPr>
          <w:rtl w:val="true"/>
        </w:rPr>
        <w:t xml:space="preserve">, </w:t>
      </w:r>
      <w:r>
        <w:rPr/>
        <w:t>81-80</w:t>
      </w:r>
      <w:r>
        <w:rPr>
          <w:rtl w:val="true"/>
        </w:rPr>
        <w:t xml:space="preserve"> (</w:t>
      </w:r>
      <w:r>
        <w:rPr/>
        <w:t>1991</w:t>
      </w:r>
      <w:r>
        <w:rPr>
          <w:rtl w:val="true"/>
        </w:rPr>
        <w:t xml:space="preserve">);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7768/15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20.4.2016</w:t>
      </w:r>
      <w:r>
        <w:rPr>
          <w:rtl w:val="true"/>
        </w:rPr>
        <w:t xml:space="preserve">)), </w:t>
      </w:r>
      <w:r>
        <w:rPr>
          <w:rtl w:val="true"/>
        </w:rPr>
        <w:t>ו</w:t>
      </w:r>
      <w:r>
        <w:rPr>
          <w:rtl w:val="true"/>
        </w:rPr>
        <w:t xml:space="preserve">אין הוא בא </w:t>
      </w:r>
      <w:r>
        <w:rPr>
          <w:rtl w:val="true"/>
        </w:rPr>
        <w:t xml:space="preserve">עוד </w:t>
      </w:r>
      <w:r>
        <w:rPr>
          <w:rtl w:val="true"/>
        </w:rPr>
        <w:t>במניין השיקולים בעת שלילת הזכות לריצוי עונש המאסר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 xml:space="preserve">מכוח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51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 מצאתי ממש גם בטענה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 היה מקום לקזז את ימי שה</w:t>
      </w:r>
      <w:r>
        <w:rPr>
          <w:rtl w:val="true"/>
        </w:rPr>
        <w:t>יי</w:t>
      </w:r>
      <w:r>
        <w:rPr>
          <w:rtl w:val="true"/>
        </w:rPr>
        <w:t>תו של מוחמד במעצר מעונש המאסר בפועל</w:t>
      </w:r>
      <w:r>
        <w:rPr>
          <w:rtl w:val="true"/>
        </w:rPr>
        <w:t xml:space="preserve">. </w:t>
      </w:r>
      <w:r>
        <w:rPr>
          <w:rtl w:val="true"/>
        </w:rPr>
        <w:t>בעניין זה אין לי אלא להפנות לגזר הדין</w:t>
      </w:r>
      <w:r>
        <w:rPr>
          <w:rtl w:val="true"/>
        </w:rPr>
        <w:t xml:space="preserve">, </w:t>
      </w:r>
      <w:r>
        <w:rPr>
          <w:rtl w:val="true"/>
        </w:rPr>
        <w:t>שבו נקבע במפורש כי ששת חודשי המאסר</w:t>
      </w:r>
      <w:r>
        <w:rPr>
          <w:rtl w:val="true"/>
        </w:rPr>
        <w:t xml:space="preserve">, </w:t>
      </w:r>
      <w:r>
        <w:rPr>
          <w:rtl w:val="true"/>
        </w:rPr>
        <w:t>לריצוי בעבודות השירות</w:t>
      </w:r>
      <w:r>
        <w:rPr>
          <w:rtl w:val="true"/>
        </w:rPr>
        <w:t xml:space="preserve">, </w:t>
      </w:r>
      <w:r>
        <w:rPr>
          <w:rtl w:val="true"/>
        </w:rPr>
        <w:t xml:space="preserve">נגזרו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לצד</w:t>
      </w:r>
      <w:r>
        <w:rPr>
          <w:rFonts w:ascii="Century" w:hAnsi="Century" w:cs="Century"/>
          <w:sz w:val="22"/>
          <w:sz w:val="22"/>
          <w:rtl w:val="true"/>
        </w:rPr>
        <w:t xml:space="preserve"> עונש המאסר </w:t>
      </w:r>
      <w:r>
        <w:rPr>
          <w:rFonts w:ascii="Century" w:hAnsi="Century" w:cs="Century"/>
          <w:sz w:val="22"/>
          <w:sz w:val="22"/>
          <w:rtl w:val="true"/>
        </w:rPr>
        <w:t>כמניין ימי המעצר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קוזז במלואו עם ימי שהותו של מוחמד במעצר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דהיינו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הקיזוז כבר נעשה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ומכאן שבדין לא התחשב בית המשפט המחוזי בימי המעצר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במגרש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24.1.2021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" w:cs="Arial TUR"/>
          <w:rtl w:val="true"/>
        </w:rPr>
        <w:t xml:space="preserve"> </w:t>
      </w:r>
      <w:r>
        <w:rPr/>
        <w:t>09:00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, </w:t>
      </w:r>
      <w:r>
        <w:rPr/>
        <w:t>08-9787336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start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4" w:name="Nitan"/>
      <w:bookmarkStart w:id="15" w:name="Writer_Name"/>
      <w:bookmarkEnd w:id="15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10.1.2021</w:t>
      </w:r>
      <w:r>
        <w:rPr>
          <w:rtl w:val="true"/>
        </w:rPr>
        <w:t xml:space="preserve">). </w:t>
      </w:r>
      <w:bookmarkEnd w:id="14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ind w:end="0"/>
              <w:jc w:val="both"/>
              <w:rPr>
                <w:color w:val="FFFFFF"/>
                <w:sz w:val="2"/>
                <w:szCs w:val="2"/>
              </w:rPr>
            </w:pPr>
            <w:bookmarkStart w:id="16" w:name="Start_Write"/>
            <w:bookmarkEnd w:id="16"/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20076920</w:t>
      </w:r>
      <w:r>
        <w:rPr>
          <w:sz w:val="16"/>
          <w:rtl w:val="true"/>
        </w:rPr>
        <w:t>_</w:t>
      </w:r>
      <w:r>
        <w:rPr>
          <w:sz w:val="16"/>
        </w:rPr>
        <w:t>O05.docx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7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54678313-7692/20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9"/>
      <w:footerReference w:type="default" r:id="rId4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7692/20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נתשה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textAlignment w:val="auto"/>
    </w:pPr>
    <w:rPr>
      <w:rFonts w:ascii="Garamond" w:hAnsi="Garamond" w:cs="Garamond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76450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51j.a1" TargetMode="External"/><Relationship Id="rId5" Type="http://schemas.openxmlformats.org/officeDocument/2006/relationships/hyperlink" Target="http://www.nevo.co.il/law/70301/51j.a2" TargetMode="External"/><Relationship Id="rId6" Type="http://schemas.openxmlformats.org/officeDocument/2006/relationships/hyperlink" Target="http://www.nevo.co.il/law/70301/51j.b" TargetMode="External"/><Relationship Id="rId7" Type="http://schemas.openxmlformats.org/officeDocument/2006/relationships/hyperlink" Target="http://www.nevo.co.il/law/70301/52j.a2" TargetMode="External"/><Relationship Id="rId8" Type="http://schemas.openxmlformats.org/officeDocument/2006/relationships/hyperlink" Target="http://www.nevo.co.il/law/70301/52j.a2" TargetMode="External"/><Relationship Id="rId9" Type="http://schemas.openxmlformats.org/officeDocument/2006/relationships/hyperlink" Target="http://www.nevo.co.il/law/70301/51j.a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52j.a2" TargetMode="External"/><Relationship Id="rId12" Type="http://schemas.openxmlformats.org/officeDocument/2006/relationships/hyperlink" Target="http://www.nevo.co.il/law/70301/51j.a1" TargetMode="External"/><Relationship Id="rId13" Type="http://schemas.openxmlformats.org/officeDocument/2006/relationships/hyperlink" Target="http://www.nevo.co.il/law/70301/52j.a2" TargetMode="External"/><Relationship Id="rId14" Type="http://schemas.openxmlformats.org/officeDocument/2006/relationships/hyperlink" Target="http://www.nevo.co.il/law/70301/52j.a2" TargetMode="External"/><Relationship Id="rId15" Type="http://schemas.openxmlformats.org/officeDocument/2006/relationships/hyperlink" Target="http://www.nevo.co.il/law/70301/52j.a2" TargetMode="External"/><Relationship Id="rId16" Type="http://schemas.openxmlformats.org/officeDocument/2006/relationships/hyperlink" Target="http://www.nevo.co.il/case/25764509" TargetMode="External"/><Relationship Id="rId17" Type="http://schemas.openxmlformats.org/officeDocument/2006/relationships/hyperlink" Target="http://www.nevo.co.il/case/26907393" TargetMode="External"/><Relationship Id="rId18" Type="http://schemas.openxmlformats.org/officeDocument/2006/relationships/hyperlink" Target="http://www.nevo.co.il/case/26907392" TargetMode="External"/><Relationship Id="rId19" Type="http://schemas.openxmlformats.org/officeDocument/2006/relationships/hyperlink" Target="http://www.nevo.co.il/law/70301/51j.a2" TargetMode="External"/><Relationship Id="rId20" Type="http://schemas.openxmlformats.org/officeDocument/2006/relationships/hyperlink" Target="http://www.nevo.co.il/law/70301/51j.a2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5701291" TargetMode="External"/><Relationship Id="rId23" Type="http://schemas.openxmlformats.org/officeDocument/2006/relationships/hyperlink" Target="http://www.nevo.co.il/case/24929126" TargetMode="External"/><Relationship Id="rId24" Type="http://schemas.openxmlformats.org/officeDocument/2006/relationships/hyperlink" Target="http://www.nevo.co.il/case/6129331" TargetMode="External"/><Relationship Id="rId25" Type="http://schemas.openxmlformats.org/officeDocument/2006/relationships/hyperlink" Target="http://www.nevo.co.il/case/26263925" TargetMode="External"/><Relationship Id="rId26" Type="http://schemas.openxmlformats.org/officeDocument/2006/relationships/hyperlink" Target="http://www.nevo.co.il/law/70301/51j.a2" TargetMode="External"/><Relationship Id="rId27" Type="http://schemas.openxmlformats.org/officeDocument/2006/relationships/hyperlink" Target="http://www.nevo.co.il/law/70301/51j.a1" TargetMode="External"/><Relationship Id="rId28" Type="http://schemas.openxmlformats.org/officeDocument/2006/relationships/hyperlink" Target="http://www.nevo.co.il/law/70301/51j.b" TargetMode="External"/><Relationship Id="rId29" Type="http://schemas.openxmlformats.org/officeDocument/2006/relationships/hyperlink" Target="http://www.nevo.co.il/law/70301/51j.a2" TargetMode="External"/><Relationship Id="rId30" Type="http://schemas.openxmlformats.org/officeDocument/2006/relationships/hyperlink" Target="http://www.nevo.co.il/law/70301/51j.a2" TargetMode="External"/><Relationship Id="rId31" Type="http://schemas.openxmlformats.org/officeDocument/2006/relationships/hyperlink" Target="http://www.nevo.co.il/case/5839572" TargetMode="External"/><Relationship Id="rId32" Type="http://schemas.openxmlformats.org/officeDocument/2006/relationships/hyperlink" Target="http://www.nevo.co.il/case/11206466" TargetMode="External"/><Relationship Id="rId33" Type="http://schemas.openxmlformats.org/officeDocument/2006/relationships/hyperlink" Target="http://www.nevo.co.il/law/70301/51j.a2" TargetMode="External"/><Relationship Id="rId34" Type="http://schemas.openxmlformats.org/officeDocument/2006/relationships/hyperlink" Target="http://www.nevo.co.il/case/17912640" TargetMode="External"/><Relationship Id="rId35" Type="http://schemas.openxmlformats.org/officeDocument/2006/relationships/hyperlink" Target="http://www.nevo.co.il/case/20832660" TargetMode="External"/><Relationship Id="rId36" Type="http://schemas.openxmlformats.org/officeDocument/2006/relationships/hyperlink" Target="http://www.nevo.co.il/law/70301/51j.a2" TargetMode="External"/><Relationship Id="rId37" Type="http://schemas.openxmlformats.org/officeDocument/2006/relationships/hyperlink" Target="http://supreme.court.gov.il/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2021-01-14T14:35:00Z</dcterms:created>
  <dc:creator>h4</dc:creator>
  <dc:description/>
  <cp:keywords/>
  <dc:language>en-IL</dc:language>
  <cp:lastModifiedBy>hofit</cp:lastModifiedBy>
  <cp:lastPrinted>2021-01-10T19:21:00Z</cp:lastPrinted>
  <dcterms:modified xsi:type="dcterms:W3CDTF">2021-01-14T14:35:00Z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מוחמד נתשה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25764509:2;26907393;26907392;5701291;24929126;6129331;26263925;5839572;11206466;17912640;20832660</vt:lpwstr>
  </property>
  <property fmtid="{D5CDD505-2E9C-101B-9397-08002B2CF9AE}" pid="9" name="CITY">
    <vt:lpwstr/>
  </property>
  <property fmtid="{D5CDD505-2E9C-101B-9397-08002B2CF9AE}" pid="10" name="DATE">
    <vt:lpwstr>20210110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</vt:lpwstr>
  </property>
  <property fmtid="{D5CDD505-2E9C-101B-9397-08002B2CF9AE}" pid="14" name="LAWLISTTMP1">
    <vt:lpwstr>70301/052j.a2;051j.a2:7;051j.a1;051j.b</vt:lpwstr>
  </property>
  <property fmtid="{D5CDD505-2E9C-101B-9397-08002B2CF9AE}" pid="15" name="LAWYER">
    <vt:lpwstr>אופיר ביתן;ריאד סואעד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פרשנות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77;84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דין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1446;1517</vt:lpwstr>
  </property>
  <property fmtid="{D5CDD505-2E9C-101B-9397-08002B2CF9AE}" pid="48" name="NOSE31">
    <vt:lpwstr>דרכי ענישה: עבודות שירות</vt:lpwstr>
  </property>
  <property fmtid="{D5CDD505-2E9C-101B-9397-08002B2CF9AE}" pid="49" name="NOSE310">
    <vt:lpwstr/>
  </property>
  <property fmtid="{D5CDD505-2E9C-101B-9397-08002B2CF9AE}" pid="50" name="NOSE32">
    <vt:lpwstr>חוק העונשין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8964;9358</vt:lpwstr>
  </property>
  <property fmtid="{D5CDD505-2E9C-101B-9397-08002B2CF9AE}" pid="59" name="PADIDATE">
    <vt:lpwstr>20210112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7692</vt:lpwstr>
  </property>
  <property fmtid="{D5CDD505-2E9C-101B-9397-08002B2CF9AE}" pid="65" name="PROCYEAR">
    <vt:lpwstr>20</vt:lpwstr>
  </property>
  <property fmtid="{D5CDD505-2E9C-101B-9397-08002B2CF9AE}" pid="66" name="PSAKDIN">
    <vt:lpwstr>החלטה</vt:lpwstr>
  </property>
  <property fmtid="{D5CDD505-2E9C-101B-9397-08002B2CF9AE}" pid="67" name="TYPE">
    <vt:lpwstr>1</vt:lpwstr>
  </property>
  <property fmtid="{D5CDD505-2E9C-101B-9397-08002B2CF9AE}" pid="68" name="TYPE_ABS_DATE">
    <vt:lpwstr>410120210110</vt:lpwstr>
  </property>
  <property fmtid="{D5CDD505-2E9C-101B-9397-08002B2CF9AE}" pid="69" name="TYPE_N_DATE">
    <vt:lpwstr>41020210110</vt:lpwstr>
  </property>
  <property fmtid="{D5CDD505-2E9C-101B-9397-08002B2CF9AE}" pid="70" name="VOLUME">
    <vt:lpwstr/>
  </property>
  <property fmtid="{D5CDD505-2E9C-101B-9397-08002B2CF9AE}" pid="71" name="WORDNUMPAGES">
    <vt:lpwstr>9</vt:lpwstr>
  </property>
</Properties>
</file>