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7722/19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היילמייקל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טספאי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זרסנאי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Style w:val="-M"/>
              </w:rPr>
            </w:pPr>
            <w:r>
              <w:rPr>
                <w:rStyle w:val="-M"/>
                <w:rtl w:val="true"/>
              </w:rPr>
              <w:t>ערעור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על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הכרעת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דינו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וגזר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דינו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של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בית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המשפט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המחוזי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בבאר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שבע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ב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i w:val="false"/>
                  <w:i w:val="false"/>
                  <w:iCs w:val="false"/>
                  <w:color w:val="0000FF"/>
                  <w:spacing w:val="0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ascii="Century" w:hAnsi="Century" w:cs="Miriam"/>
                  <w:b/>
                  <w:b/>
                  <w:i w:val="false"/>
                  <w:i w:val="false"/>
                  <w:iCs w:val="false"/>
                  <w:color w:val="0000FF"/>
                  <w:spacing w:val="0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i w:val="false"/>
                  <w:i w:val="false"/>
                  <w:iCs w:val="false"/>
                  <w:color w:val="0000FF"/>
                  <w:spacing w:val="0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ascii="Century" w:hAnsi="Century" w:cs="Miriam"/>
                  <w:b/>
                  <w:b/>
                  <w:i w:val="false"/>
                  <w:i w:val="false"/>
                  <w:iCs w:val="false"/>
                  <w:color w:val="0000FF"/>
                  <w:spacing w:val="0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Century" w:hAnsi="Century" w:cs="Miriam"/>
                  <w:b/>
                  <w:b/>
                  <w:i w:val="false"/>
                  <w:i w:val="false"/>
                  <w:iCs w:val="false"/>
                  <w:color w:val="0000FF"/>
                  <w:spacing w:val="0"/>
                  <w:szCs w:val="24"/>
                  <w:u w:val="single"/>
                </w:rPr>
                <w:t>35846-05-17</w:t>
              </w:r>
            </w:hyperlink>
            <w:r>
              <w:rPr>
                <w:rStyle w:val="-M"/>
                <w:rtl w:val="true"/>
              </w:rPr>
              <w:t xml:space="preserve"> </w:t>
            </w:r>
            <w:r>
              <w:rPr>
                <w:rStyle w:val="-M"/>
                <w:rFonts w:cs="David"/>
                <w:b w:val="false"/>
                <w:rtl w:val="true"/>
              </w:rPr>
              <w:t>[</w:t>
            </w:r>
            <w:r>
              <w:rPr>
                <w:rStyle w:val="-M"/>
                <w:rFonts w:ascii="Times New Roman" w:hAnsi="Times New Roman"/>
                <w:b w:val="false"/>
                <w:b w:val="false"/>
                <w:rtl w:val="true"/>
              </w:rPr>
              <w:t>פורסם</w:t>
            </w:r>
            <w:r>
              <w:rPr>
                <w:rStyle w:val="-M"/>
                <w:rFonts w:ascii="Times New Roman" w:hAnsi="Times New Roman" w:cs="Times New Roman"/>
                <w:b w:val="false"/>
                <w:b w:val="false"/>
                <w:rtl w:val="true"/>
              </w:rPr>
              <w:t xml:space="preserve"> </w:t>
            </w:r>
            <w:r>
              <w:rPr>
                <w:rStyle w:val="-M"/>
                <w:rFonts w:ascii="Times New Roman" w:hAnsi="Times New Roman"/>
                <w:b w:val="false"/>
                <w:b w:val="false"/>
                <w:rtl w:val="true"/>
              </w:rPr>
              <w:t>בנבו</w:t>
            </w:r>
            <w:r>
              <w:rPr>
                <w:rStyle w:val="-M"/>
                <w:rFonts w:cs="David"/>
                <w:b w:val="false"/>
                <w:rtl w:val="true"/>
              </w:rPr>
              <w:t xml:space="preserve">] </w:t>
            </w:r>
            <w:r>
              <w:rPr>
                <w:rStyle w:val="-M"/>
                <w:rtl w:val="true"/>
              </w:rPr>
              <w:t>מיום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</w:rPr>
              <w:t>8.7.2019</w:t>
            </w:r>
            <w:r>
              <w:rPr>
                <w:rStyle w:val="-M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ומיום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</w:rPr>
              <w:t>6.10.2019</w:t>
            </w:r>
            <w:r>
              <w:rPr>
                <w:rStyle w:val="-M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שניתנו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על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ידי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סגן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הנשיאה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נתן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זלוצ</w:t>
            </w:r>
            <w:r>
              <w:rPr>
                <w:rStyle w:val="-M"/>
                <w:rtl w:val="true"/>
              </w:rPr>
              <w:t>'</w:t>
            </w:r>
            <w:r>
              <w:rPr>
                <w:rStyle w:val="-M"/>
                <w:rtl w:val="true"/>
              </w:rPr>
              <w:t>ובר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והשופטים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יעל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רז</w:t>
            </w:r>
            <w:r>
              <w:rPr>
                <w:rStyle w:val="-M"/>
                <w:rtl w:val="true"/>
              </w:rPr>
              <w:t>-</w:t>
            </w:r>
            <w:r>
              <w:rPr>
                <w:rStyle w:val="-M"/>
                <w:rtl w:val="true"/>
              </w:rPr>
              <w:t>לוי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ושלמה</w:t>
            </w:r>
            <w:r>
              <w:rPr>
                <w:rStyle w:val="-M"/>
                <w:rFonts w:cs="Times New Roman"/>
                <w:rtl w:val="true"/>
              </w:rPr>
              <w:t xml:space="preserve"> </w:t>
            </w:r>
            <w:r>
              <w:rPr>
                <w:rStyle w:val="-M"/>
                <w:rtl w:val="true"/>
              </w:rPr>
              <w:t>פרידלנדר</w:t>
            </w:r>
          </w:p>
        </w:tc>
      </w:tr>
    </w:tbl>
    <w:p>
      <w:pPr>
        <w:pStyle w:val="Ruller31"/>
        <w:ind w:end="0"/>
        <w:jc w:val="start"/>
        <w:rPr>
          <w:rStyle w:val="-M"/>
        </w:rPr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1.3.2021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שטיינברג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9"/>
        <w:gridCol w:w="5144"/>
      </w:tblGrid>
      <w:tr>
        <w:trPr/>
        <w:tc>
          <w:tcPr>
            <w:tcW w:w="3219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9"/>
        <w:gridCol w:w="5144"/>
      </w:tblGrid>
      <w:tr>
        <w:trPr/>
        <w:tc>
          <w:tcPr>
            <w:tcW w:w="321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4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יגאל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מינדל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9"/>
        <w:gridCol w:w="5144"/>
      </w:tblGrid>
      <w:tr>
        <w:trPr/>
        <w:tc>
          <w:tcPr>
            <w:tcW w:w="321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מתורגמנית</w:t>
            </w:r>
            <w:r>
              <w:rPr>
                <w:rtl w:val="true"/>
              </w:rPr>
              <w:t>:</w:t>
            </w:r>
          </w:p>
        </w:tc>
        <w:tc>
          <w:tcPr>
            <w:tcW w:w="514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רבקה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סאלי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חאלד גנאים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</w:rPr>
          <w:t>2019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244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דן בשאלה אלו מעשים ייחשבו 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תכנון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ולביטוי של התנהלות שבה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שקילה וגיבוש ההחלטה 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העונשין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וקבע כי יש להבחין בין מקרים שבהם הרצח בוצע לאחר שהעושה שקל והחליט להמית את הקרבן שייכנסו לסעיף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למקרים שבהם ההחלטה להמית התגבשה באופן ספונטני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ללא הפעלת שיקול דעת וללא הכנה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שייכללו בסעיף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דנן המתת המנוח בידי המערער מקיימת את יסודות עבירת הרצח בנסיבות מחמירות כאמור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התקיימו נסיבות מיוחדות שבגינן המעשה אינו מבטא דרגת אשמה חמורה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כאמור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שלא ניתן להרשיע את המערער בעבירת הרצח שבסעיף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רצח בנסיהות מחמירות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עבירת הרצח – החלטה להמית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הגנות – שכרות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דין וגזר 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בגדרם הורשע המערער בעבירת 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 איומים ובעבירת שיבוש מהלכי 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ונגזרו עליו עונש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של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עבירת האיומים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שירוצה בחופף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ופיצוי כספי לאם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הרקע למעשים הוא עימות שהתגלע בין המערער למנוח באשר למוזיקה שתתנגן בבר בו בילו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הנדל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משהמעשים שיוחסו למערער בוצעו עובר למועד תחולת 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נהג כדין כאשר בחן את הדין הישן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עבירת הרצח 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העונשין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רצח בכוונה 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כנוסחו טרם 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לצד הדין החדש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עבירת הרצח לפי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העונשין כנוסחו לאחר 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 של 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וקבע כי בין אם חל הדין הישן ובין אם הדין החדש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להרשיע את המערער בעבירה שבצידה עונש מאסר עולם חובה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טוען כי יש להרשיעו בעבירת הרצח הבסיסית שבסעיף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כנוסחו אחר התיקון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העונש הקבוע בצידה הוא עונש מרבי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עונש חובה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כן 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מסור שיקול דעת בגזירת 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נוכח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השאלה היא האם יש להרשיע את המערער בעבירה של רצח בנסיבות מחמירות לפי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בשל כך שביצע את הרצח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תכנון או לאחר הליך ממשי של שקילה וגיבוש החלטה 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אלו מעשים ייחשבו 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תכנון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ולביטוי של התנהלות שבה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שקילה וגיבוש ההחלטה 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"? </w:t>
      </w:r>
      <w:r>
        <w:rPr>
          <w:rFonts w:ascii="Times New Roman" w:hAnsi="Times New Roman" w:cs="Times New Roman"/>
          <w:spacing w:val="0"/>
          <w:szCs w:val="26"/>
          <w:rtl w:val="true"/>
        </w:rPr>
        <w:t>החומרה המיוחדת הטמונה בעבירה זו ראוי שתביא ליצירת הבחנה בין מקרים שבהם מעשה הרצח בוצע לאחר שהעושה שקל והחליט להמית את הקרבן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שייכנסו לגדרי הסעיף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 מקרים שבהם ההחלטה להמית התגבשה באופן ספונטני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ללא הפעלת שיקול דעת של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וללא הכנה הכוללת פעולות מקדימות שביצע העושה קודם לביצוע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שיוותרו מחוצה לו וייכללו בסעיף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זה התגבשה אצל המערער כוונה להמית את המנוח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תכנון או לאחר הליך ממשי של שקילה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שרשרת הפעולות שביצע המערער שדרשה ממנו זמן ומאמץ באשמורת אחרונה של לילה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העולה כדי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תכנון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ואין לומר כי החלטת המערער להמית את המנוח נוצרה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ספונטני ובלהט הרגע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כי זו נתקבלה תוך הפעלת שיקול דעת מצדו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מתקיימות שתי החלופות שבסעיף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המערער כי שכרותו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שאינה מגעת כדי סייג השכרות הקבוע בחוק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מעידה כי לא גיבש תוכנית סדורה להצטייד בסכין למטרת רצח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פעל מתוך דחף ספונטני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ממצאי עובדה לפיהם אף שהמערער שתה אלכוהול עובר 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 לא השפיע עליו במידה המעוררת ספק ביחס למודעותו בשעת מעשה לפרט מפרטי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ליכולתו לגבש כוונה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לשאלה האם נתקיימו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מיוחדות שבגינן המעשה אינו מבטא דרגת אשמה חמורה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כאמור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שניתן להרשיע את המערער בעבירת הרצח הבסיסית ולא בעבירה של 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טענת המערער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הנסיבות המיוחדות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הן מצבו התודעתי המעורפל מאלכוהול 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 לא נמנתה רשימת נסיבות שבהתקיימן תופחת דרגת אשמתו של מבצע עבירת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קשה לשער מראש את כל אותן 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ונכון הוא להשאיר שיקול דעת 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להפחית מאשמת הנאשם במקרים מתאימים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במקרים חריגים בלבד ועניינו של המערער אינו נמנה עליהם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נדחתה הטענה לפיה מי ששתה לשכרה טרם ביצוע העבירה ואינו נכנס בגדר סייג השכרות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שכרות חלקית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יזכה להקלה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לכך כיוון המחוקק בייחדו פתח צר להפחית ממידת עונשו של נאשם שביצע עבירת 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המקרה דנן אינן מצדיקות השתת עונש חמור פחות מעונש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ערעור על הכרעת דינו וגזר דינו של בית המשפט המחוזי בבאר שבע </w:t>
      </w:r>
      <w:r>
        <w:rPr>
          <w:rtl w:val="true"/>
        </w:rPr>
        <w:t>(</w:t>
      </w:r>
      <w:r>
        <w:rPr>
          <w:rtl w:val="true"/>
        </w:rPr>
        <w:t>סגן הנשיאה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זלוצ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רז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 והשופט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פרידלנדר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35846-05-17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8.7.2019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6.10.2019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בגדרם הורשע המערער בעבירת רצח</w:t>
      </w:r>
      <w:r>
        <w:rPr>
          <w:rtl w:val="true"/>
        </w:rPr>
        <w:t xml:space="preserve">, </w:t>
      </w:r>
      <w:r>
        <w:rPr>
          <w:rtl w:val="true"/>
        </w:rPr>
        <w:t>בעבירת איומים ובעבירת שיבוש מהלכי משפט</w:t>
      </w:r>
      <w:r>
        <w:rPr>
          <w:rtl w:val="true"/>
        </w:rPr>
        <w:t xml:space="preserve">; </w:t>
      </w:r>
      <w:r>
        <w:rPr>
          <w:rtl w:val="true"/>
        </w:rPr>
        <w:t>ונגזרו עליו עונש מאסר עולם</w:t>
      </w:r>
      <w:r>
        <w:rPr>
          <w:rtl w:val="true"/>
        </w:rPr>
        <w:t xml:space="preserve">, </w:t>
      </w:r>
      <w:r>
        <w:rPr>
          <w:rtl w:val="true"/>
        </w:rPr>
        <w:t xml:space="preserve">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>(</w:t>
      </w:r>
      <w:r>
        <w:rPr>
          <w:rtl w:val="true"/>
        </w:rPr>
        <w:t>בגין עבירת האיומים</w:t>
      </w:r>
      <w:r>
        <w:rPr>
          <w:rtl w:val="true"/>
        </w:rPr>
        <w:t xml:space="preserve">) </w:t>
      </w:r>
      <w:r>
        <w:rPr>
          <w:rtl w:val="true"/>
        </w:rPr>
        <w:t>אשר ירוצה בחופף</w:t>
      </w:r>
      <w:r>
        <w:rPr>
          <w:rtl w:val="true"/>
        </w:rPr>
        <w:t xml:space="preserve">, </w:t>
      </w:r>
      <w:r>
        <w:rPr>
          <w:rtl w:val="true"/>
        </w:rPr>
        <w:t>ופיצוי כספי לאם</w:t>
      </w:r>
      <w:r>
        <w:rPr>
          <w:rtl w:val="true"/>
        </w:rPr>
        <w:t>-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בסך המרבי הקבוע בחוק</w:t>
      </w:r>
      <w:r>
        <w:rPr>
          <w:rtl w:val="true"/>
        </w:rPr>
        <w:t>.</w:t>
      </w:r>
    </w:p>
    <w:p>
      <w:pPr>
        <w:pStyle w:val="Heading1"/>
        <w:spacing w:before="360" w:after="360"/>
        <w:ind w:hanging="0" w:start="0" w:end="0"/>
        <w:jc w:val="start"/>
        <w:rPr/>
      </w:pPr>
      <w:r>
        <w:rPr>
          <w:rtl w:val="true"/>
        </w:rPr>
        <w:t>כתב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האישום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פי המתואר בכתב האישום</w:t>
      </w:r>
      <w:r>
        <w:rPr>
          <w:rtl w:val="true"/>
        </w:rPr>
        <w:t xml:space="preserve">, </w:t>
      </w:r>
      <w:r>
        <w:rPr>
          <w:rtl w:val="true"/>
        </w:rPr>
        <w:t>בליל ה</w:t>
      </w:r>
      <w:r>
        <w:rPr>
          <w:rtl w:val="true"/>
        </w:rPr>
        <w:t>-</w:t>
      </w:r>
      <w:r>
        <w:rPr/>
        <w:t>13.4.2017</w:t>
      </w:r>
      <w:r>
        <w:rPr>
          <w:rtl w:val="true"/>
        </w:rPr>
        <w:t xml:space="preserve"> </w:t>
      </w:r>
      <w:r>
        <w:rPr>
          <w:rtl w:val="true"/>
        </w:rPr>
        <w:t>שהו המערער</w:t>
      </w:r>
      <w:r>
        <w:rPr>
          <w:rtl w:val="true"/>
        </w:rPr>
        <w:t xml:space="preserve">, </w:t>
      </w:r>
      <w:r>
        <w:rPr>
          <w:rtl w:val="true"/>
        </w:rPr>
        <w:t>חברו עמניאל גילו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המכונה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אונקרי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אונקרי</w:t>
      </w:r>
      <w:r>
        <w:rPr>
          <w:rtl w:val="true"/>
        </w:rPr>
        <w:t xml:space="preserve">), </w:t>
      </w:r>
      <w:r>
        <w:rPr>
          <w:rtl w:val="true"/>
        </w:rPr>
        <w:t>וחיים איצ</w:t>
      </w:r>
      <w:r>
        <w:rPr>
          <w:rtl w:val="true"/>
        </w:rPr>
        <w:t>'</w:t>
      </w:r>
      <w:r>
        <w:rPr>
          <w:rtl w:val="true"/>
        </w:rPr>
        <w:t xml:space="preserve">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בר קפה</w:t>
      </w:r>
      <w:r>
        <w:rPr>
          <w:rtl w:val="true"/>
        </w:rPr>
        <w:t xml:space="preserve">" </w:t>
      </w:r>
      <w:r>
        <w:rPr>
          <w:rtl w:val="true"/>
        </w:rPr>
        <w:t>בקרית גת</w:t>
      </w:r>
      <w:r>
        <w:rPr>
          <w:rtl w:val="true"/>
        </w:rPr>
        <w:t xml:space="preserve">, </w:t>
      </w:r>
      <w:r>
        <w:rPr>
          <w:rtl w:val="true"/>
        </w:rPr>
        <w:t>ושתו משקאות אלכוהוליים</w:t>
      </w:r>
      <w:r>
        <w:rPr>
          <w:rtl w:val="true"/>
        </w:rPr>
        <w:t xml:space="preserve">. </w:t>
      </w:r>
      <w:r>
        <w:rPr>
          <w:rtl w:val="true"/>
        </w:rPr>
        <w:t>בשלב מסוים התפתח ויכוח בין המערער למנוח בנוגע למוסיקה שהושמעה ברקע</w:t>
      </w:r>
      <w:r>
        <w:rPr>
          <w:rtl w:val="true"/>
        </w:rPr>
        <w:t xml:space="preserve">. </w:t>
      </w:r>
      <w:r>
        <w:rPr>
          <w:rtl w:val="true"/>
        </w:rPr>
        <w:t>לאחר הוויכוח עזב המערער את המקום ושב לביתו</w:t>
      </w:r>
      <w:r>
        <w:rPr>
          <w:rtl w:val="true"/>
        </w:rPr>
        <w:t xml:space="preserve">, </w:t>
      </w:r>
      <w:r>
        <w:rPr>
          <w:rtl w:val="true"/>
        </w:rPr>
        <w:t>נטל משם סכין ונשאה עמו בדרכו חזרה לבר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שב למקום בשעה </w:t>
      </w:r>
      <w:r>
        <w:rPr/>
        <w:t>3:41</w:t>
      </w:r>
      <w:r>
        <w:rPr>
          <w:rtl w:val="true"/>
        </w:rPr>
        <w:t xml:space="preserve"> </w:t>
      </w:r>
      <w:r>
        <w:rPr>
          <w:rtl w:val="true"/>
        </w:rPr>
        <w:t>לפנות בוקר</w:t>
      </w:r>
      <w:r>
        <w:rPr>
          <w:rtl w:val="true"/>
        </w:rPr>
        <w:t xml:space="preserve">, </w:t>
      </w:r>
      <w:r>
        <w:rPr>
          <w:rtl w:val="true"/>
        </w:rPr>
        <w:t>והחל להתעמת עם המנוח</w:t>
      </w:r>
      <w:r>
        <w:rPr>
          <w:rtl w:val="true"/>
        </w:rPr>
        <w:t xml:space="preserve">. </w:t>
      </w:r>
      <w:r>
        <w:rPr>
          <w:rtl w:val="true"/>
        </w:rPr>
        <w:t>בעל המקום הוציא את השניים מהבר והם נעמדו בסמוך לדלת הכניסה</w:t>
      </w:r>
      <w:r>
        <w:rPr>
          <w:rtl w:val="true"/>
        </w:rPr>
        <w:t xml:space="preserve">, </w:t>
      </w:r>
      <w:r>
        <w:rPr>
          <w:rtl w:val="true"/>
        </w:rPr>
        <w:t>שם המשיכו לריב</w:t>
      </w:r>
      <w:r>
        <w:rPr>
          <w:rtl w:val="true"/>
        </w:rPr>
        <w:t xml:space="preserve">, </w:t>
      </w:r>
      <w:r>
        <w:rPr>
          <w:rtl w:val="true"/>
        </w:rPr>
        <w:t>לצעוק ולדחוף זה את זה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 זה המערער שלף את הסכין ודקר את המנוח שתי דקירות עמוקות בבית החזה משמאל</w:t>
      </w:r>
      <w:r>
        <w:rPr>
          <w:rtl w:val="true"/>
        </w:rPr>
        <w:t xml:space="preserve">, </w:t>
      </w:r>
      <w:r>
        <w:rPr>
          <w:rtl w:val="true"/>
        </w:rPr>
        <w:t>אשר חדרו לליבו</w:t>
      </w:r>
      <w:r>
        <w:rPr>
          <w:rtl w:val="true"/>
        </w:rPr>
        <w:t xml:space="preserve">, </w:t>
      </w:r>
      <w:r>
        <w:rPr>
          <w:rtl w:val="true"/>
        </w:rPr>
        <w:t>ודקירות נוספות בבטנו</w:t>
      </w:r>
      <w:r>
        <w:rPr>
          <w:rtl w:val="true"/>
        </w:rPr>
        <w:t xml:space="preserve">, </w:t>
      </w:r>
      <w:r>
        <w:rPr>
          <w:rtl w:val="true"/>
        </w:rPr>
        <w:t>בגבו</w:t>
      </w:r>
      <w:r>
        <w:rPr>
          <w:rtl w:val="true"/>
        </w:rPr>
        <w:t xml:space="preserve">, </w:t>
      </w:r>
      <w:r>
        <w:rPr>
          <w:rtl w:val="true"/>
        </w:rPr>
        <w:t>במותנו ובראשו</w:t>
      </w:r>
      <w:r>
        <w:rPr>
          <w:rtl w:val="true"/>
        </w:rPr>
        <w:t xml:space="preserve">. </w:t>
      </w:r>
      <w:r>
        <w:rPr>
          <w:rtl w:val="true"/>
        </w:rPr>
        <w:t>המנוח נמלט מהמקום בריצה והתמוטט ברחוב סמוך</w:t>
      </w:r>
      <w:r>
        <w:rPr>
          <w:rtl w:val="true"/>
        </w:rPr>
        <w:t xml:space="preserve">. </w:t>
      </w:r>
      <w:r>
        <w:rPr>
          <w:rtl w:val="true"/>
        </w:rPr>
        <w:t>מתנדבי מד</w:t>
      </w:r>
      <w:r>
        <w:rPr>
          <w:rtl w:val="true"/>
        </w:rPr>
        <w:t>"</w:t>
      </w:r>
      <w:r>
        <w:rPr>
          <w:rtl w:val="true"/>
        </w:rPr>
        <w:t>א שהוזעקו למקום מצאו אותו מוטל על הקרקע ללא רוח חיים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נכנס חזרה אל הבר כשהסכין בידו</w:t>
      </w:r>
      <w:r>
        <w:rPr>
          <w:rtl w:val="true"/>
        </w:rPr>
        <w:t xml:space="preserve">, </w:t>
      </w:r>
      <w:r>
        <w:rPr>
          <w:rtl w:val="true"/>
        </w:rPr>
        <w:t>ושב ויצא משם לאחר שאדם ששהה שם שכנע אותו לעזוב את המקום וליווה אותו אל ביתו</w:t>
      </w:r>
      <w:r>
        <w:rPr>
          <w:rtl w:val="true"/>
        </w:rPr>
        <w:t xml:space="preserve">. </w:t>
      </w:r>
      <w:r>
        <w:rPr>
          <w:rtl w:val="true"/>
        </w:rPr>
        <w:t>בהגיעו לביתו</w:t>
      </w:r>
      <w:r>
        <w:rPr>
          <w:rtl w:val="true"/>
        </w:rPr>
        <w:t xml:space="preserve">, </w:t>
      </w:r>
      <w:r>
        <w:rPr>
          <w:rtl w:val="true"/>
        </w:rPr>
        <w:t>שטף המערער את הסכין</w:t>
      </w:r>
      <w:r>
        <w:rPr>
          <w:rtl w:val="true"/>
        </w:rPr>
        <w:t xml:space="preserve">, </w:t>
      </w:r>
      <w:r>
        <w:rPr>
          <w:rtl w:val="true"/>
        </w:rPr>
        <w:t>נטל סכין נוספת</w:t>
      </w:r>
      <w:r>
        <w:rPr>
          <w:rtl w:val="true"/>
        </w:rPr>
        <w:t xml:space="preserve">, </w:t>
      </w:r>
      <w:r>
        <w:rPr>
          <w:rtl w:val="true"/>
        </w:rPr>
        <w:t xml:space="preserve">התקשר לאונקרי ואמר לו </w:t>
      </w:r>
      <w:r>
        <w:rPr>
          <w:rtl w:val="true"/>
        </w:rPr>
        <w:t>"</w:t>
      </w:r>
      <w:r>
        <w:rPr>
          <w:rtl w:val="true"/>
        </w:rPr>
        <w:t>אני אדקור אותך כמו שדקרתי את חבר שלך</w:t>
      </w:r>
      <w:r>
        <w:rPr>
          <w:rtl w:val="true"/>
        </w:rPr>
        <w:t>".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בגין המעשים המתוארים יוחסו למערער עבירת רצח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ascii="FrankRuehl" w:hAnsi="FrankRuehl"/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כנוסח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זה </w:t>
      </w:r>
      <w:r>
        <w:rPr>
          <w:rtl w:val="true"/>
        </w:rPr>
        <w:t>(</w:t>
      </w:r>
      <w:r>
        <w:rPr>
          <w:rtl w:val="true"/>
        </w:rPr>
        <w:t>חוק</w:t>
      </w:r>
      <w:r>
        <w:rPr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ascii="Times New Roman" w:hAnsi="Times New Roman" w:cs="Times New Roman"/>
          <w:rtl w:val="true"/>
        </w:rPr>
        <w:t>–</w:t>
      </w:r>
      <w:r>
        <w:rPr/>
        <w:t>2019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137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וכן עבירה של שיבוש מהלכי משפט ועבירה של איומים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4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5"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.</w:t>
      </w:r>
    </w:p>
    <w:p>
      <w:pPr>
        <w:pStyle w:val="Heading1"/>
        <w:spacing w:before="360" w:after="360"/>
        <w:ind w:hanging="0" w:start="0" w:end="0"/>
        <w:jc w:val="start"/>
        <w:rPr/>
      </w:pPr>
      <w:r>
        <w:rPr>
          <w:rtl w:val="true"/>
        </w:rPr>
        <w:t>ההליך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 טען בתשובתו לכתב האישום כי הוא אינו זוכר את מרבית אירועי אותו לילה</w:t>
      </w:r>
      <w:r>
        <w:rPr>
          <w:rtl w:val="true"/>
        </w:rPr>
        <w:t xml:space="preserve">, </w:t>
      </w:r>
      <w:r>
        <w:rPr>
          <w:rtl w:val="true"/>
        </w:rPr>
        <w:t xml:space="preserve">שכן במהלכו שתה משקאות חריפים בכמות גדולה </w:t>
      </w:r>
      <w:r>
        <w:rPr>
          <w:rtl w:val="true"/>
        </w:rPr>
        <w:t>(</w:t>
      </w:r>
      <w:r>
        <w:rPr>
          <w:rtl w:val="true"/>
        </w:rPr>
        <w:t>כבקבוק ומחציתו יין אדום וכבקבוק ומחציתו וודקה</w:t>
      </w:r>
      <w:r>
        <w:rPr>
          <w:rtl w:val="true"/>
        </w:rPr>
        <w:t xml:space="preserve">), </w:t>
      </w:r>
      <w:r>
        <w:rPr>
          <w:rtl w:val="true"/>
        </w:rPr>
        <w:t>באופן שאינו מורגל בו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ולנוכח העובדה שהיה נתון תחת השפעת האלכוהול</w:t>
      </w:r>
      <w:r>
        <w:rPr>
          <w:rtl w:val="true"/>
        </w:rPr>
        <w:t xml:space="preserve">, </w:t>
      </w:r>
      <w:r>
        <w:rPr>
          <w:rtl w:val="true"/>
        </w:rPr>
        <w:t>לא גיבש את המחשבה הפלילית הנדרשת לעבירת הרצח</w:t>
      </w:r>
      <w:r>
        <w:rPr>
          <w:rtl w:val="true"/>
        </w:rPr>
        <w:t xml:space="preserve">, </w:t>
      </w:r>
      <w:r>
        <w:rPr>
          <w:rtl w:val="true"/>
        </w:rPr>
        <w:t>וכי מחומר הראיות עלה כי היה זה אונקרי שדקר את המנוח את הדקירות הקטלניות שהביאו למותו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בסיכומיו המערער הודה כי דקר את המנוח מספר פעמים</w:t>
      </w:r>
      <w:r>
        <w:rPr>
          <w:rtl w:val="true"/>
        </w:rPr>
        <w:t xml:space="preserve">, </w:t>
      </w:r>
      <w:r>
        <w:rPr>
          <w:rtl w:val="true"/>
        </w:rPr>
        <w:t>אך טען שתי טענות להגנתו</w:t>
      </w:r>
      <w:r>
        <w:rPr>
          <w:rtl w:val="true"/>
        </w:rPr>
        <w:t xml:space="preserve">: </w:t>
      </w:r>
      <w:r>
        <w:rPr>
          <w:rtl w:val="true"/>
        </w:rPr>
        <w:t xml:space="preserve">האחת </w:t>
      </w:r>
      <w:r>
        <w:rPr>
          <w:rtl w:val="true"/>
        </w:rPr>
        <w:t>–</w:t>
      </w:r>
      <w:r>
        <w:rPr>
          <w:rtl w:val="true"/>
        </w:rPr>
        <w:t xml:space="preserve"> כי את הדקירות הקטלניות בלבו ובראשו של המנוח ביצע אונקרי</w:t>
      </w:r>
      <w:r>
        <w:rPr>
          <w:rtl w:val="true"/>
        </w:rPr>
        <w:t xml:space="preserve">, </w:t>
      </w:r>
      <w:r>
        <w:rPr>
          <w:rtl w:val="true"/>
        </w:rPr>
        <w:t>ולא הוא עצמו</w:t>
      </w:r>
      <w:r>
        <w:rPr>
          <w:rtl w:val="true"/>
        </w:rPr>
        <w:t xml:space="preserve">; </w:t>
      </w:r>
      <w:r>
        <w:rPr>
          <w:rtl w:val="true"/>
        </w:rPr>
        <w:t>והשניה</w:t>
      </w:r>
      <w:r>
        <w:rPr>
          <w:rtl w:val="true"/>
        </w:rPr>
        <w:t xml:space="preserve"> –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 xml:space="preserve">בחינת ההתרחשויות שהובילו לדקירות והתנהגותו מיד לאחריהן מעלה ספק באשר להתקיימותו של </w:t>
      </w:r>
      <w:r>
        <w:rPr>
          <w:rtl w:val="true"/>
        </w:rPr>
        <w:t>היסוד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 </w:t>
      </w:r>
      <w:r>
        <w:rPr>
          <w:rtl w:val="true"/>
        </w:rPr>
        <w:t>הדרוש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את טענתו הראשונה סמך המערער על שתי קביעות בחוות דעתו הרפואית של פרופ</w:t>
      </w:r>
      <w:r>
        <w:rPr>
          <w:rtl w:val="true"/>
        </w:rPr>
        <w:t xml:space="preserve">' </w:t>
      </w:r>
      <w:r>
        <w:rPr>
          <w:rtl w:val="true"/>
        </w:rPr>
        <w:t>היס</w:t>
      </w:r>
      <w:r>
        <w:rPr>
          <w:rtl w:val="true"/>
        </w:rPr>
        <w:t xml:space="preserve">, </w:t>
      </w:r>
      <w:r>
        <w:rPr>
          <w:rtl w:val="true"/>
        </w:rPr>
        <w:t xml:space="preserve">המומחה מטעם ההגנה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):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כי הממצאים הרפואיים שתוארו בחוות דעתה של ד</w:t>
      </w:r>
      <w:r>
        <w:rPr>
          <w:rtl w:val="true"/>
        </w:rPr>
        <w:t>"</w:t>
      </w:r>
      <w:r>
        <w:rPr>
          <w:rtl w:val="true"/>
        </w:rPr>
        <w:t xml:space="preserve">ר פורמן מטעם התביעה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), </w:t>
      </w:r>
      <w:r>
        <w:rPr>
          <w:rtl w:val="true"/>
        </w:rPr>
        <w:t>ובכלל זה היעדר תיעוד לדימום בתעלות הדקירה בליבו של המנוח</w:t>
      </w:r>
      <w:r>
        <w:rPr>
          <w:rtl w:val="true"/>
        </w:rPr>
        <w:t xml:space="preserve">, </w:t>
      </w:r>
      <w:r>
        <w:rPr>
          <w:rtl w:val="true"/>
        </w:rPr>
        <w:t>מתיישבים עם המסקנה שהמנוח נדקר בליבו לאחר שהתמוטט</w:t>
      </w:r>
      <w:r>
        <w:rPr>
          <w:rtl w:val="true"/>
        </w:rPr>
        <w:t xml:space="preserve">, </w:t>
      </w:r>
      <w:r>
        <w:rPr>
          <w:rtl w:val="true"/>
        </w:rPr>
        <w:t>כאשר הפסיק לנוע</w:t>
      </w:r>
      <w:r>
        <w:rPr>
          <w:rtl w:val="true"/>
        </w:rPr>
        <w:t xml:space="preserve">, </w:t>
      </w:r>
      <w:r>
        <w:rPr>
          <w:rtl w:val="true"/>
        </w:rPr>
        <w:t>ולא בכניסה לבר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כי סביר להניח שהדקירה בראשו של המנוח לא נעשתה באמצעות הסכין בה דקר אותו המערער</w:t>
      </w:r>
      <w:r>
        <w:rPr>
          <w:rtl w:val="true"/>
        </w:rPr>
        <w:t xml:space="preserve">, </w:t>
      </w:r>
      <w:r>
        <w:rPr>
          <w:rtl w:val="true"/>
        </w:rPr>
        <w:t>שכן תעלת פצע הדקירה ארוכה מאורך הסכין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 הפנה המערער לבגדיו המוכתמים בדם של אונקרי</w:t>
      </w:r>
      <w:r>
        <w:rPr>
          <w:rtl w:val="true"/>
        </w:rPr>
        <w:t xml:space="preserve">, </w:t>
      </w:r>
      <w:r>
        <w:rPr>
          <w:rtl w:val="true"/>
        </w:rPr>
        <w:t xml:space="preserve">ולנוכחותו ליד המנוח לאחר מותו </w:t>
      </w:r>
      <w:r>
        <w:rPr>
          <w:rtl w:val="true"/>
        </w:rPr>
        <w:t>–</w:t>
      </w:r>
      <w:r>
        <w:rPr>
          <w:rtl w:val="true"/>
        </w:rPr>
        <w:t xml:space="preserve"> לשיטת המערער </w:t>
      </w:r>
      <w:r>
        <w:rPr>
          <w:rtl w:val="true"/>
        </w:rPr>
        <w:t>–</w:t>
      </w:r>
      <w:r>
        <w:rPr>
          <w:rtl w:val="true"/>
        </w:rPr>
        <w:t xml:space="preserve"> מלמדים על כך שלאונקרי הייתה הזדמנות לדקור את המנוח מבלי שאיש היה עד לכך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בהכרעת דינו דחה בית המשפט את שתי טענותיו של המערער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לטענה הראשונה</w:t>
      </w:r>
      <w:r>
        <w:rPr>
          <w:rtl w:val="true"/>
        </w:rPr>
        <w:t xml:space="preserve">, </w:t>
      </w:r>
      <w:r>
        <w:rPr>
          <w:rtl w:val="true"/>
        </w:rPr>
        <w:t>נקבע כי אונקרי לא דקר את המנוח</w:t>
      </w:r>
      <w:r>
        <w:rPr>
          <w:rtl w:val="true"/>
        </w:rPr>
        <w:t xml:space="preserve">, </w:t>
      </w:r>
      <w:r>
        <w:rPr>
          <w:rtl w:val="true"/>
        </w:rPr>
        <w:t>וכי גרסה זו של המערער אינה מתיישבת עם חומר הראיות</w:t>
      </w:r>
      <w:r>
        <w:rPr>
          <w:rtl w:val="true"/>
        </w:rPr>
        <w:t xml:space="preserve">, </w:t>
      </w:r>
      <w:r>
        <w:rPr>
          <w:rtl w:val="true"/>
        </w:rPr>
        <w:t>ובכלל זה סרטוני מצלמות האבטחה המתעדים את ההתרחשות בכניסה לבר</w:t>
      </w:r>
      <w:r>
        <w:rPr>
          <w:rtl w:val="true"/>
        </w:rPr>
        <w:t xml:space="preserve">, </w:t>
      </w:r>
      <w:r>
        <w:rPr>
          <w:rtl w:val="true"/>
        </w:rPr>
        <w:t>בגרם המדרגות בו ירד המנוח לאחר הדקירות</w:t>
      </w:r>
      <w:r>
        <w:rPr>
          <w:rtl w:val="true"/>
        </w:rPr>
        <w:t xml:space="preserve">, </w:t>
      </w:r>
      <w:r>
        <w:rPr>
          <w:rtl w:val="true"/>
        </w:rPr>
        <w:t>ובכביש בו התמוטט</w:t>
      </w:r>
      <w:r>
        <w:rPr>
          <w:rtl w:val="true"/>
        </w:rPr>
        <w:t xml:space="preserve">; </w:t>
      </w:r>
      <w:r>
        <w:rPr>
          <w:rtl w:val="true"/>
        </w:rPr>
        <w:t>הקלטה של שיחת טלפון בין אונקרי לשותפו של המערער לדירה</w:t>
      </w:r>
      <w:r>
        <w:rPr>
          <w:rtl w:val="true"/>
        </w:rPr>
        <w:t xml:space="preserve">, </w:t>
      </w:r>
      <w:r>
        <w:rPr>
          <w:rtl w:val="true"/>
        </w:rPr>
        <w:t>בה הוא מדווח לו בזמן אמת על הקטטה</w:t>
      </w:r>
      <w:r>
        <w:rPr>
          <w:rtl w:val="true"/>
        </w:rPr>
        <w:t xml:space="preserve">, </w:t>
      </w:r>
      <w:r>
        <w:rPr>
          <w:rtl w:val="true"/>
        </w:rPr>
        <w:t>כאשר ברקע נשמעים חילופי הדברים בין המערער למנוח</w:t>
      </w:r>
      <w:r>
        <w:rPr>
          <w:rtl w:val="true"/>
        </w:rPr>
        <w:t xml:space="preserve">; </w:t>
      </w:r>
      <w:r>
        <w:rPr>
          <w:rtl w:val="true"/>
        </w:rPr>
        <w:t>וכן גרסת שלושה עדי ראיה לקטטה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לכתמי הדם על בגדיו של אונקרי</w:t>
      </w:r>
      <w:r>
        <w:rPr>
          <w:rtl w:val="true"/>
        </w:rPr>
        <w:t xml:space="preserve">, </w:t>
      </w:r>
      <w:r>
        <w:rPr>
          <w:rtl w:val="true"/>
        </w:rPr>
        <w:t>נקבע כי לו היה הלה מעורב בדקירות</w:t>
      </w:r>
      <w:r>
        <w:rPr>
          <w:rtl w:val="true"/>
        </w:rPr>
        <w:t xml:space="preserve">, </w:t>
      </w:r>
      <w:r>
        <w:rPr>
          <w:rtl w:val="true"/>
        </w:rPr>
        <w:t>סביר להניח שהיה מנסה להסירם</w:t>
      </w:r>
      <w:r>
        <w:rPr>
          <w:rtl w:val="true"/>
        </w:rPr>
        <w:t xml:space="preserve">, </w:t>
      </w:r>
      <w:r>
        <w:rPr>
          <w:rtl w:val="true"/>
        </w:rPr>
        <w:t>ויתכן כי מקור הכתמים בדם שניתז על בגדיו בשעה שעמד סמוך למקום הקטטה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נקבע כי עדות המערער </w:t>
      </w:r>
      <w:r>
        <w:rPr>
          <w:rtl w:val="true"/>
        </w:rPr>
        <w:t>"</w:t>
      </w:r>
      <w:r>
        <w:rPr>
          <w:rtl w:val="true"/>
        </w:rPr>
        <w:t>הותירה רושם מר ושלילי</w:t>
      </w:r>
      <w:r>
        <w:rPr>
          <w:rtl w:val="true"/>
        </w:rPr>
        <w:t xml:space="preserve">" </w:t>
      </w:r>
      <w:r>
        <w:rPr>
          <w:rtl w:val="true"/>
        </w:rPr>
        <w:t>וכי גרסתו אינה אמינה</w:t>
      </w:r>
      <w:r>
        <w:rPr>
          <w:rtl w:val="true"/>
        </w:rPr>
        <w:t xml:space="preserve">. </w:t>
      </w:r>
      <w:r>
        <w:rPr>
          <w:rtl w:val="true"/>
        </w:rPr>
        <w:t xml:space="preserve">בהקשר לכך הודגש כי </w:t>
      </w:r>
      <w:r>
        <w:rPr>
          <w:rtl w:val="true"/>
        </w:rPr>
        <w:t>בחקירותיו</w:t>
      </w:r>
      <w:r>
        <w:rPr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 </w:t>
      </w:r>
      <w:r>
        <w:rPr>
          <w:rtl w:val="true"/>
        </w:rPr>
        <w:t>ובעדותו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טען המערער כי הוא אינו</w:t>
      </w:r>
      <w:r>
        <w:rPr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ו</w:t>
      </w:r>
      <w:r>
        <w:rPr>
          <w:rtl w:val="true"/>
        </w:rPr>
        <w:t>כר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אירועי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 </w:t>
      </w:r>
      <w:r>
        <w:rPr>
          <w:rtl w:val="true"/>
        </w:rPr>
        <w:t>אך הוא משוכנע בכך ש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דקר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רק בסיכומים נשמעה מפי סנגורו גרסה חדשה</w:t>
      </w:r>
      <w:r>
        <w:rPr>
          <w:rtl w:val="true"/>
        </w:rPr>
        <w:t xml:space="preserve">, </w:t>
      </w:r>
      <w:r>
        <w:rPr>
          <w:rtl w:val="true"/>
        </w:rPr>
        <w:t>לפיה הוא אכן דקר את המנוח אך לא את הדקירות שהביאו למותו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לממצאים הרפואיים</w:t>
      </w:r>
      <w:r>
        <w:rPr>
          <w:rtl w:val="true"/>
        </w:rPr>
        <w:t xml:space="preserve">, </w:t>
      </w:r>
      <w:r>
        <w:rPr>
          <w:rtl w:val="true"/>
        </w:rPr>
        <w:t>בית המשפט דחה את חוות דעתו של פרופ</w:t>
      </w:r>
      <w:r>
        <w:rPr>
          <w:rtl w:val="true"/>
        </w:rPr>
        <w:t xml:space="preserve">' </w:t>
      </w:r>
      <w:r>
        <w:rPr>
          <w:rtl w:val="true"/>
        </w:rPr>
        <w:t>היס</w:t>
      </w:r>
      <w:r>
        <w:rPr>
          <w:rtl w:val="true"/>
        </w:rPr>
        <w:t xml:space="preserve">, </w:t>
      </w:r>
      <w:r>
        <w:rPr>
          <w:rtl w:val="true"/>
        </w:rPr>
        <w:t xml:space="preserve">בהיותה </w:t>
      </w:r>
      <w:r>
        <w:rPr>
          <w:rtl w:val="true"/>
        </w:rPr>
        <w:t>"</w:t>
      </w:r>
      <w:r>
        <w:rPr>
          <w:rtl w:val="true"/>
        </w:rPr>
        <w:t>חסרה ולאקונית מבחינה מהותית</w:t>
      </w:r>
      <w:r>
        <w:rPr>
          <w:rtl w:val="true"/>
        </w:rPr>
        <w:t xml:space="preserve">", </w:t>
      </w:r>
      <w:r>
        <w:rPr>
          <w:rtl w:val="true"/>
        </w:rPr>
        <w:t>מבוססת על הנחות שהתבררו בדיעבד כשגויות</w:t>
      </w:r>
      <w:r>
        <w:rPr>
          <w:rtl w:val="true"/>
        </w:rPr>
        <w:t xml:space="preserve">, </w:t>
      </w:r>
      <w:r>
        <w:rPr>
          <w:rtl w:val="true"/>
        </w:rPr>
        <w:t>ואינה מתיישבת עם כל הממצאים הרפואיים</w:t>
      </w:r>
      <w:r>
        <w:rPr>
          <w:rtl w:val="true"/>
        </w:rPr>
        <w:t xml:space="preserve">. </w:t>
      </w:r>
      <w:r>
        <w:rPr>
          <w:rtl w:val="true"/>
        </w:rPr>
        <w:t>תחת זאת</w:t>
      </w:r>
      <w:r>
        <w:rPr>
          <w:rtl w:val="true"/>
        </w:rPr>
        <w:t xml:space="preserve">, </w:t>
      </w:r>
      <w:r>
        <w:rPr>
          <w:rtl w:val="true"/>
        </w:rPr>
        <w:t xml:space="preserve">העדיף בית המשפט את חוות הדעת </w:t>
      </w:r>
      <w:r>
        <w:rPr>
          <w:rtl w:val="true"/>
        </w:rPr>
        <w:t>(</w:t>
      </w:r>
      <w:r>
        <w:rPr>
          <w:rtl w:val="true"/>
        </w:rPr>
        <w:t xml:space="preserve">הראשונה והמשלימה </w:t>
      </w:r>
      <w:r>
        <w:rPr>
          <w:rtl w:val="true"/>
        </w:rPr>
        <w:t>–</w:t>
      </w:r>
      <w:r>
        <w:rPr>
          <w:rtl w:val="true"/>
        </w:rPr>
        <w:t xml:space="preserve"> ת</w:t>
      </w:r>
      <w:r>
        <w:rPr>
          <w:rtl w:val="true"/>
        </w:rPr>
        <w:t>/</w:t>
      </w:r>
      <w:r>
        <w:rPr/>
        <w:t>46</w:t>
      </w:r>
      <w:r>
        <w:rPr>
          <w:rtl w:val="true"/>
        </w:rPr>
        <w:t xml:space="preserve">) </w:t>
      </w:r>
      <w:r>
        <w:rPr>
          <w:rtl w:val="true"/>
        </w:rPr>
        <w:t>ועדותה ה</w:t>
      </w:r>
      <w:r>
        <w:rPr>
          <w:rtl w:val="true"/>
        </w:rPr>
        <w:t>"</w:t>
      </w:r>
      <w:r>
        <w:rPr>
          <w:rtl w:val="true"/>
        </w:rPr>
        <w:t>מקצועית</w:t>
      </w:r>
      <w:r>
        <w:rPr>
          <w:rtl w:val="true"/>
        </w:rPr>
        <w:t xml:space="preserve">, </w:t>
      </w:r>
      <w:r>
        <w:rPr>
          <w:rtl w:val="true"/>
        </w:rPr>
        <w:t>מהימנה ורצינית</w:t>
      </w:r>
      <w:r>
        <w:rPr>
          <w:rtl w:val="true"/>
        </w:rPr>
        <w:t xml:space="preserve">" </w:t>
      </w:r>
      <w:r>
        <w:rPr>
          <w:rtl w:val="true"/>
        </w:rPr>
        <w:t>של ד</w:t>
      </w:r>
      <w:r>
        <w:rPr>
          <w:rtl w:val="true"/>
        </w:rPr>
        <w:t>"</w:t>
      </w:r>
      <w:r>
        <w:rPr>
          <w:rtl w:val="true"/>
        </w:rPr>
        <w:t>ר פורמן</w:t>
      </w:r>
      <w:r>
        <w:rPr>
          <w:rtl w:val="true"/>
        </w:rPr>
        <w:t xml:space="preserve">, </w:t>
      </w:r>
      <w:r>
        <w:rPr>
          <w:rtl w:val="true"/>
        </w:rPr>
        <w:t>אשר ביצעה בעצמה את הנתיחה שלאחר המוות</w:t>
      </w:r>
      <w:r>
        <w:rPr>
          <w:rtl w:val="true"/>
        </w:rPr>
        <w:t xml:space="preserve">. </w:t>
      </w:r>
      <w:r>
        <w:rPr>
          <w:rtl w:val="true"/>
        </w:rPr>
        <w:t>על סמך ממצאיה של ד</w:t>
      </w:r>
      <w:r>
        <w:rPr>
          <w:rtl w:val="true"/>
        </w:rPr>
        <w:t>"</w:t>
      </w:r>
      <w:r>
        <w:rPr>
          <w:rtl w:val="true"/>
        </w:rPr>
        <w:t>ר פורמן נקבע</w:t>
      </w:r>
      <w:r>
        <w:rPr>
          <w:rtl w:val="true"/>
        </w:rPr>
        <w:t xml:space="preserve">, </w:t>
      </w:r>
      <w:r>
        <w:rPr>
          <w:rtl w:val="true"/>
        </w:rPr>
        <w:t>כי היה דימום בליבו של המנוח</w:t>
      </w:r>
      <w:r>
        <w:rPr>
          <w:rtl w:val="true"/>
        </w:rPr>
        <w:t xml:space="preserve">, </w:t>
      </w:r>
      <w:r>
        <w:rPr>
          <w:rtl w:val="true"/>
        </w:rPr>
        <w:t>ומכל מקום אין לשלול שהלה הוסיף לנוע לאחר הדקירות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בסיס מכלול חומר הראיות נקבע אפוא כי </w:t>
      </w:r>
      <w:r>
        <w:rPr>
          <w:rtl w:val="true"/>
        </w:rPr>
        <w:t>"</w:t>
      </w:r>
      <w:r>
        <w:rPr>
          <w:rtl w:val="true"/>
        </w:rPr>
        <w:t xml:space="preserve">הנאשם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 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 xml:space="preserve">הוא שדקר את המנוח את כל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הדקירות</w:t>
      </w:r>
      <w:r>
        <w:rPr>
          <w:rtl w:val="true"/>
        </w:rPr>
        <w:t xml:space="preserve">, </w:t>
      </w:r>
      <w:r>
        <w:rPr>
          <w:rtl w:val="true"/>
        </w:rPr>
        <w:t>לרבות הדקירות הקטלניות בלב</w:t>
      </w:r>
      <w:r>
        <w:rPr>
          <w:rtl w:val="true"/>
        </w:rPr>
        <w:t xml:space="preserve">" </w:t>
      </w:r>
      <w:r>
        <w:rPr>
          <w:rtl w:val="true"/>
        </w:rPr>
        <w:t xml:space="preserve">וכי </w:t>
      </w:r>
      <w:r>
        <w:rPr>
          <w:rtl w:val="true"/>
        </w:rPr>
        <w:t>"</w:t>
      </w:r>
      <w:r>
        <w:rPr>
          <w:rtl w:val="true"/>
        </w:rPr>
        <w:t>האפשרות היחידה שנותרה היא כי המנוח מת כתוצאה מהדקירות של הנאשם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המחוזי הוסיף ודחה גם את טענתו השניה של המערער</w:t>
      </w:r>
      <w:r>
        <w:rPr>
          <w:rtl w:val="true"/>
        </w:rPr>
        <w:t xml:space="preserve">, </w:t>
      </w:r>
      <w:r>
        <w:rPr>
          <w:rtl w:val="true"/>
        </w:rPr>
        <w:t>וקבע כי התגבש אצלו היסוד הנפשי הנדרש בעבירת הרצח</w:t>
      </w:r>
      <w:r>
        <w:rPr>
          <w:rtl w:val="true"/>
        </w:rPr>
        <w:t xml:space="preserve">. </w:t>
      </w:r>
      <w:r>
        <w:rPr>
          <w:rtl w:val="true"/>
        </w:rPr>
        <w:t>ביחס לכך</w:t>
      </w:r>
      <w:r>
        <w:rPr>
          <w:rtl w:val="true"/>
        </w:rPr>
        <w:t xml:space="preserve">, </w:t>
      </w:r>
      <w:r>
        <w:rPr>
          <w:rtl w:val="true"/>
        </w:rPr>
        <w:t xml:space="preserve">בחן בית המשפט את התקיימות יסודות עבירת הרצח הן לפי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עבירת הרצח בכוונה תחילה</w:t>
      </w:r>
      <w:r>
        <w:rPr>
          <w:rtl w:val="true"/>
        </w:rPr>
        <w:t xml:space="preserve">), </w:t>
      </w:r>
      <w:r>
        <w:rPr>
          <w:rtl w:val="true"/>
        </w:rPr>
        <w:t xml:space="preserve">כנוסחו טרם 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 xml:space="preserve">הן 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כנוסחו לאחר תיקון </w:t>
      </w:r>
      <w:r>
        <w:rPr/>
        <w:t>137</w:t>
      </w:r>
      <w:r>
        <w:rPr>
          <w:rtl w:val="true"/>
        </w:rPr>
        <w:t xml:space="preserve"> (</w:t>
      </w:r>
      <w:r>
        <w:rPr>
          <w:rtl w:val="true"/>
        </w:rPr>
        <w:t>עבירה של רצח בנסיבות מחמירות</w:t>
      </w:r>
      <w:r>
        <w:rPr>
          <w:rtl w:val="true"/>
        </w:rPr>
        <w:t xml:space="preserve">), </w:t>
      </w:r>
      <w:r>
        <w:rPr>
          <w:rtl w:val="true"/>
        </w:rPr>
        <w:t>וקבע כי לפי שתי החלופות יורשע המערער בעבירת רצח שהעונש הקבוע בצידה הוא מאסר עולם חובה</w:t>
      </w:r>
      <w:r>
        <w:rPr>
          <w:rtl w:val="true"/>
        </w:rPr>
        <w:t xml:space="preserve">.  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בקשר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לחלופה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עבירת הרצח בכוונה תחילה</w:t>
      </w:r>
      <w:r>
        <w:rPr>
          <w:rtl w:val="true"/>
        </w:rPr>
        <w:t xml:space="preserve">), </w:t>
      </w:r>
      <w:r>
        <w:rPr>
          <w:rtl w:val="true"/>
        </w:rPr>
        <w:t xml:space="preserve">נקבע כי התקיימו שלושת היסודות להוכחת היסוד הנפשי של 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": </w:t>
      </w:r>
      <w:r>
        <w:rPr>
          <w:rtl w:val="true"/>
        </w:rPr>
        <w:t>המערער החליט להמית את המנוח</w:t>
      </w:r>
      <w:r>
        <w:rPr>
          <w:rtl w:val="true"/>
        </w:rPr>
        <w:t xml:space="preserve">; </w:t>
      </w:r>
      <w:r>
        <w:rPr>
          <w:rtl w:val="true"/>
        </w:rPr>
        <w:t>ללא התגרות מצידו של האחרון</w:t>
      </w:r>
      <w:r>
        <w:rPr>
          <w:rtl w:val="true"/>
        </w:rPr>
        <w:t xml:space="preserve">; </w:t>
      </w:r>
      <w:r>
        <w:rPr>
          <w:rtl w:val="true"/>
        </w:rPr>
        <w:t>וביצע מעשים המהווים הכנה למעשה הרצח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 xml:space="preserve">באשר ליסוד </w:t>
      </w:r>
      <w:r>
        <w:rPr>
          <w:rtl w:val="true"/>
        </w:rPr>
        <w:t>"</w:t>
      </w:r>
      <w:r>
        <w:rPr>
          <w:rtl w:val="true"/>
        </w:rPr>
        <w:t>ההחלטה להמית</w:t>
      </w:r>
      <w:r>
        <w:rPr>
          <w:rtl w:val="true"/>
        </w:rPr>
        <w:t xml:space="preserve">", </w:t>
      </w:r>
      <w:r>
        <w:rPr>
          <w:rtl w:val="true"/>
        </w:rPr>
        <w:t>נקבע כי הראיות הנסיבתיות מלמדות על כוונת הקטילה</w:t>
      </w:r>
      <w:r>
        <w:rPr>
          <w:rtl w:val="true"/>
        </w:rPr>
        <w:t xml:space="preserve">, </w:t>
      </w:r>
      <w:r>
        <w:rPr>
          <w:rtl w:val="true"/>
        </w:rPr>
        <w:t>ובהקשר זה תואר כי לאחר שהתווכח עם המנוח</w:t>
      </w:r>
      <w:r>
        <w:rPr>
          <w:rtl w:val="true"/>
        </w:rPr>
        <w:t xml:space="preserve">, </w:t>
      </w:r>
      <w:r>
        <w:rPr>
          <w:rtl w:val="true"/>
        </w:rPr>
        <w:t>הלך המערער לביתו במרחק של כ</w:t>
      </w:r>
      <w:r>
        <w:rPr>
          <w:rtl w:val="true"/>
        </w:rPr>
        <w:t>-</w:t>
      </w:r>
      <w:r>
        <w:rPr/>
        <w:t>900</w:t>
      </w:r>
      <w:r>
        <w:rPr>
          <w:rtl w:val="true"/>
        </w:rPr>
        <w:t xml:space="preserve"> </w:t>
      </w:r>
      <w:r>
        <w:rPr>
          <w:rtl w:val="true"/>
        </w:rPr>
        <w:t>מטרים מהבר</w:t>
      </w:r>
      <w:r>
        <w:rPr>
          <w:rtl w:val="true"/>
        </w:rPr>
        <w:t xml:space="preserve">, </w:t>
      </w:r>
      <w:r>
        <w:rPr>
          <w:rtl w:val="true"/>
        </w:rPr>
        <w:t>שם העיר את חברו משנתו ושאל אותו היכן נמצאת הסכין</w:t>
      </w:r>
      <w:r>
        <w:rPr>
          <w:rtl w:val="true"/>
        </w:rPr>
        <w:t xml:space="preserve">, </w:t>
      </w:r>
      <w:r>
        <w:rPr>
          <w:rtl w:val="true"/>
        </w:rPr>
        <w:t>ולאחר מכן עלה על כיסא והוציא את הסכין ממקום מחבואה מעל ארון הבגדים</w:t>
      </w:r>
      <w:r>
        <w:rPr>
          <w:rtl w:val="true"/>
        </w:rPr>
        <w:t xml:space="preserve">. </w:t>
      </w:r>
      <w:r>
        <w:rPr>
          <w:rtl w:val="true"/>
        </w:rPr>
        <w:t>מצויד באותה סכין עשה המערער את כל הדרך חזרה עד לבר כדי לדקור את המנוח</w:t>
      </w:r>
      <w:r>
        <w:rPr>
          <w:rtl w:val="true"/>
        </w:rPr>
        <w:t xml:space="preserve">. </w:t>
      </w:r>
      <w:r>
        <w:rPr>
          <w:rtl w:val="true"/>
        </w:rPr>
        <w:t>ברור אפוא</w:t>
      </w:r>
      <w:r>
        <w:rPr>
          <w:rtl w:val="true"/>
        </w:rPr>
        <w:t xml:space="preserve">, </w:t>
      </w:r>
      <w:r>
        <w:rPr>
          <w:rtl w:val="true"/>
        </w:rPr>
        <w:t>כך נקבע</w:t>
      </w:r>
      <w:r>
        <w:rPr>
          <w:rtl w:val="true"/>
        </w:rPr>
        <w:t xml:space="preserve">, </w:t>
      </w:r>
      <w:r>
        <w:rPr>
          <w:rtl w:val="true"/>
        </w:rPr>
        <w:t>כי המערער הצטייד בסכין על מנת להמית את המנוח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ציין כי מתיעוד מצלמות האבטחה מתברר כי הקטטה האלימה בין המערער למנוח פרצה </w:t>
      </w:r>
      <w:r>
        <w:rPr>
          <w:rtl w:val="true"/>
        </w:rPr>
        <w:t>פחות</w:t>
      </w:r>
      <w:r>
        <w:rPr>
          <w:rtl w:val="true"/>
        </w:rPr>
        <w:t xml:space="preserve"> </w:t>
      </w:r>
      <w:r>
        <w:rPr>
          <w:rtl w:val="true"/>
        </w:rPr>
        <w:t>מדקה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ששב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לבר</w:t>
      </w:r>
      <w:r>
        <w:rPr>
          <w:rtl w:val="true"/>
        </w:rPr>
        <w:t xml:space="preserve">, </w:t>
      </w:r>
      <w:r>
        <w:rPr>
          <w:rtl w:val="true"/>
        </w:rPr>
        <w:t>וגם עובדה זו תומכת בכך שמטרת ההצטיידות בסכין הייתה ללא ספק דקירת המנוח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לו ביקש המערער רק לפצוע את המנוח ולא לקטול אותו</w:t>
      </w:r>
      <w:r>
        <w:rPr>
          <w:rtl w:val="true"/>
        </w:rPr>
        <w:t xml:space="preserve">, </w:t>
      </w:r>
      <w:r>
        <w:rPr>
          <w:rtl w:val="true"/>
        </w:rPr>
        <w:t xml:space="preserve">יכול היה לקחת חפץ חד </w:t>
      </w:r>
      <w:r>
        <w:rPr>
          <w:rtl w:val="true"/>
        </w:rPr>
        <w:t>(</w:t>
      </w:r>
      <w:r>
        <w:rPr>
          <w:rtl w:val="true"/>
        </w:rPr>
        <w:t>כגון שבר זכוכית</w:t>
      </w:r>
      <w:r>
        <w:rPr>
          <w:rtl w:val="true"/>
        </w:rPr>
        <w:t xml:space="preserve">) </w:t>
      </w:r>
      <w:r>
        <w:rPr>
          <w:rtl w:val="true"/>
        </w:rPr>
        <w:t>ולפגוע במנוח באמצעותו</w:t>
      </w:r>
      <w:r>
        <w:rPr>
          <w:rtl w:val="true"/>
        </w:rPr>
        <w:t xml:space="preserve">; </w:t>
      </w:r>
      <w:r>
        <w:rPr>
          <w:rtl w:val="true"/>
        </w:rPr>
        <w:t>אך כל הפעולות שביצע לצורך ההצטיידות בסכין</w:t>
      </w:r>
      <w:r>
        <w:rPr>
          <w:rtl w:val="true"/>
        </w:rPr>
        <w:t xml:space="preserve">, </w:t>
      </w:r>
      <w:r>
        <w:rPr>
          <w:rtl w:val="true"/>
        </w:rPr>
        <w:t>באישון לילה</w:t>
      </w:r>
      <w:r>
        <w:rPr>
          <w:rtl w:val="true"/>
        </w:rPr>
        <w:t xml:space="preserve">, </w:t>
      </w:r>
      <w:r>
        <w:rPr>
          <w:rtl w:val="true"/>
        </w:rPr>
        <w:t>מלמדות כי גמלה בליבו ההחלטה לקטול את המנוח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הוסיף</w:t>
      </w:r>
      <w:r>
        <w:rPr>
          <w:rtl w:val="true"/>
        </w:rPr>
        <w:t xml:space="preserve">, </w:t>
      </w:r>
      <w:r>
        <w:rPr>
          <w:rtl w:val="true"/>
        </w:rPr>
        <w:t xml:space="preserve">כי התנהגות המערער במהלך הקטטה </w:t>
      </w:r>
      <w:r>
        <w:rPr>
          <w:rtl w:val="true"/>
        </w:rPr>
        <w:t>–</w:t>
      </w:r>
      <w:r>
        <w:rPr>
          <w:rtl w:val="true"/>
        </w:rPr>
        <w:t xml:space="preserve"> דקירת המנוח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דקירות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מתוכן באזורים חיוניים בגופו ושתיים מתוכן קטלניות </w:t>
      </w:r>
      <w:r>
        <w:rPr>
          <w:rtl w:val="true"/>
        </w:rPr>
        <w:t>–</w:t>
      </w:r>
      <w:r>
        <w:rPr>
          <w:rtl w:val="true"/>
        </w:rPr>
        <w:t xml:space="preserve"> מוכיחה אף היא את כוונתו להמית את המנוח</w:t>
      </w:r>
      <w:r>
        <w:rPr>
          <w:rtl w:val="true"/>
        </w:rPr>
        <w:t xml:space="preserve">; </w:t>
      </w:r>
      <w:r>
        <w:rPr>
          <w:rtl w:val="true"/>
        </w:rPr>
        <w:t>והתנהגותו לאחר האירוע</w:t>
      </w:r>
      <w:r>
        <w:rPr>
          <w:rtl w:val="true"/>
        </w:rPr>
        <w:t xml:space="preserve">, </w:t>
      </w:r>
      <w:r>
        <w:rPr>
          <w:rtl w:val="true"/>
        </w:rPr>
        <w:t>בכלל זה ניסיונו להעלים ראיות</w:t>
      </w:r>
      <w:r>
        <w:rPr>
          <w:rtl w:val="true"/>
        </w:rPr>
        <w:t xml:space="preserve">, </w:t>
      </w:r>
      <w:r>
        <w:rPr>
          <w:rtl w:val="true"/>
        </w:rPr>
        <w:t>מעידה שהיה מודע לחומרת מעשהו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 הודגש</w:t>
      </w:r>
      <w:r>
        <w:rPr>
          <w:rtl w:val="true"/>
        </w:rPr>
        <w:t xml:space="preserve">, </w:t>
      </w:r>
      <w:r>
        <w:rPr>
          <w:rtl w:val="true"/>
        </w:rPr>
        <w:t>כי מעדות שותפו של המערער לדירה עלה כי מיד לאחר שהמערער העיר אותו משנתו בחיפושיו אחר הסכין</w:t>
      </w:r>
      <w:r>
        <w:rPr>
          <w:rtl w:val="true"/>
        </w:rPr>
        <w:t xml:space="preserve">, </w:t>
      </w:r>
      <w:r>
        <w:rPr>
          <w:rtl w:val="true"/>
        </w:rPr>
        <w:t>ולאחר שיצא מהדירה בדרכו חזרה לבר</w:t>
      </w:r>
      <w:r>
        <w:rPr>
          <w:rtl w:val="true"/>
        </w:rPr>
        <w:t xml:space="preserve">, </w:t>
      </w:r>
      <w:r>
        <w:rPr>
          <w:rtl w:val="true"/>
        </w:rPr>
        <w:t xml:space="preserve">הבין </w:t>
      </w:r>
      <w:r>
        <w:rPr>
          <w:rtl w:val="true"/>
        </w:rPr>
        <w:t>"</w:t>
      </w:r>
      <w:r>
        <w:rPr>
          <w:rtl w:val="true"/>
        </w:rPr>
        <w:t>שכוונותיו אינן טובות</w:t>
      </w:r>
      <w:r>
        <w:rPr>
          <w:rtl w:val="true"/>
        </w:rPr>
        <w:t xml:space="preserve">" </w:t>
      </w:r>
      <w:r>
        <w:rPr>
          <w:rtl w:val="true"/>
        </w:rPr>
        <w:t>ולכן התקשר לאונקרי ואמר לו שהמערער לקח עמו סכין ושיזהר</w:t>
      </w:r>
      <w:r>
        <w:rPr>
          <w:rtl w:val="true"/>
        </w:rPr>
        <w:t xml:space="preserve">, </w:t>
      </w:r>
      <w:r>
        <w:rPr>
          <w:rtl w:val="true"/>
        </w:rPr>
        <w:t xml:space="preserve">והוסיף </w:t>
      </w:r>
      <w:r>
        <w:rPr>
          <w:rtl w:val="true"/>
        </w:rPr>
        <w:t>"</w:t>
      </w:r>
      <w:r>
        <w:rPr>
          <w:rtl w:val="true"/>
        </w:rPr>
        <w:t>תתפוס אותו שלא יריב עם אנשים</w:t>
      </w:r>
      <w:r>
        <w:rPr>
          <w:rtl w:val="true"/>
        </w:rPr>
        <w:t>".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התרשם כי מתוכן השיחה המוקלטת עולה שבזמן אמת חששו השותף לדירה ואונקרי מהסכנה הנשקפת מהמערער</w:t>
      </w:r>
      <w:r>
        <w:rPr>
          <w:rtl w:val="true"/>
        </w:rPr>
        <w:t xml:space="preserve">, </w:t>
      </w:r>
      <w:r>
        <w:rPr>
          <w:rtl w:val="true"/>
        </w:rPr>
        <w:t>לאור התנהגותו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בעוד השניים מדברים</w:t>
      </w:r>
      <w:r>
        <w:rPr>
          <w:rtl w:val="true"/>
        </w:rPr>
        <w:t xml:space="preserve">, </w:t>
      </w:r>
      <w:r>
        <w:rPr>
          <w:rtl w:val="true"/>
        </w:rPr>
        <w:t>פרצה הקטטה בין המערער למנוח ואונקרי דיווח על כך לשותף בעת ההתרחשות</w:t>
      </w:r>
      <w:r>
        <w:rPr>
          <w:rtl w:val="true"/>
        </w:rPr>
        <w:t xml:space="preserve">. </w:t>
      </w:r>
      <w:r>
        <w:rPr>
          <w:rtl w:val="true"/>
        </w:rPr>
        <w:t>עדות זו</w:t>
      </w:r>
      <w:r>
        <w:rPr>
          <w:rtl w:val="true"/>
        </w:rPr>
        <w:t xml:space="preserve">, </w:t>
      </w:r>
      <w:r>
        <w:rPr>
          <w:rtl w:val="true"/>
        </w:rPr>
        <w:t>לגישת בית המשפט</w:t>
      </w:r>
      <w:r>
        <w:rPr>
          <w:rtl w:val="true"/>
        </w:rPr>
        <w:t xml:space="preserve">, </w:t>
      </w:r>
      <w:r>
        <w:rPr>
          <w:rtl w:val="true"/>
        </w:rPr>
        <w:t>תומכת אף היא בקביעה כי המערער החליט להמית את המנוח ותכנן את מעשיו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המחוזי אף דחה את טענת השכרות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אשר לא נטענה כסייג לאחריות פלילית לפי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אלא כנסיבה שיש לקחתה בחשבון לעניין התקיימותה של חזקת הכוונה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 xml:space="preserve">כי התנהגותו המתוארת של המערער היא </w:t>
      </w:r>
      <w:r>
        <w:rPr>
          <w:rtl w:val="true"/>
        </w:rPr>
        <w:t>"</w:t>
      </w:r>
      <w:r>
        <w:rPr>
          <w:rtl w:val="true"/>
        </w:rPr>
        <w:t>התנהגות מחושבת הכרוכה בתכנון ותושיה שאינם מאפיינים אדם שיכור שאינו מודע למעשיו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); </w:t>
      </w:r>
      <w:r>
        <w:rPr>
          <w:rtl w:val="true"/>
        </w:rPr>
        <w:t xml:space="preserve">כי העדים שראו את המערער לפני ואחרי האירוע העידו כי </w:t>
      </w:r>
      <w:r>
        <w:rPr>
          <w:rtl w:val="true"/>
        </w:rPr>
        <w:t>"</w:t>
      </w:r>
      <w:r>
        <w:rPr>
          <w:rtl w:val="true"/>
        </w:rPr>
        <w:t>הוא היה עצבני וניכר ששתה אך לא התרשמו שהתנהג בצורה חריגה או שלא היה מודע למעשיו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); </w:t>
      </w:r>
      <w:r>
        <w:rPr>
          <w:rtl w:val="true"/>
        </w:rPr>
        <w:t>וכי גרסתו של המערער בחקירותיו במשטרה</w:t>
      </w:r>
      <w:r>
        <w:rPr>
          <w:rtl w:val="true"/>
        </w:rPr>
        <w:t xml:space="preserve">, </w:t>
      </w:r>
      <w:r>
        <w:rPr>
          <w:rtl w:val="true"/>
        </w:rPr>
        <w:t>לפיה אינו זוכר כלל את האירוע בשל שכרותו</w:t>
      </w:r>
      <w:r>
        <w:rPr>
          <w:rtl w:val="true"/>
        </w:rPr>
        <w:t xml:space="preserve">, </w:t>
      </w:r>
      <w:r>
        <w:rPr>
          <w:rtl w:val="true"/>
        </w:rPr>
        <w:t>אינה אמינה</w:t>
      </w:r>
      <w:r>
        <w:rPr>
          <w:rtl w:val="true"/>
        </w:rPr>
        <w:t xml:space="preserve">, </w:t>
      </w:r>
      <w:r>
        <w:rPr>
          <w:rtl w:val="true"/>
        </w:rPr>
        <w:t>בין היתר מאחר שעל פי עדות חבריו הוא היה פיכח דיו כדי לספר להם באותו לילה על מעשיו ומניעיו</w:t>
      </w:r>
      <w:r>
        <w:rPr>
          <w:rtl w:val="true"/>
        </w:rPr>
        <w:t xml:space="preserve">, </w:t>
      </w:r>
      <w:r>
        <w:rPr>
          <w:rtl w:val="true"/>
        </w:rPr>
        <w:t>וכן בניסיון להרחיק עצמו מהזירה</w:t>
      </w:r>
      <w:r>
        <w:rPr>
          <w:rtl w:val="true"/>
        </w:rPr>
        <w:t>, "</w:t>
      </w:r>
      <w:r>
        <w:rPr>
          <w:rtl w:val="true"/>
        </w:rPr>
        <w:t>לא זכר</w:t>
      </w:r>
      <w:r>
        <w:rPr>
          <w:rtl w:val="true"/>
        </w:rPr>
        <w:t xml:space="preserve">" </w:t>
      </w:r>
      <w:r>
        <w:rPr>
          <w:rtl w:val="true"/>
        </w:rPr>
        <w:t>בחקירתו פרטים שהיה אמור לזכור</w:t>
      </w:r>
      <w:r>
        <w:rPr>
          <w:rtl w:val="true"/>
        </w:rPr>
        <w:t xml:space="preserve">, </w:t>
      </w:r>
      <w:r>
        <w:rPr>
          <w:rtl w:val="true"/>
        </w:rPr>
        <w:t>כגון נעליו שנמצאו מוכתמות בדם המנוח</w:t>
      </w:r>
      <w:r>
        <w:rPr>
          <w:rtl w:val="true"/>
        </w:rPr>
        <w:t xml:space="preserve">, </w:t>
      </w:r>
      <w:r>
        <w:rPr>
          <w:rtl w:val="true"/>
        </w:rPr>
        <w:t>שלגביהן טען כי אינו יודע למי הן שייכות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בקשר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לחלופה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 של רצח בנסיבות מחמירות</w:t>
      </w:r>
      <w:r>
        <w:rPr>
          <w:rtl w:val="true"/>
        </w:rPr>
        <w:t xml:space="preserve">), </w:t>
      </w:r>
      <w:r>
        <w:rPr>
          <w:rtl w:val="true"/>
        </w:rPr>
        <w:t xml:space="preserve">נקבע כי המערער ביצע את המעשה </w:t>
      </w:r>
      <w:r>
        <w:rPr>
          <w:rtl w:val="true"/>
        </w:rPr>
        <w:t>"</w:t>
      </w:r>
      <w:r>
        <w:rPr>
          <w:rtl w:val="true"/>
        </w:rPr>
        <w:t>לאחר תכנון או לאחר הליך ממשי של שקילה וגיבוש ההחלטה להמית</w:t>
      </w:r>
      <w:r>
        <w:rPr>
          <w:rtl w:val="true"/>
        </w:rPr>
        <w:t xml:space="preserve">". </w:t>
      </w:r>
      <w:r>
        <w:rPr>
          <w:rtl w:val="true"/>
        </w:rPr>
        <w:t>בהקשר זה הודגש כי</w:t>
      </w:r>
      <w:r>
        <w:rPr>
          <w:rtl w:val="true"/>
        </w:rPr>
        <w:t>:</w:t>
      </w:r>
    </w:p>
    <w:p>
      <w:pPr>
        <w:pStyle w:val="Style16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כורסא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מספרן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וטיבן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ההצטיידות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>'"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Style14"/>
        <w:ind w:end="0"/>
        <w:jc w:val="both"/>
        <w:rPr/>
      </w:pP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בית המשפט הוסיף כי</w:t>
      </w:r>
      <w:r>
        <w:rPr>
          <w:rtl w:val="true"/>
        </w:rPr>
        <w:t xml:space="preserve">: </w:t>
      </w:r>
    </w:p>
    <w:p>
      <w:pPr>
        <w:pStyle w:val="Style16"/>
        <w:ind w:end="1276"/>
        <w:jc w:val="both"/>
        <w:rPr>
          <w:spacing w:val="8"/>
        </w:rPr>
      </w:pPr>
      <w:r>
        <w:rPr>
          <w:spacing w:val="8"/>
          <w:rtl w:val="true"/>
        </w:rPr>
        <w:t>"</w:t>
      </w:r>
      <w:r>
        <w:rPr>
          <w:spacing w:val="8"/>
          <w:rtl w:val="true"/>
        </w:rPr>
        <w:t>סיווגו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מקרה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זה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כרצח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בנסיבות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מחמירות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תכנון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והליך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ממשי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שקילה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וגיבוש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החלטה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להמית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משרת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גם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העקרונות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המנחים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קדושת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חיי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אדם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ועקרון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האשמה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ואף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משיקולי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מדיניות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משפטית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ניתן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לסווג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מקרה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זה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כרצח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שאינו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בנסיבות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מחמירות</w:t>
      </w:r>
      <w:r>
        <w:rPr>
          <w:spacing w:val="8"/>
          <w:rtl w:val="true"/>
        </w:rPr>
        <w:t>" (</w:t>
      </w:r>
      <w:r>
        <w:rPr>
          <w:spacing w:val="8"/>
          <w:rtl w:val="true"/>
        </w:rPr>
        <w:t>שם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בעמ</w:t>
      </w:r>
      <w:r>
        <w:rPr>
          <w:spacing w:val="8"/>
          <w:rtl w:val="true"/>
        </w:rPr>
        <w:t xml:space="preserve">' </w:t>
      </w:r>
      <w:r>
        <w:rPr>
          <w:spacing w:val="8"/>
        </w:rPr>
        <w:t>57</w:t>
      </w:r>
      <w:r>
        <w:rPr>
          <w:spacing w:val="8"/>
          <w:rtl w:val="true"/>
        </w:rPr>
        <w:t>).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דחה את טענת המערער לפיה שכרותו</w:t>
      </w:r>
      <w:r>
        <w:rPr>
          <w:rtl w:val="true"/>
        </w:rPr>
        <w:t xml:space="preserve">, </w:t>
      </w:r>
      <w:r>
        <w:rPr>
          <w:rtl w:val="true"/>
        </w:rPr>
        <w:t>גם אם לא הייתה במידה המקימה את סייג השכרות</w:t>
      </w:r>
      <w:r>
        <w:rPr>
          <w:rtl w:val="true"/>
        </w:rPr>
        <w:t xml:space="preserve">, </w:t>
      </w:r>
      <w:r>
        <w:rPr>
          <w:rtl w:val="true"/>
        </w:rPr>
        <w:t>גרמה לו להתנהגות בלתי</w:t>
      </w:r>
      <w:r>
        <w:rPr>
          <w:rtl w:val="true"/>
        </w:rPr>
        <w:t>-</w:t>
      </w:r>
      <w:r>
        <w:rPr>
          <w:rtl w:val="true"/>
        </w:rPr>
        <w:t>רציונאלית ולכך שלא היה מודע לגמרי למעשיו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למערער הייתה אפשרות לשקול את מעשיו ואף לחזור בו מתוכניתו להמית את המנוח</w:t>
      </w:r>
      <w:r>
        <w:rPr>
          <w:rtl w:val="true"/>
        </w:rPr>
        <w:t xml:space="preserve">, </w:t>
      </w:r>
      <w:r>
        <w:rPr>
          <w:rtl w:val="true"/>
        </w:rPr>
        <w:t>אך הוא לא עשה כן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נדחתה הטענה שנשמעה מפי 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לפיה המערער לא הצטייד בסכין על מנת לפגוע במנוח</w:t>
      </w:r>
      <w:r>
        <w:rPr>
          <w:rtl w:val="true"/>
        </w:rPr>
        <w:t xml:space="preserve">, </w:t>
      </w:r>
      <w:r>
        <w:rPr>
          <w:rtl w:val="true"/>
        </w:rPr>
        <w:t>אלא כדי להגן על עצמו אם תתפתח תגרה בינו לבין המנוח או בינו לבין מאן דהוא אחר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גרסה זו אינה מתיישבת עם העובדה שמתיעוד מצלמות האבטחה עולה שהמערער הגיע לבר כשהסכין שלופה בידו</w:t>
      </w:r>
      <w:r>
        <w:rPr>
          <w:rtl w:val="true"/>
        </w:rPr>
        <w:t xml:space="preserve">, </w:t>
      </w:r>
      <w:r>
        <w:rPr>
          <w:rtl w:val="true"/>
        </w:rPr>
        <w:t>ולא מוטמנת בין בגדיו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הודגש כי העובדה שהמערער פתח שוב בקטטה עם המנוח פחות מדקה וחצי לאחר ששב לבר</w:t>
      </w:r>
      <w:r>
        <w:rPr>
          <w:rtl w:val="true"/>
        </w:rPr>
        <w:t xml:space="preserve">, </w:t>
      </w:r>
      <w:r>
        <w:rPr>
          <w:rtl w:val="true"/>
        </w:rPr>
        <w:t>כשהוא מצויד בסכין</w:t>
      </w:r>
      <w:r>
        <w:rPr>
          <w:rtl w:val="true"/>
        </w:rPr>
        <w:t xml:space="preserve">, </w:t>
      </w:r>
      <w:r>
        <w:rPr>
          <w:rtl w:val="true"/>
        </w:rPr>
        <w:t>מלמדת כי תכנן להמית את המנוח</w:t>
      </w:r>
      <w:r>
        <w:rPr>
          <w:rtl w:val="true"/>
        </w:rPr>
        <w:t xml:space="preserve">.  </w:t>
      </w:r>
    </w:p>
    <w:p>
      <w:pPr>
        <w:pStyle w:val="Heading1"/>
        <w:spacing w:before="360" w:after="360"/>
        <w:ind w:hanging="0" w:start="0" w:end="0"/>
        <w:jc w:val="start"/>
        <w:rPr/>
      </w:pPr>
      <w:r>
        <w:rPr>
          <w:rtl w:val="true"/>
        </w:rPr>
        <w:t>טענות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בערעור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 טוען</w:t>
      </w:r>
      <w:r>
        <w:rPr>
          <w:rtl w:val="true"/>
        </w:rPr>
        <w:t xml:space="preserve">, </w:t>
      </w:r>
      <w:r>
        <w:rPr>
          <w:rtl w:val="true"/>
        </w:rPr>
        <w:t xml:space="preserve">כי משנכנס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לתוקף בטרם הפך פסק הדין לחלוט</w:t>
      </w:r>
      <w:r>
        <w:rPr>
          <w:rtl w:val="true"/>
        </w:rPr>
        <w:t xml:space="preserve">, </w:t>
      </w:r>
      <w:r>
        <w:rPr>
          <w:rtl w:val="true"/>
        </w:rPr>
        <w:t xml:space="preserve">הרי שלפי הוראות המעבר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לתיקון </w:t>
      </w:r>
      <w:r>
        <w:rPr/>
        <w:t>137</w:t>
      </w:r>
      <w:r>
        <w:rPr>
          <w:rtl w:val="true"/>
        </w:rPr>
        <w:t xml:space="preserve">) </w:t>
      </w:r>
      <w:r>
        <w:rPr>
          <w:rtl w:val="true"/>
        </w:rPr>
        <w:t xml:space="preserve">יש לבחור בחלופה המקלה עמו </w:t>
      </w:r>
      <w:r>
        <w:rPr>
          <w:rtl w:val="true"/>
        </w:rPr>
        <w:t>–</w:t>
      </w:r>
      <w:r>
        <w:rPr>
          <w:rtl w:val="true"/>
        </w:rPr>
        <w:t xml:space="preserve"> ועל כן המסגרת המשפטית לדיון היא הדין החדש לאחר התיקון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טוען המערער כי לא מתקיימת הנסיבה המחמירה </w:t>
      </w:r>
      <w:hyperlink r:id="rId3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וממילא יש להרשיעו בעבירת הרצח הבסיסית</w:t>
      </w:r>
      <w:r>
        <w:rPr>
          <w:rtl w:val="true"/>
        </w:rPr>
        <w:t xml:space="preserve">, </w:t>
      </w:r>
      <w:r>
        <w:rPr>
          <w:rtl w:val="true"/>
        </w:rPr>
        <w:t>שהיא הדין המקל עמו</w:t>
      </w:r>
      <w:r>
        <w:rPr>
          <w:rtl w:val="true"/>
        </w:rPr>
        <w:t xml:space="preserve">, </w:t>
      </w:r>
      <w:r>
        <w:rPr>
          <w:rtl w:val="true"/>
        </w:rPr>
        <w:t>ואשר על פיה מסור לבית המשפט שיקול דעת בגזירת עונשו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 נטען</w:t>
      </w:r>
      <w:r>
        <w:rPr>
          <w:rtl w:val="true"/>
        </w:rPr>
        <w:t xml:space="preserve">, </w:t>
      </w:r>
      <w:r>
        <w:rPr>
          <w:rtl w:val="true"/>
        </w:rPr>
        <w:t xml:space="preserve">כי במסגרת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זנח המחוקק במודע את היסוד הנפשי של 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", </w:t>
      </w:r>
      <w:r>
        <w:rPr>
          <w:rtl w:val="true"/>
        </w:rPr>
        <w:t>לאחר ש</w:t>
      </w:r>
      <w:r>
        <w:rPr>
          <w:rtl w:val="true"/>
        </w:rPr>
        <w:t>ההלכה</w:t>
      </w:r>
      <w:r>
        <w:rPr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 </w:t>
      </w:r>
      <w:r>
        <w:rPr>
          <w:rtl w:val="true"/>
        </w:rPr>
        <w:t>העניקה</w:t>
      </w:r>
      <w:r>
        <w:rPr>
          <w:rtl w:val="true"/>
        </w:rPr>
        <w:t xml:space="preserve"> </w:t>
      </w:r>
      <w:r>
        <w:rPr>
          <w:rtl w:val="true"/>
        </w:rPr>
        <w:t xml:space="preserve">לו </w:t>
      </w:r>
      <w:r>
        <w:rPr>
          <w:rtl w:val="true"/>
        </w:rPr>
        <w:t>פרשנות</w:t>
      </w:r>
      <w:r>
        <w:rPr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וזאת הן ביחס ליסוד ההכנה </w:t>
      </w:r>
      <w:r>
        <w:rPr>
          <w:rtl w:val="true"/>
        </w:rPr>
        <w:t>(</w:t>
      </w:r>
      <w:r>
        <w:rPr>
          <w:rtl w:val="true"/>
        </w:rPr>
        <w:t>באשר אליו נקבע למשל כי גם הנפת סכין תיחשב כמקיימת יסוד זה</w:t>
      </w:r>
      <w:r>
        <w:rPr>
          <w:rtl w:val="true"/>
        </w:rPr>
        <w:t xml:space="preserve">), </w:t>
      </w:r>
      <w:r>
        <w:rPr>
          <w:rtl w:val="true"/>
        </w:rPr>
        <w:t xml:space="preserve">הן ביחס ליסוד ההחלטה להמית </w:t>
      </w:r>
      <w:r>
        <w:rPr>
          <w:rtl w:val="true"/>
        </w:rPr>
        <w:t>(</w:t>
      </w:r>
      <w:r>
        <w:rPr>
          <w:rtl w:val="true"/>
        </w:rPr>
        <w:t>שבנוגע אליה נקבע כי היא יכולה להתגבש כהרף עין</w:t>
      </w:r>
      <w:r>
        <w:rPr>
          <w:rtl w:val="true"/>
        </w:rPr>
        <w:t xml:space="preserve">).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 xml:space="preserve">כי התיקון לחוק מבטא את מגמת המחוקק לצמצם את מספר המקרים שייכנסו לגדר העבירה של רצח </w:t>
      </w:r>
      <w:r>
        <w:rPr>
          <w:rtl w:val="true"/>
        </w:rPr>
        <w:t>"</w:t>
      </w:r>
      <w:r>
        <w:rPr>
          <w:rtl w:val="true"/>
        </w:rPr>
        <w:t>בנסיבות מחמירות</w:t>
      </w:r>
      <w:r>
        <w:rPr>
          <w:rtl w:val="true"/>
        </w:rPr>
        <w:t xml:space="preserve">", </w:t>
      </w:r>
      <w:r>
        <w:rPr>
          <w:rtl w:val="true"/>
        </w:rPr>
        <w:t xml:space="preserve">ולהוציא מכללה מקרים של </w:t>
      </w:r>
      <w:r>
        <w:rPr>
          <w:rtl w:val="true"/>
        </w:rPr>
        <w:t>"</w:t>
      </w:r>
      <w:r>
        <w:rPr>
          <w:rtl w:val="true"/>
        </w:rPr>
        <w:t>המתה בכוונה ספונטנית</w:t>
      </w:r>
      <w:r>
        <w:rPr>
          <w:rtl w:val="true"/>
        </w:rPr>
        <w:t xml:space="preserve">".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רצח המנוח בידי המערער </w:t>
      </w:r>
      <w:r>
        <w:rPr>
          <w:rtl w:val="true"/>
        </w:rPr>
        <w:t>–</w:t>
      </w:r>
      <w:r>
        <w:rPr>
          <w:rtl w:val="true"/>
        </w:rPr>
        <w:t xml:space="preserve"> כך נטען </w:t>
      </w:r>
      <w:r>
        <w:rPr>
          <w:rtl w:val="true"/>
        </w:rPr>
        <w:t>–</w:t>
      </w:r>
      <w:r>
        <w:rPr>
          <w:rtl w:val="true"/>
        </w:rPr>
        <w:t xml:space="preserve"> הוא </w:t>
      </w:r>
      <w:r>
        <w:rPr>
          <w:rtl w:val="true"/>
        </w:rPr>
        <w:t>"</w:t>
      </w:r>
      <w:r>
        <w:rPr>
          <w:rtl w:val="true"/>
        </w:rPr>
        <w:t>מקרה של רצח בחמת זעם</w:t>
      </w:r>
      <w:r>
        <w:rPr>
          <w:rtl w:val="true"/>
        </w:rPr>
        <w:t xml:space="preserve">, </w:t>
      </w:r>
      <w:r>
        <w:rPr>
          <w:rtl w:val="true"/>
        </w:rPr>
        <w:t>בכוונה שהתגבשה ספונטנית</w:t>
      </w:r>
      <w:r>
        <w:rPr>
          <w:rtl w:val="true"/>
        </w:rPr>
        <w:t xml:space="preserve">, </w:t>
      </w:r>
      <w:r>
        <w:rPr>
          <w:rtl w:val="true"/>
        </w:rPr>
        <w:t>שניות לפני מעשה ההמתה</w:t>
      </w:r>
      <w:r>
        <w:rPr>
          <w:rtl w:val="true"/>
        </w:rPr>
        <w:t xml:space="preserve">", </w:t>
      </w:r>
      <w:r>
        <w:rPr>
          <w:rtl w:val="true"/>
        </w:rPr>
        <w:t>וככזה</w:t>
      </w:r>
      <w:r>
        <w:rPr>
          <w:rtl w:val="true"/>
        </w:rPr>
        <w:t xml:space="preserve">, </w:t>
      </w:r>
      <w:r>
        <w:rPr>
          <w:rtl w:val="true"/>
        </w:rPr>
        <w:t>הוא אינו מקיים את יסוד התכנון או גיבוש ההחלטה להמית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שב על טענתו לפיה שכרותו</w:t>
      </w:r>
      <w:r>
        <w:rPr>
          <w:rtl w:val="true"/>
        </w:rPr>
        <w:t xml:space="preserve">, </w:t>
      </w:r>
      <w:r>
        <w:rPr>
          <w:rtl w:val="true"/>
        </w:rPr>
        <w:t xml:space="preserve">שאינה מגעת כדי הגנת השכרות </w:t>
      </w:r>
      <w:r>
        <w:rPr>
          <w:rtl w:val="true"/>
        </w:rPr>
        <w:t>"</w:t>
      </w:r>
      <w:r>
        <w:rPr>
          <w:rtl w:val="true"/>
        </w:rPr>
        <w:t>במובנה המשפטי</w:t>
      </w:r>
      <w:r>
        <w:rPr>
          <w:rtl w:val="true"/>
        </w:rPr>
        <w:t xml:space="preserve">", </w:t>
      </w:r>
      <w:r>
        <w:rPr>
          <w:rtl w:val="true"/>
        </w:rPr>
        <w:t xml:space="preserve">תומכת במסקנה שהוא </w:t>
      </w:r>
      <w:r>
        <w:rPr>
          <w:rtl w:val="true"/>
        </w:rPr>
        <w:t>"</w:t>
      </w:r>
      <w:r>
        <w:rPr>
          <w:rtl w:val="true"/>
        </w:rPr>
        <w:t>פעל מתוך דחף אלים לא מבורר</w:t>
      </w:r>
      <w:r>
        <w:rPr>
          <w:rtl w:val="true"/>
        </w:rPr>
        <w:t xml:space="preserve">, </w:t>
      </w:r>
      <w:r>
        <w:rPr>
          <w:rtl w:val="true"/>
        </w:rPr>
        <w:t>אפוף אדי כוהל</w:t>
      </w:r>
      <w:r>
        <w:rPr>
          <w:rtl w:val="true"/>
        </w:rPr>
        <w:t xml:space="preserve">, </w:t>
      </w:r>
      <w:r>
        <w:rPr>
          <w:rtl w:val="true"/>
        </w:rPr>
        <w:t>שלא כלל בהכרח כוונה לרצוח את המנוח</w:t>
      </w:r>
      <w:r>
        <w:rPr>
          <w:rtl w:val="true"/>
        </w:rPr>
        <w:t xml:space="preserve">".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מתעורר ספק בשאלה האם מעשהו עולה כדי רצח בנסיבות מחמירות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לחלופין טוען המערער</w:t>
      </w:r>
      <w:r>
        <w:rPr>
          <w:rtl w:val="true"/>
        </w:rPr>
        <w:t xml:space="preserve">, </w:t>
      </w:r>
      <w:r>
        <w:rPr>
          <w:rtl w:val="true"/>
        </w:rPr>
        <w:t>כי גם אם ייקבע שהוכחו כל יסודותיה של 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>מתקיימות בעניינו נסיבות מיוחדות הממתנות את מידת אשמו ומצדיקות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33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להרשיעו בעבירת הרצח ה</w:t>
      </w:r>
      <w:r>
        <w:rPr>
          <w:rtl w:val="true"/>
        </w:rPr>
        <w:t>"</w:t>
      </w:r>
      <w:r>
        <w:rPr>
          <w:rtl w:val="true"/>
        </w:rPr>
        <w:t>בסיסית</w:t>
      </w:r>
      <w:r>
        <w:rPr>
          <w:rtl w:val="true"/>
        </w:rPr>
        <w:t xml:space="preserve">".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לעניין זה שב המערער וטוען כי </w:t>
      </w:r>
      <w:r>
        <w:rPr>
          <w:rtl w:val="true"/>
        </w:rPr>
        <w:t>"</w:t>
      </w:r>
      <w:r>
        <w:rPr>
          <w:rtl w:val="true"/>
        </w:rPr>
        <w:t>מצבו התודעתי המעורפל מאלכוהול</w:t>
      </w:r>
      <w:r>
        <w:rPr>
          <w:rtl w:val="true"/>
        </w:rPr>
        <w:t xml:space="preserve">" </w:t>
      </w:r>
      <w:r>
        <w:rPr>
          <w:rtl w:val="true"/>
        </w:rPr>
        <w:t>בעת ביצוע הרצח מצדיק שלא להרשיעו בעבירה של רצח בנסיבות מחמירות</w:t>
      </w:r>
      <w:r>
        <w:rPr>
          <w:rtl w:val="true"/>
        </w:rPr>
        <w:t xml:space="preserve">, </w:t>
      </w:r>
      <w:r>
        <w:rPr>
          <w:rtl w:val="true"/>
        </w:rPr>
        <w:t>כך שגם אם ייקבע שתכנן לרצוח את המנוח</w:t>
      </w:r>
      <w:r>
        <w:rPr>
          <w:rtl w:val="true"/>
        </w:rPr>
        <w:t>, "</w:t>
      </w:r>
      <w:r>
        <w:rPr>
          <w:rtl w:val="true"/>
        </w:rPr>
        <w:t>אין מדובר בתכנון ושקילה ממשיים בדרגה גבוהה</w:t>
      </w:r>
      <w:r>
        <w:rPr>
          <w:rtl w:val="true"/>
        </w:rPr>
        <w:t>".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המשיבה טוענת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כי היא אמנם אינה חולקת על כך שתיקון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שינה את המצב המשפטי ועל כך ש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 </w:t>
      </w:r>
      <w:r>
        <w:rPr>
          <w:rtl w:val="true"/>
        </w:rPr>
        <w:t>כפי שפורשה בפסיקה על פי הדין הקודם אינה זהה לעבירה של רצח בנסיבות מחמירות לאחר התיקון</w:t>
      </w:r>
      <w:r>
        <w:rPr>
          <w:rtl w:val="true"/>
        </w:rPr>
        <w:t xml:space="preserve">; </w:t>
      </w:r>
      <w:r>
        <w:rPr>
          <w:rtl w:val="true"/>
        </w:rPr>
        <w:t>אלא שעניינו של המערער עולה בוודאי כדי רצח בנסיבות מחמירות</w:t>
      </w:r>
      <w:r>
        <w:rPr>
          <w:rtl w:val="true"/>
        </w:rPr>
        <w:t xml:space="preserve">, </w:t>
      </w:r>
      <w:r>
        <w:rPr>
          <w:rtl w:val="true"/>
        </w:rPr>
        <w:t>וזאת על פי ממצאי העובדה ומסקנותיו המשפטיות של בית המשפט המחוזי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במפורש כי הכוונה להמית את המנוח התגבשה אצל המערער בעת שיצא מה</w:t>
      </w:r>
      <w:r>
        <w:rPr>
          <w:rtl w:val="true"/>
        </w:rPr>
        <w:t>"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קפה</w:t>
      </w:r>
      <w:r>
        <w:rPr>
          <w:rtl w:val="true"/>
        </w:rPr>
        <w:t xml:space="preserve">" </w:t>
      </w:r>
      <w:r>
        <w:rPr>
          <w:rtl w:val="true"/>
        </w:rPr>
        <w:t>לכיוון ביתו</w:t>
      </w:r>
      <w:r>
        <w:rPr>
          <w:rtl w:val="true"/>
        </w:rPr>
        <w:t xml:space="preserve">, </w:t>
      </w:r>
      <w:r>
        <w:rPr>
          <w:rtl w:val="true"/>
        </w:rPr>
        <w:t>על מנת להצטייד בסכין</w:t>
      </w:r>
      <w:r>
        <w:rPr>
          <w:rtl w:val="true"/>
        </w:rPr>
        <w:t xml:space="preserve">, </w:t>
      </w:r>
      <w:r>
        <w:rPr>
          <w:rtl w:val="true"/>
        </w:rPr>
        <w:t>ובקביעה עובדתית זו אין כל הצדקה להתערב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 xml:space="preserve">כי טענות המערער בעניין הלך רוחו </w:t>
      </w:r>
      <w:r>
        <w:rPr>
          <w:rtl w:val="true"/>
        </w:rPr>
        <w:t>–</w:t>
      </w:r>
      <w:r>
        <w:rPr>
          <w:rtl w:val="true"/>
        </w:rPr>
        <w:t xml:space="preserve"> ובין היתר כי הצטייד בסכין לצורך הגנה עצמית או מתוך כוונה לפצוע את המנוח ולא להורגו </w:t>
      </w:r>
      <w:r>
        <w:rPr>
          <w:rtl w:val="true"/>
        </w:rPr>
        <w:t>–</w:t>
      </w:r>
      <w:r>
        <w:rPr>
          <w:rtl w:val="true"/>
        </w:rPr>
        <w:t xml:space="preserve"> הן טענות עובדתיות</w:t>
      </w:r>
      <w:r>
        <w:rPr>
          <w:rtl w:val="true"/>
        </w:rPr>
        <w:t xml:space="preserve">, </w:t>
      </w:r>
      <w:r>
        <w:rPr>
          <w:rtl w:val="true"/>
        </w:rPr>
        <w:t>ועל אף זאת הן לא נשמעו מפי המערער בחקירותיו במשטרה או אף בעדותו בבית המשפט</w:t>
      </w:r>
      <w:r>
        <w:rPr>
          <w:rtl w:val="true"/>
        </w:rPr>
        <w:t xml:space="preserve">. </w:t>
      </w:r>
      <w:r>
        <w:rPr>
          <w:rtl w:val="true"/>
        </w:rPr>
        <w:t>טענות אלו הועלו לראשונה בסיכומי ההגנה</w:t>
      </w:r>
      <w:r>
        <w:rPr>
          <w:rtl w:val="true"/>
        </w:rPr>
        <w:t xml:space="preserve">, </w:t>
      </w:r>
      <w:r>
        <w:rPr>
          <w:rtl w:val="true"/>
        </w:rPr>
        <w:t>ועתה</w:t>
      </w:r>
      <w:r>
        <w:rPr>
          <w:rtl w:val="true"/>
        </w:rPr>
        <w:t xml:space="preserve">, </w:t>
      </w:r>
      <w:r>
        <w:rPr>
          <w:rtl w:val="true"/>
        </w:rPr>
        <w:t>בנימוקי הערעור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אפשרויות חלופיות תיאורטיות</w:t>
      </w:r>
      <w:r>
        <w:rPr>
          <w:rtl w:val="true"/>
        </w:rPr>
        <w:t xml:space="preserve">", </w:t>
      </w:r>
      <w:r>
        <w:rPr>
          <w:rtl w:val="true"/>
        </w:rPr>
        <w:t>אשר אין די בהן על מנת לעורר ספק סביר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לטענתו החלופית של המערער</w:t>
      </w:r>
      <w:r>
        <w:rPr>
          <w:rtl w:val="true"/>
        </w:rPr>
        <w:t xml:space="preserve">, </w:t>
      </w:r>
      <w:r>
        <w:rPr>
          <w:rtl w:val="true"/>
        </w:rPr>
        <w:t>כי קיימות נסיבות הממתנות את מידת אשמו ומצדיקות את הרשעתו בעבירת הרצח ה</w:t>
      </w:r>
      <w:r>
        <w:rPr>
          <w:rtl w:val="true"/>
        </w:rPr>
        <w:t>"</w:t>
      </w:r>
      <w:r>
        <w:rPr>
          <w:rtl w:val="true"/>
        </w:rPr>
        <w:t>בסיסית</w:t>
      </w:r>
      <w:r>
        <w:rPr>
          <w:rtl w:val="true"/>
        </w:rPr>
        <w:t xml:space="preserve">", </w:t>
      </w:r>
      <w:r>
        <w:rPr>
          <w:rtl w:val="true"/>
        </w:rPr>
        <w:t>טוענת המשיבה כי זו לא הועלתה בבית המשפט המחוזי</w:t>
      </w:r>
      <w:r>
        <w:rPr>
          <w:rtl w:val="true"/>
        </w:rPr>
        <w:t xml:space="preserve">; </w:t>
      </w:r>
      <w:r>
        <w:rPr>
          <w:rtl w:val="true"/>
        </w:rPr>
        <w:t>ומכל מקום אין כל הצדקה לקבוע במקרה זה כי מעשי המערער אינם מבטאים דרגת אשמה חמורה במיוחד עד כדי הרשעתו בעבירת הרצח הבסיסית בלבד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 xml:space="preserve">כי אף </w:t>
      </w:r>
      <w:hyperlink r:id="rId35">
        <w:r>
          <w:rPr>
            <w:rStyle w:val="Hyperlink"/>
            <w:rtl w:val="true"/>
          </w:rPr>
          <w:t>שסעיף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אינו מונה רשימה סגורה של מקרים</w:t>
      </w:r>
      <w:r>
        <w:rPr>
          <w:rtl w:val="true"/>
        </w:rPr>
        <w:t xml:space="preserve">, </w:t>
      </w:r>
      <w:r>
        <w:rPr>
          <w:rtl w:val="true"/>
        </w:rPr>
        <w:t>אין ספק כי מדובר על מקרים חריגים ויוצאי דופן</w:t>
      </w:r>
      <w:r>
        <w:rPr>
          <w:rtl w:val="true"/>
        </w:rPr>
        <w:t xml:space="preserve">, </w:t>
      </w:r>
      <w:r>
        <w:rPr>
          <w:rtl w:val="true"/>
        </w:rPr>
        <w:t>שעניינו של המערער אינו נמנה עליהם</w:t>
      </w:r>
      <w:r>
        <w:rPr>
          <w:rtl w:val="true"/>
        </w:rPr>
        <w:t xml:space="preserve">. </w:t>
      </w:r>
    </w:p>
    <w:p>
      <w:pPr>
        <w:pStyle w:val="Heading1"/>
        <w:spacing w:before="360" w:after="360"/>
        <w:ind w:hanging="0" w:start="0" w:end="0"/>
        <w:jc w:val="start"/>
        <w:rPr/>
      </w:pPr>
      <w:r>
        <w:rPr>
          <w:rtl w:val="true"/>
        </w:rPr>
        <w:t>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משהמעשים שיוחסו למערער בוצעו עובר</w:t>
      </w:r>
      <w:r>
        <w:rPr>
          <w:rtl w:val="true"/>
        </w:rPr>
        <w:t xml:space="preserve"> </w:t>
      </w:r>
      <w:r>
        <w:rPr>
          <w:rtl w:val="true"/>
        </w:rPr>
        <w:t>למועד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ח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נהג בהתאם</w:t>
      </w:r>
      <w:r>
        <w:rPr>
          <w:rtl w:val="true"/>
        </w:rPr>
        <w:t xml:space="preserve"> </w:t>
      </w:r>
      <w:r>
        <w:rPr>
          <w:rtl w:val="true"/>
        </w:rPr>
        <w:t>להנחיית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 כאשר </w:t>
      </w:r>
      <w:r>
        <w:rPr>
          <w:rtl w:val="true"/>
        </w:rPr>
        <w:t>בחן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הישן</w:t>
      </w:r>
      <w:r>
        <w:rPr>
          <w:rtl w:val="true"/>
        </w:rPr>
        <w:t xml:space="preserve">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בין אם חל הדין הישן ובין אם הדין החדש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להרשיע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</w:t>
      </w:r>
      <w:r>
        <w:rPr>
          <w:rtl w:val="true"/>
        </w:rPr>
        <w:t>צידה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לענ</w:t>
      </w:r>
      <w:r>
        <w:rPr>
          <w:rtl w:val="true"/>
        </w:rPr>
        <w:t>י</w:t>
      </w:r>
      <w:r>
        <w:rPr>
          <w:rtl w:val="true"/>
        </w:rPr>
        <w:t>ין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וראת העבר</w:t>
      </w:r>
      <w:r>
        <w:rPr>
          <w:rtl w:val="true"/>
        </w:rPr>
        <w:t xml:space="preserve"> </w:t>
      </w:r>
      <w:r>
        <w:rPr>
          <w:rtl w:val="true"/>
        </w:rPr>
        <w:t xml:space="preserve">של סעיף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בשילוב</w:t>
      </w:r>
      <w:r>
        <w:rPr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8965/18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 xml:space="preserve"> </w:t>
      </w:r>
      <w:r>
        <w:rPr>
          <w:rtl w:val="true"/>
        </w:rPr>
        <w:t>דיני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3.11.2019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/>
        <w:t>5.4.2020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1130/19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 xml:space="preserve"> </w:t>
      </w:r>
      <w:r>
        <w:rPr>
          <w:rtl w:val="true"/>
        </w:rPr>
        <w:t>דיני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27.12.2020</w:t>
      </w:r>
      <w:r>
        <w:rPr>
          <w:rtl w:val="true"/>
        </w:rPr>
        <w:t>)).</w:t>
      </w:r>
      <w:r>
        <w:rPr>
          <w:rtl w:val="true"/>
        </w:rPr>
        <w:t xml:space="preserve">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קביעה זו של בית המשפט המחוזי התבססה על כך שאף על פי הדין החדש</w:t>
      </w:r>
      <w:r>
        <w:rPr>
          <w:rtl w:val="true"/>
        </w:rPr>
        <w:t xml:space="preserve">, </w:t>
      </w:r>
      <w:r>
        <w:rPr>
          <w:rtl w:val="true"/>
        </w:rPr>
        <w:t>מתקיימים יסודות 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קובל על קביעה זו</w:t>
      </w:r>
      <w:r>
        <w:rPr>
          <w:rtl w:val="true"/>
        </w:rPr>
        <w:t xml:space="preserve">, </w:t>
      </w:r>
      <w:r>
        <w:rPr>
          <w:rtl w:val="true"/>
        </w:rPr>
        <w:t>שכן לשיטתו</w:t>
      </w:r>
      <w:r>
        <w:rPr>
          <w:rtl w:val="true"/>
        </w:rPr>
        <w:t xml:space="preserve">, </w:t>
      </w:r>
      <w:r>
        <w:rPr>
          <w:rtl w:val="true"/>
        </w:rPr>
        <w:t xml:space="preserve">יש להרשיעו בעבירת הרצח הבסיסית </w:t>
      </w:r>
      <w:hyperlink r:id="rId4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כנוסחו אחר התיקון</w:t>
      </w:r>
      <w:r>
        <w:rPr>
          <w:rtl w:val="true"/>
        </w:rPr>
        <w:t xml:space="preserve">, </w:t>
      </w:r>
      <w:r>
        <w:rPr>
          <w:rtl w:val="true"/>
        </w:rPr>
        <w:t>אשר העונש הקבוע בצידה הוא עונש מרבי של מאסר עולם</w:t>
      </w:r>
      <w:r>
        <w:rPr>
          <w:rtl w:val="true"/>
        </w:rPr>
        <w:t xml:space="preserve">, </w:t>
      </w:r>
      <w:r>
        <w:rPr>
          <w:rtl w:val="true"/>
        </w:rPr>
        <w:t>ולא עונש חובה</w:t>
      </w:r>
      <w:r>
        <w:rPr>
          <w:rtl w:val="true"/>
        </w:rPr>
        <w:t xml:space="preserve">, </w:t>
      </w:r>
      <w:r>
        <w:rPr>
          <w:rtl w:val="true"/>
        </w:rPr>
        <w:t>ועל כן לבית המשפט מסור שיקול דעת בגזירת עונשו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tl w:val="true"/>
        </w:rPr>
        <w:t xml:space="preserve"> </w:t>
      </w:r>
      <w:r>
        <w:rPr>
          <w:rtl w:val="true"/>
        </w:rPr>
        <w:t>הניצבת</w:t>
      </w:r>
      <w:r>
        <w:rPr>
          <w:rtl w:val="true"/>
        </w:rPr>
        <w:t xml:space="preserve"> </w:t>
      </w:r>
      <w:r>
        <w:rPr>
          <w:rtl w:val="true"/>
        </w:rPr>
        <w:t xml:space="preserve">אפוא </w:t>
      </w:r>
      <w:r>
        <w:rPr>
          <w:rtl w:val="true"/>
        </w:rPr>
        <w:t>להכרעה</w:t>
      </w:r>
      <w:r>
        <w:rPr>
          <w:rtl w:val="true"/>
        </w:rPr>
        <w:t xml:space="preserve"> </w:t>
      </w:r>
      <w:r>
        <w:rPr>
          <w:rtl w:val="true"/>
        </w:rPr>
        <w:t xml:space="preserve">בערעור שלפנינו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להרשיע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 </w:t>
      </w:r>
      <w:r>
        <w:rPr>
          <w:rtl w:val="true"/>
        </w:rPr>
        <w:t>וגיבוש</w:t>
      </w:r>
      <w:r>
        <w:rPr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>"?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נסיבה מחמירה זו</w:t>
      </w:r>
      <w:r>
        <w:rPr>
          <w:rtl w:val="true"/>
        </w:rPr>
        <w:t xml:space="preserve">, </w:t>
      </w:r>
      <w:r>
        <w:rPr>
          <w:rtl w:val="true"/>
        </w:rPr>
        <w:t xml:space="preserve">הראשונה מתוך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המנויות </w:t>
      </w:r>
      <w:hyperlink r:id="rId4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נועדה להחליף</w:t>
      </w:r>
      <w:r>
        <w:rPr>
          <w:rtl w:val="true"/>
        </w:rPr>
        <w:t xml:space="preserve">, </w:t>
      </w:r>
      <w:r>
        <w:rPr>
          <w:rtl w:val="true"/>
        </w:rPr>
        <w:t>באופן רעיוני</w:t>
      </w:r>
      <w:r>
        <w:rPr>
          <w:rtl w:val="true"/>
        </w:rPr>
        <w:t xml:space="preserve">, </w:t>
      </w:r>
      <w:r>
        <w:rPr>
          <w:rtl w:val="true"/>
        </w:rPr>
        <w:t xml:space="preserve">את העבירה של </w:t>
      </w:r>
      <w:r>
        <w:rPr>
          <w:rtl w:val="true"/>
        </w:rPr>
        <w:t>"</w:t>
      </w:r>
      <w:r>
        <w:rPr>
          <w:rtl w:val="true"/>
        </w:rPr>
        <w:t>רצח בכוונה תחילה</w:t>
      </w:r>
      <w:r>
        <w:rPr>
          <w:rtl w:val="true"/>
        </w:rPr>
        <w:t xml:space="preserve">" </w:t>
      </w:r>
      <w:r>
        <w:rPr>
          <w:rtl w:val="true"/>
        </w:rPr>
        <w:t xml:space="preserve">כנוסחה עובר לתיקון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יסודותיה של עבירת הרצח בנסיבות מחמירות לפי סעיף קטן זה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היו שניים מבין היסודות שהרכיבו את היסוד הנפשי של 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 </w:t>
      </w:r>
      <w:r>
        <w:rPr>
          <w:rtl w:val="true"/>
        </w:rPr>
        <w:t>בדין הקודם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חומרתה של עבירה זו בהשוואה לעבירת הרצח הבסיסית היא בנחישותו של העושה</w:t>
      </w:r>
      <w:r>
        <w:rPr>
          <w:rtl w:val="true"/>
        </w:rPr>
        <w:t xml:space="preserve">, </w:t>
      </w:r>
      <w:r>
        <w:rPr>
          <w:rtl w:val="true"/>
        </w:rPr>
        <w:t>אשר גמר אומר להמית את הקרבן לאחר שרקם תוכנית להוצאת זממו אל הפועל</w:t>
      </w:r>
      <w:r>
        <w:rPr>
          <w:rtl w:val="true"/>
        </w:rPr>
        <w:t xml:space="preserve">; </w:t>
      </w:r>
      <w:r>
        <w:rPr>
          <w:rtl w:val="true"/>
        </w:rPr>
        <w:t>או לאחר שכלכל היטב את מעשיו</w:t>
      </w:r>
      <w:r>
        <w:rPr>
          <w:rtl w:val="true"/>
        </w:rPr>
        <w:t xml:space="preserve">, </w:t>
      </w:r>
      <w:r>
        <w:rPr>
          <w:rtl w:val="true"/>
        </w:rPr>
        <w:t xml:space="preserve">שקל את תוצאותיהם והתגבר על מעצורים מוסריים ואחרים בדרכו לממש את תוכניתו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מרדכי קרמניצר וחאלד </w:t>
      </w:r>
      <w:hyperlink r:id="rId48">
        <w:r>
          <w:rPr>
            <w:rStyle w:val="Hyperlink"/>
            <w:color w:val="0000FF"/>
            <w:u w:val="single"/>
            <w:rtl w:val="true"/>
          </w:rPr>
          <w:t>גנאים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2019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ומחקר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היסטורי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והשוואתי</w:t>
      </w:r>
      <w:r>
        <w:rPr>
          <w:rtl w:val="true"/>
        </w:rPr>
        <w:t xml:space="preserve"> </w:t>
      </w:r>
      <w:r>
        <w:rPr/>
        <w:t>444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 xml:space="preserve">)). 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נשאלת השאלה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אלו מעשים ייחשבו ל</w:t>
      </w:r>
      <w:r>
        <w:rPr>
          <w:rtl w:val="true"/>
        </w:rPr>
        <w:t>-"</w:t>
      </w:r>
      <w:r>
        <w:rPr>
          <w:rtl w:val="true"/>
        </w:rPr>
        <w:t>תכנון</w:t>
      </w:r>
      <w:r>
        <w:rPr>
          <w:rtl w:val="true"/>
        </w:rPr>
        <w:t xml:space="preserve">" </w:t>
      </w:r>
      <w:r>
        <w:rPr>
          <w:rtl w:val="true"/>
        </w:rPr>
        <w:t xml:space="preserve">ולביטוי של התנהלות אשר בה </w:t>
      </w:r>
      <w:r>
        <w:rPr>
          <w:rtl w:val="true"/>
        </w:rPr>
        <w:t>"</w:t>
      </w:r>
      <w:r>
        <w:rPr>
          <w:rtl w:val="true"/>
        </w:rPr>
        <w:t>שקילה וגיבוש ההחלטה להמית</w:t>
      </w:r>
      <w:r>
        <w:rPr>
          <w:rtl w:val="true"/>
        </w:rPr>
        <w:t xml:space="preserve">", </w:t>
      </w:r>
      <w:r>
        <w:rPr>
          <w:rtl w:val="true"/>
        </w:rPr>
        <w:t xml:space="preserve">כמובנם של המונחים </w:t>
      </w:r>
      <w:hyperlink r:id="rId4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?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הרפורמה בעבירות ההמתה לפי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מצויה בראשית ימיה</w:t>
      </w:r>
      <w:r>
        <w:rPr>
          <w:rtl w:val="true"/>
        </w:rPr>
        <w:t xml:space="preserve">, </w:t>
      </w:r>
      <w:r>
        <w:rPr>
          <w:rtl w:val="true"/>
        </w:rPr>
        <w:t>ונדמה כי עוד מוקדם להניח משנה סדורה באשר לפרשנותה</w:t>
      </w:r>
      <w:r>
        <w:rPr>
          <w:rtl w:val="true"/>
        </w:rPr>
        <w:t xml:space="preserve">; </w:t>
      </w:r>
      <w:r>
        <w:rPr>
          <w:rtl w:val="true"/>
        </w:rPr>
        <w:t>זו תתעצב ברבות השנים בהתאם להלכה הפסוקה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נכון יהיה לקבוע כבר כעת</w:t>
      </w:r>
      <w:r>
        <w:rPr>
          <w:rtl w:val="true"/>
        </w:rPr>
        <w:t xml:space="preserve">, </w:t>
      </w:r>
      <w:r>
        <w:rPr>
          <w:rtl w:val="true"/>
        </w:rPr>
        <w:t>כי החומרה המיוחדת הטמונה בעבירה זו</w:t>
      </w:r>
      <w:r>
        <w:rPr>
          <w:rtl w:val="true"/>
        </w:rPr>
        <w:t xml:space="preserve">, </w:t>
      </w:r>
      <w:r>
        <w:rPr>
          <w:rtl w:val="true"/>
        </w:rPr>
        <w:t>המוצאת ביטוי בעונש החובה הקבוע לצידה</w:t>
      </w:r>
      <w:r>
        <w:rPr>
          <w:rtl w:val="true"/>
        </w:rPr>
        <w:t xml:space="preserve">, </w:t>
      </w:r>
      <w:r>
        <w:rPr>
          <w:rtl w:val="true"/>
        </w:rPr>
        <w:t xml:space="preserve">ראוי לה שתביא ליצירת הבחנה בין מקרים שבהם מעשה הרצח בוצע לאחר שהעושה שקל והחליט להמית את הקרבן </w:t>
      </w:r>
      <w:r>
        <w:rPr>
          <w:rtl w:val="true"/>
        </w:rPr>
        <w:t>–</w:t>
      </w:r>
      <w:r>
        <w:rPr>
          <w:rtl w:val="true"/>
        </w:rPr>
        <w:t xml:space="preserve"> אשר ייכנסו לגדרי הסעיף</w:t>
      </w:r>
      <w:r>
        <w:rPr>
          <w:rtl w:val="true"/>
        </w:rPr>
        <w:t xml:space="preserve">; </w:t>
      </w:r>
      <w:r>
        <w:rPr>
          <w:rtl w:val="true"/>
        </w:rPr>
        <w:t>לבין מקרים שבהם ההחלטה להמית התגבשה באופן ספונטני</w:t>
      </w:r>
      <w:r>
        <w:rPr>
          <w:rtl w:val="true"/>
        </w:rPr>
        <w:t xml:space="preserve">, </w:t>
      </w:r>
      <w:r>
        <w:rPr>
          <w:rtl w:val="true"/>
        </w:rPr>
        <w:t>ללא הפעלת שיקול דעת של ממש</w:t>
      </w:r>
      <w:r>
        <w:rPr>
          <w:rtl w:val="true"/>
        </w:rPr>
        <w:t xml:space="preserve">, </w:t>
      </w:r>
      <w:r>
        <w:rPr>
          <w:rtl w:val="true"/>
        </w:rPr>
        <w:t xml:space="preserve">וללא הכנה הכוללת פעולות מקדימות שביצע העושה קודם לביצוע הרצח </w:t>
      </w:r>
      <w:r>
        <w:rPr>
          <w:rtl w:val="true"/>
        </w:rPr>
        <w:t>–</w:t>
      </w:r>
      <w:r>
        <w:rPr>
          <w:rtl w:val="true"/>
        </w:rPr>
        <w:t xml:space="preserve"> אשר יוותרו מחוצה לו</w:t>
      </w:r>
      <w:r>
        <w:rPr>
          <w:rtl w:val="true"/>
        </w:rPr>
        <w:t xml:space="preserve">. </w:t>
      </w:r>
      <w:r>
        <w:rPr>
          <w:rtl w:val="true"/>
        </w:rPr>
        <w:t>מקרים אלו ייכללו במדרג החמור פחות</w:t>
      </w:r>
      <w:r>
        <w:rPr>
          <w:rtl w:val="true"/>
        </w:rPr>
        <w:t xml:space="preserve">, </w:t>
      </w:r>
      <w:r>
        <w:rPr>
          <w:rtl w:val="true"/>
        </w:rPr>
        <w:t xml:space="preserve">הקבוע  </w:t>
      </w:r>
      <w:hyperlink r:id="rId5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המורה</w:t>
      </w:r>
      <w:r>
        <w:rPr>
          <w:rtl w:val="true"/>
        </w:rPr>
        <w:t>:</w:t>
      </w:r>
    </w:p>
    <w:p>
      <w:pPr>
        <w:pStyle w:val="Style16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>".</w:t>
      </w:r>
    </w:p>
    <w:p>
      <w:pPr>
        <w:pStyle w:val="Style14"/>
        <w:ind w:end="0"/>
        <w:jc w:val="both"/>
        <w:rPr/>
      </w:pPr>
      <w:r>
        <w:rPr>
          <w:rtl w:val="true"/>
        </w:rPr>
        <w:t xml:space="preserve">יוצא אפוא כי העונש הקבוע בצידה של עבירת הרצח הבסיסית </w:t>
      </w:r>
      <w:r>
        <w:rPr>
          <w:rtl w:val="true"/>
        </w:rPr>
        <w:t>–</w:t>
      </w:r>
      <w:r>
        <w:rPr>
          <w:rtl w:val="true"/>
        </w:rPr>
        <w:t xml:space="preserve"> להבדיל מעבירת הרצח בנסיבות מחמירות </w:t>
      </w:r>
      <w:r>
        <w:rPr>
          <w:rtl w:val="true"/>
        </w:rPr>
        <w:softHyphen/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הוא 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</w:t>
      </w:r>
      <w:r>
        <w:rPr>
          <w:rtl w:val="true"/>
        </w:rPr>
        <w:t xml:space="preserve"> של מאסר עולם</w:t>
      </w:r>
      <w:r>
        <w:rPr>
          <w:rtl w:val="true"/>
        </w:rPr>
        <w:t xml:space="preserve">, </w:t>
      </w:r>
      <w:r>
        <w:rPr>
          <w:rtl w:val="true"/>
        </w:rPr>
        <w:t>הנתון לשיקול דעתו של בית המשפט</w:t>
      </w:r>
      <w:r>
        <w:rPr>
          <w:rtl w:val="true"/>
        </w:rPr>
        <w:t>.</w:t>
      </w:r>
    </w:p>
    <w:p>
      <w:pPr>
        <w:pStyle w:val="Style14"/>
        <w:keepNext w:val="true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נדמה כי הנחת מוצא זו היא שעמדה לנגד עיני המחוקק בעת שהובא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לראשונה בפני מליאת הכנסת</w:t>
      </w:r>
      <w:r>
        <w:rPr>
          <w:rtl w:val="true"/>
        </w:rPr>
        <w:t xml:space="preserve">, </w:t>
      </w:r>
      <w:r>
        <w:rPr>
          <w:rtl w:val="true"/>
        </w:rPr>
        <w:t>כעולה מדברי ההסבר להצעת החוק</w:t>
      </w:r>
      <w:r>
        <w:rPr>
          <w:rtl w:val="true"/>
        </w:rPr>
        <w:t>:</w:t>
      </w:r>
    </w:p>
    <w:p>
      <w:pPr>
        <w:pStyle w:val="Style16"/>
        <w:keepNext w:val="true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המתוכננת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>-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קרבנו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ושקילה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)" (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;Arial" w:cs="Arial TUR;Arial"/>
          <w:rtl w:val="true"/>
        </w:rPr>
        <w:t xml:space="preserve"> </w:t>
      </w:r>
      <w:r>
        <w:rPr/>
        <w:t>301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 (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ascii="FrankRuehl" w:hAnsi="FrankRuehl"/>
          <w:rtl w:val="true"/>
        </w:rPr>
        <w:t>–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166</w:t>
      </w:r>
      <w:r>
        <w:rPr>
          <w:rtl w:val="true"/>
        </w:rPr>
        <w:t xml:space="preserve">, </w:t>
      </w:r>
      <w:r>
        <w:rPr/>
        <w:t>170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בנסיבות העניין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טוען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 xml:space="preserve">כי לא </w:t>
      </w:r>
      <w:r>
        <w:rPr>
          <w:rtl w:val="true"/>
        </w:rPr>
        <w:t>התגבשה</w:t>
      </w:r>
      <w:r>
        <w:rPr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מאחר ש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גמר</w:t>
      </w:r>
      <w:r>
        <w:rPr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 </w:t>
      </w:r>
      <w:r>
        <w:rPr>
          <w:rtl w:val="true"/>
        </w:rPr>
        <w:t>מבעוד</w:t>
      </w:r>
      <w:r>
        <w:rPr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 xml:space="preserve">בשלב בו </w:t>
      </w:r>
      <w:r>
        <w:rPr>
          <w:rtl w:val="true"/>
        </w:rPr>
        <w:t>הלך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 </w:t>
      </w:r>
      <w:r>
        <w:rPr>
          <w:rtl w:val="true"/>
        </w:rPr>
        <w:t>והצטייד</w:t>
      </w:r>
      <w:r>
        <w:rPr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שאז התכוון רק להתחמש בכלי נשק לצורך הגנה עצמית</w:t>
      </w:r>
      <w:r>
        <w:rPr>
          <w:rtl w:val="true"/>
        </w:rPr>
        <w:t xml:space="preserve">, </w:t>
      </w:r>
      <w:r>
        <w:rPr>
          <w:rtl w:val="true"/>
        </w:rPr>
        <w:t xml:space="preserve">ואולי אף לפצוע את המנוח </w:t>
      </w:r>
      <w:r>
        <w:rPr>
          <w:rtl w:val="true"/>
        </w:rPr>
        <w:t>(</w:t>
      </w:r>
      <w:r>
        <w:rPr>
          <w:rtl w:val="true"/>
        </w:rPr>
        <w:t>אך לא להמיתו</w:t>
      </w:r>
      <w:r>
        <w:rPr>
          <w:rtl w:val="true"/>
        </w:rPr>
        <w:t xml:space="preserve">). </w:t>
      </w:r>
      <w:r>
        <w:rPr>
          <w:rtl w:val="true"/>
        </w:rPr>
        <w:t>בנימוקי הערעור נטען כי</w:t>
      </w:r>
      <w:r>
        <w:rPr>
          <w:rtl w:val="true"/>
        </w:rPr>
        <w:t>:</w:t>
      </w:r>
    </w:p>
    <w:p>
      <w:pPr>
        <w:pStyle w:val="Style16"/>
        <w:keepNext w:val="true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ומצויד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softHyphen/>
        <w:t>–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ומשהתלהטה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התגרה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שכרותו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ומיקומיהן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קטילה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שהתגבשה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לכתחילה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).</w:t>
      </w:r>
    </w:p>
    <w:p>
      <w:pPr>
        <w:pStyle w:val="Style14"/>
        <w:ind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 xml:space="preserve">יש </w:t>
      </w:r>
      <w:r>
        <w:rPr>
          <w:rtl w:val="true"/>
        </w:rPr>
        <w:t>"</w:t>
      </w:r>
      <w:r>
        <w:rPr>
          <w:rtl w:val="true"/>
        </w:rPr>
        <w:t>להרשיע את המערער בעבירת הרצח הבסיסית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לנימוקי הערעור</w:t>
      </w:r>
      <w:r>
        <w:rPr>
          <w:rtl w:val="true"/>
        </w:rPr>
        <w:t>)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טענה זו אין בידי לקבל</w:t>
      </w:r>
      <w:r>
        <w:rPr>
          <w:rtl w:val="true"/>
        </w:rPr>
        <w:t xml:space="preserve">, </w:t>
      </w:r>
      <w:r>
        <w:rPr>
          <w:rtl w:val="true"/>
        </w:rPr>
        <w:t>בהיותה סותרת את ממצאי העובדה שנקבעו על ידי בית המשפט המחוזי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כחלק מתוכניתו להמית את המנוח</w:t>
      </w:r>
      <w:r>
        <w:rPr>
          <w:rtl w:val="true"/>
        </w:rPr>
        <w:t xml:space="preserve">, </w:t>
      </w:r>
      <w:r>
        <w:rPr>
          <w:rtl w:val="true"/>
        </w:rPr>
        <w:t xml:space="preserve">הצטייד המערער בסכין שאורך להבה </w:t>
      </w:r>
      <w:r>
        <w:rPr/>
        <w:t>8.7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–</w:t>
      </w:r>
      <w:r>
        <w:rPr>
          <w:rtl w:val="true"/>
        </w:rPr>
        <w:t xml:space="preserve"> ולשם כך טרח המערער והלך לביתו</w:t>
      </w:r>
      <w:r>
        <w:rPr>
          <w:rtl w:val="true"/>
        </w:rPr>
        <w:t xml:space="preserve">, </w:t>
      </w:r>
      <w:r>
        <w:rPr>
          <w:rtl w:val="true"/>
        </w:rPr>
        <w:t>מרחק של כ</w:t>
      </w:r>
      <w:r>
        <w:rPr>
          <w:rtl w:val="true"/>
        </w:rPr>
        <w:t>-</w:t>
      </w:r>
      <w:r>
        <w:rPr/>
        <w:t>900</w:t>
      </w:r>
      <w:r>
        <w:rPr>
          <w:rtl w:val="true"/>
        </w:rPr>
        <w:t xml:space="preserve"> </w:t>
      </w:r>
      <w:r>
        <w:rPr>
          <w:rtl w:val="true"/>
        </w:rPr>
        <w:t>מטרים מהבר</w:t>
      </w:r>
      <w:r>
        <w:rPr>
          <w:rtl w:val="true"/>
        </w:rPr>
        <w:t xml:space="preserve">, </w:t>
      </w:r>
      <w:r>
        <w:rPr>
          <w:rtl w:val="true"/>
        </w:rPr>
        <w:t>העיר את שותפו לדירה כדי שיאמר לו היכן נמצאת הסכין</w:t>
      </w:r>
      <w:r>
        <w:rPr>
          <w:rtl w:val="true"/>
        </w:rPr>
        <w:t xml:space="preserve">, </w:t>
      </w:r>
      <w:r>
        <w:rPr>
          <w:rtl w:val="true"/>
        </w:rPr>
        <w:t>טיפס על כיסא ונטלה ממקום מחבואה מעל לארון הבגדים</w:t>
      </w:r>
      <w:r>
        <w:rPr>
          <w:rtl w:val="true"/>
        </w:rPr>
        <w:t xml:space="preserve">, </w:t>
      </w:r>
      <w:r>
        <w:rPr>
          <w:rtl w:val="true"/>
        </w:rPr>
        <w:t>ולאחר מכן טרח והלך כל הדרך חזרה לבר</w:t>
      </w:r>
      <w:r>
        <w:rPr>
          <w:rtl w:val="true"/>
        </w:rPr>
        <w:t>-</w:t>
      </w:r>
      <w:r>
        <w:rPr>
          <w:rtl w:val="true"/>
        </w:rPr>
        <w:t xml:space="preserve">קפה </w:t>
      </w:r>
      <w:r>
        <w:rPr>
          <w:rtl w:val="true"/>
        </w:rPr>
        <w:t>–</w:t>
      </w:r>
      <w:r>
        <w:rPr>
          <w:rtl w:val="true"/>
        </w:rPr>
        <w:t xml:space="preserve"> וכל זאת באשמורת אחרונה של הלילה</w:t>
      </w:r>
      <w:r>
        <w:rPr>
          <w:rtl w:val="true"/>
        </w:rPr>
        <w:t xml:space="preserve">. </w:t>
      </w:r>
      <w:r>
        <w:rPr>
          <w:rtl w:val="true"/>
        </w:rPr>
        <w:t>שרשרת פעולות זו</w:t>
      </w:r>
      <w:r>
        <w:rPr>
          <w:rtl w:val="true"/>
        </w:rPr>
        <w:t xml:space="preserve">, </w:t>
      </w:r>
      <w:r>
        <w:rPr>
          <w:rtl w:val="true"/>
        </w:rPr>
        <w:t>שדרשה מהמערער זמן ומאמץ</w:t>
      </w:r>
      <w:r>
        <w:rPr>
          <w:rtl w:val="true"/>
        </w:rPr>
        <w:t xml:space="preserve">, </w:t>
      </w:r>
      <w:r>
        <w:rPr>
          <w:rtl w:val="true"/>
        </w:rPr>
        <w:t xml:space="preserve">עולה בוודאי כדי </w:t>
      </w:r>
      <w:r>
        <w:rPr>
          <w:rtl w:val="true"/>
        </w:rPr>
        <w:t>"</w:t>
      </w:r>
      <w:r>
        <w:rPr>
          <w:rtl w:val="true"/>
        </w:rPr>
        <w:t>תכנון</w:t>
      </w:r>
      <w:r>
        <w:rPr>
          <w:rtl w:val="true"/>
        </w:rPr>
        <w:t xml:space="preserve">" </w:t>
      </w:r>
      <w:r>
        <w:rPr>
          <w:rtl w:val="true"/>
        </w:rPr>
        <w:t xml:space="preserve">כמובנו </w:t>
      </w:r>
      <w:hyperlink r:id="rId5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מספר הדקירות אשר כוונו כולן לפלג גופו העליון של המנוח</w:t>
      </w:r>
      <w:r>
        <w:rPr>
          <w:rtl w:val="true"/>
        </w:rPr>
        <w:t xml:space="preserve">, </w:t>
      </w:r>
      <w:r>
        <w:rPr>
          <w:rtl w:val="true"/>
        </w:rPr>
        <w:t xml:space="preserve">מהן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מעיד אף הוא על מידת ההחלטיות והנחישות של המערער בתוכניתו להמית את המנוח</w:t>
      </w:r>
      <w:r>
        <w:rPr>
          <w:rtl w:val="true"/>
        </w:rPr>
        <w:t xml:space="preserve">, </w:t>
      </w:r>
      <w:r>
        <w:rPr>
          <w:rtl w:val="true"/>
        </w:rPr>
        <w:t>לאחר שהצטייד בסכין לשם הוצאתה מהכוח אל הפועל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העובדה שהמערער החל לדקור את המנוח כמעט מיד עם הגיעו חזרה לבר </w:t>
      </w:r>
      <w:r>
        <w:rPr>
          <w:rtl w:val="true"/>
        </w:rPr>
        <w:t>(</w:t>
      </w:r>
      <w:r>
        <w:rPr>
          <w:rtl w:val="true"/>
        </w:rPr>
        <w:t>כאשר חלף פרק זמן של פחות מדקה וחצי מאז שתועד במצלמות האבטחה כשהוא נכנס חזרה ועד שהחלה הקטטה בפתח הבר</w:t>
      </w:r>
      <w:r>
        <w:rPr>
          <w:rtl w:val="true"/>
        </w:rPr>
        <w:t xml:space="preserve">), </w:t>
      </w:r>
      <w:r>
        <w:rPr>
          <w:rtl w:val="true"/>
        </w:rPr>
        <w:t>מחזקת אף היא את המסקנה שהמערער תכנן את המעשה מראש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יתירה מזו</w:t>
      </w:r>
      <w:r>
        <w:rPr>
          <w:rtl w:val="true"/>
        </w:rPr>
        <w:t xml:space="preserve">, </w:t>
      </w:r>
      <w:r>
        <w:rPr>
          <w:rtl w:val="true"/>
        </w:rPr>
        <w:t>חלף זמן רב מאז הוויכוח בינו לבין המנוח</w:t>
      </w:r>
      <w:r>
        <w:rPr>
          <w:rtl w:val="true"/>
        </w:rPr>
        <w:t xml:space="preserve">, </w:t>
      </w:r>
      <w:r>
        <w:rPr>
          <w:rtl w:val="true"/>
        </w:rPr>
        <w:t>אולם המערער לא המתין לראות האם המנוח ישוב להתעמת אתו</w:t>
      </w:r>
      <w:r>
        <w:rPr>
          <w:rtl w:val="true"/>
        </w:rPr>
        <w:t xml:space="preserve">, </w:t>
      </w:r>
      <w:r>
        <w:rPr>
          <w:rtl w:val="true"/>
        </w:rPr>
        <w:t>אלא ביצע מיד את זממו</w:t>
      </w:r>
      <w:r>
        <w:rPr>
          <w:rtl w:val="true"/>
        </w:rPr>
        <w:t xml:space="preserve">. </w:t>
      </w:r>
      <w:r>
        <w:rPr>
          <w:rtl w:val="true"/>
        </w:rPr>
        <w:t xml:space="preserve">התנהגותו זו שוללת את טענתו לפיה </w:t>
      </w:r>
      <w:r>
        <w:rPr>
          <w:rtl w:val="true"/>
        </w:rPr>
        <w:t>הצטייד</w:t>
      </w:r>
      <w:r>
        <w:rPr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השהות הרבה שהייתה בידי המערער לחזור בו מתוכניתו</w:t>
      </w:r>
      <w:r>
        <w:rPr>
          <w:rtl w:val="true"/>
        </w:rPr>
        <w:t xml:space="preserve">, </w:t>
      </w:r>
      <w:r>
        <w:rPr>
          <w:rtl w:val="true"/>
        </w:rPr>
        <w:t>בעת שצעד מהבר אל ביתו ובחזרה לבר על מנת להצטייד בסכין לצורך מימוש תוכניתו</w:t>
      </w:r>
      <w:r>
        <w:rPr>
          <w:rtl w:val="true"/>
        </w:rPr>
        <w:t xml:space="preserve">, </w:t>
      </w:r>
      <w:r>
        <w:rPr>
          <w:rtl w:val="true"/>
        </w:rPr>
        <w:t xml:space="preserve">מצביעה על כך שהמערער קיים בינו לבין עצמו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 </w:t>
      </w:r>
      <w:r>
        <w:rPr>
          <w:rtl w:val="true"/>
        </w:rPr>
        <w:t>וגיבוש</w:t>
      </w:r>
      <w:r>
        <w:rPr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 את המנוח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 </w:t>
      </w:r>
      <w:r>
        <w:rPr>
          <w:rtl w:val="true"/>
        </w:rPr>
        <w:t xml:space="preserve">אפוא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החלטת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 </w:t>
      </w:r>
      <w:r>
        <w:rPr>
          <w:rtl w:val="true"/>
        </w:rPr>
        <w:t>נוצרה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 </w:t>
      </w:r>
      <w:r>
        <w:rPr>
          <w:rtl w:val="true"/>
        </w:rPr>
        <w:t>ובלהט</w:t>
      </w:r>
      <w:r>
        <w:rPr>
          <w:rtl w:val="true"/>
        </w:rPr>
        <w:t xml:space="preserve"> </w:t>
      </w:r>
      <w:r>
        <w:rPr>
          <w:rtl w:val="true"/>
        </w:rPr>
        <w:t>הרגע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tl w:val="true"/>
        </w:rPr>
        <w:t xml:space="preserve"> </w:t>
      </w:r>
      <w:r>
        <w:rPr>
          <w:rtl w:val="true"/>
        </w:rPr>
        <w:t>הצעת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אלא כי זו נתקבלה תוך הפעלת שיקול דעת מצדו</w:t>
      </w:r>
      <w:r>
        <w:rPr>
          <w:rtl w:val="true"/>
        </w:rPr>
        <w:t xml:space="preserve">. </w:t>
      </w:r>
    </w:p>
    <w:p>
      <w:pPr>
        <w:pStyle w:val="Style14"/>
        <w:keepNext w:val="true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יוער כי על חשיבותו הרבה של חלוף הזמן כשלעצמו ניתן ללמוד גם מעמידתה הדווקנית של הפסיקה על דרישת המיידיות או התכיפות של מעשה ההמתה במקרים בו נטען לקנטור</w:t>
      </w:r>
      <w:r>
        <w:rPr>
          <w:rtl w:val="true"/>
        </w:rPr>
        <w:t>:</w:t>
      </w:r>
    </w:p>
    <w:p>
      <w:pPr>
        <w:pStyle w:val="Style16"/>
        <w:keepNext w:val="true"/>
        <w:ind w:end="1276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, </w:t>
      </w:r>
      <w:r>
        <w:rPr>
          <w:rtl w:val="true"/>
        </w:rPr>
        <w:t>הפריד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להתקרר</w:t>
      </w:r>
      <w:r>
        <w:rPr>
          <w:rtl w:val="true"/>
        </w:rPr>
        <w:t xml:space="preserve">',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להתקררות</w:t>
      </w:r>
      <w:r>
        <w:rPr>
          <w:rtl w:val="true"/>
        </w:rPr>
        <w:t xml:space="preserve">',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</w:t>
      </w:r>
      <w:r>
        <w:rPr>
          <w:rtl w:val="true"/>
        </w:rPr>
        <w:t xml:space="preserve">...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לקינטור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ויישוב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..." (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396/69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</w:t>
      </w:r>
      <w:r>
        <w:rPr>
          <w:rFonts w:eastAsia="Arial TUR;Arial" w:cs="Arial TUR;Arial"/>
          <w:rtl w:val="true"/>
        </w:rPr>
        <w:t xml:space="preserve"> </w:t>
      </w:r>
      <w:r>
        <w:rPr/>
        <w:t>561</w:t>
      </w:r>
      <w:r>
        <w:rPr>
          <w:rtl w:val="true"/>
        </w:rPr>
        <w:t xml:space="preserve">, </w:t>
      </w:r>
      <w:r>
        <w:rPr/>
        <w:t>581</w:t>
      </w:r>
      <w:r>
        <w:rPr>
          <w:rFonts w:ascii="FrankRuehl" w:hAnsi="FrankRuehl"/>
          <w:rtl w:val="true"/>
        </w:rPr>
        <w:t>–</w:t>
      </w:r>
      <w:r>
        <w:rPr/>
        <w:t>582</w:t>
      </w:r>
      <w:r>
        <w:rPr>
          <w:rtl w:val="true"/>
        </w:rPr>
        <w:t xml:space="preserve"> (</w:t>
      </w:r>
      <w:r>
        <w:rPr/>
        <w:t>1970</w:t>
      </w:r>
      <w:r>
        <w:rPr>
          <w:rtl w:val="true"/>
        </w:rPr>
        <w:t>)).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כעולה מהראיות</w:t>
      </w:r>
      <w:r>
        <w:rPr>
          <w:rtl w:val="true"/>
        </w:rPr>
        <w:t xml:space="preserve">, </w:t>
      </w:r>
      <w:r>
        <w:rPr>
          <w:rtl w:val="true"/>
        </w:rPr>
        <w:t>לאחר ששב לביתו</w:t>
      </w:r>
      <w:r>
        <w:rPr>
          <w:rtl w:val="true"/>
        </w:rPr>
        <w:t xml:space="preserve">, </w:t>
      </w:r>
      <w:r>
        <w:rPr>
          <w:rtl w:val="true"/>
        </w:rPr>
        <w:t>שטף המערער את הסכין המגואלת בדם והחליף את חולצתו המוכתמת בדם המנוח</w:t>
      </w:r>
      <w:r>
        <w:rPr>
          <w:rtl w:val="true"/>
        </w:rPr>
        <w:t xml:space="preserve">. </w:t>
      </w:r>
      <w:r>
        <w:rPr>
          <w:rtl w:val="true"/>
        </w:rPr>
        <w:t>מעשים אלו</w:t>
      </w:r>
      <w:r>
        <w:rPr>
          <w:rtl w:val="true"/>
        </w:rPr>
        <w:t xml:space="preserve">, </w:t>
      </w:r>
      <w:r>
        <w:rPr>
          <w:rtl w:val="true"/>
        </w:rPr>
        <w:t>בגינם הורשע בעבירה של שיבוש מהלכי משפט</w:t>
      </w:r>
      <w:r>
        <w:rPr>
          <w:rtl w:val="true"/>
        </w:rPr>
        <w:t xml:space="preserve">, </w:t>
      </w:r>
      <w:r>
        <w:rPr>
          <w:rtl w:val="true"/>
        </w:rPr>
        <w:t xml:space="preserve">מלמדים גם הם כי המערער </w:t>
      </w:r>
      <w:r>
        <w:rPr>
          <w:rtl w:val="true"/>
        </w:rPr>
        <w:t>פעל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ו</w:t>
      </w:r>
      <w:r>
        <w:rPr>
          <w:rtl w:val="true"/>
        </w:rPr>
        <w:t>כנית</w:t>
      </w:r>
      <w:r>
        <w:rPr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 ותוך הפעלת שיקול דעת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 xml:space="preserve">כי נוסח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 xml:space="preserve">המעשה נעשה לאחר תכנון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tl w:val="true"/>
        </w:rPr>
        <w:t xml:space="preserve"> לאחר הליך ממשי של שקילה וגיבוש החלטה להמית</w:t>
      </w:r>
      <w:r>
        <w:rPr>
          <w:rtl w:val="true"/>
        </w:rPr>
        <w:t>" (</w:t>
      </w:r>
      <w:r>
        <w:rPr>
          <w:rtl w:val="true"/>
        </w:rPr>
        <w:t xml:space="preserve">ההדגשה הוספה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)) </w:t>
      </w:r>
      <w:r>
        <w:rPr>
          <w:rtl w:val="true"/>
        </w:rPr>
        <w:t xml:space="preserve">מציג שתי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חלופיות</w:t>
      </w:r>
      <w:r>
        <w:rPr>
          <w:rtl w:val="true"/>
        </w:rPr>
        <w:t xml:space="preserve">, </w:t>
      </w:r>
      <w:r>
        <w:rPr>
          <w:rtl w:val="true"/>
        </w:rPr>
        <w:t>ולא מצטברות</w:t>
      </w:r>
      <w:r>
        <w:rPr>
          <w:rtl w:val="true"/>
        </w:rPr>
        <w:t xml:space="preserve">, </w:t>
      </w:r>
      <w:r>
        <w:rPr>
          <w:rtl w:val="true"/>
        </w:rPr>
        <w:t>אשר די בהתקיימות אחת מהן כדי להרשיע נאשם בעבירה של רצח בנסיבות מחמירות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 דנן</w:t>
      </w:r>
      <w:r>
        <w:rPr>
          <w:rtl w:val="true"/>
        </w:rPr>
        <w:t xml:space="preserve">, </w:t>
      </w:r>
      <w:r>
        <w:rPr>
          <w:rtl w:val="true"/>
        </w:rPr>
        <w:t xml:space="preserve">מתקיימות שתי החלופות </w:t>
      </w:r>
      <w:r>
        <w:rPr>
          <w:rtl w:val="true"/>
        </w:rPr>
        <w:t>–</w:t>
      </w:r>
      <w:r>
        <w:rPr>
          <w:rtl w:val="true"/>
        </w:rPr>
        <w:t xml:space="preserve"> שכן התשתית העובדתית שפרשה המשיבה בבית המשפט המחוזי</w:t>
      </w:r>
      <w:r>
        <w:rPr>
          <w:rtl w:val="true"/>
        </w:rPr>
        <w:t xml:space="preserve">, </w:t>
      </w:r>
      <w:r>
        <w:rPr>
          <w:rtl w:val="true"/>
        </w:rPr>
        <w:t>כפי שתוארה לעיל</w:t>
      </w:r>
      <w:r>
        <w:rPr>
          <w:rtl w:val="true"/>
        </w:rPr>
        <w:t xml:space="preserve">, </w:t>
      </w:r>
      <w:r>
        <w:rPr>
          <w:rtl w:val="true"/>
        </w:rPr>
        <w:t xml:space="preserve">מלמדת כי המעשה נעשה </w:t>
      </w:r>
      <w:r>
        <w:rPr>
          <w:rtl w:val="true"/>
        </w:rPr>
        <w:t>"</w:t>
      </w:r>
      <w:r>
        <w:rPr>
          <w:rtl w:val="true"/>
        </w:rPr>
        <w:t>לאחר תכנון</w:t>
      </w:r>
      <w:r>
        <w:rPr>
          <w:rtl w:val="true"/>
        </w:rPr>
        <w:t xml:space="preserve">" </w:t>
      </w:r>
      <w:r>
        <w:rPr>
          <w:rtl w:val="true"/>
        </w:rPr>
        <w:t xml:space="preserve">להמית את המנוח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וגם</w:t>
      </w:r>
      <w:r>
        <w:rPr>
          <w:rtl w:val="true"/>
        </w:rPr>
        <w:t xml:space="preserve"> כי המיתו </w:t>
      </w:r>
      <w:r>
        <w:rPr>
          <w:rtl w:val="true"/>
        </w:rPr>
        <w:t>"</w:t>
      </w:r>
      <w:r>
        <w:rPr>
          <w:rtl w:val="true"/>
        </w:rPr>
        <w:t>לאחר הליך ממשי של שקילה</w:t>
      </w:r>
      <w:r>
        <w:rPr>
          <w:rtl w:val="true"/>
        </w:rPr>
        <w:t xml:space="preserve">", </w:t>
      </w:r>
      <w:r>
        <w:rPr>
          <w:rtl w:val="true"/>
        </w:rPr>
        <w:t>כלשון הסעיף</w:t>
      </w:r>
      <w:r>
        <w:rPr>
          <w:rtl w:val="true"/>
        </w:rPr>
        <w:t xml:space="preserve">, </w:t>
      </w:r>
      <w:r>
        <w:rPr>
          <w:rtl w:val="true"/>
        </w:rPr>
        <w:t>בינו לבין עצמו את המעשה ותוצאותיו</w:t>
      </w:r>
      <w:r>
        <w:rPr>
          <w:rtl w:val="true"/>
        </w:rPr>
        <w:t xml:space="preserve">, </w:t>
      </w:r>
      <w:r>
        <w:rPr>
          <w:rtl w:val="true"/>
        </w:rPr>
        <w:t>עד שנתגבשה אצלו ההחלטה לעשות כן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>
          <w:spacing w:val="14"/>
        </w:rPr>
      </w:pPr>
      <w:r>
        <w:rPr>
          <w:spacing w:val="14"/>
          <w:rtl w:val="true"/>
        </w:rPr>
        <w:t>המערער טען</w:t>
      </w:r>
      <w:r>
        <w:rPr>
          <w:spacing w:val="14"/>
          <w:rtl w:val="true"/>
        </w:rPr>
        <w:t xml:space="preserve">, </w:t>
      </w:r>
      <w:r>
        <w:rPr>
          <w:spacing w:val="14"/>
          <w:rtl w:val="true"/>
        </w:rPr>
        <w:t>כזכור</w:t>
      </w:r>
      <w:r>
        <w:rPr>
          <w:spacing w:val="14"/>
          <w:rtl w:val="true"/>
        </w:rPr>
        <w:t xml:space="preserve">, </w:t>
      </w:r>
      <w:r>
        <w:rPr>
          <w:spacing w:val="14"/>
          <w:rtl w:val="true"/>
        </w:rPr>
        <w:t>כי שכרותו</w:t>
      </w:r>
      <w:r>
        <w:rPr>
          <w:spacing w:val="14"/>
          <w:rtl w:val="true"/>
        </w:rPr>
        <w:t xml:space="preserve">, </w:t>
      </w:r>
      <w:r>
        <w:rPr>
          <w:spacing w:val="14"/>
          <w:rtl w:val="true"/>
        </w:rPr>
        <w:t xml:space="preserve">שאינה מגעת כדי סייג השכרות הקבוע </w:t>
      </w:r>
      <w:hyperlink r:id="rId59">
        <w:r>
          <w:rPr>
            <w:rStyle w:val="Hyperlink"/>
            <w:spacing w:val="14"/>
            <w:rtl w:val="true"/>
          </w:rPr>
          <w:t>בסעיף</w:t>
        </w:r>
        <w:r>
          <w:rPr>
            <w:rStyle w:val="Hyperlink"/>
            <w:spacing w:val="14"/>
            <w:rtl w:val="true"/>
          </w:rPr>
          <w:t xml:space="preserve"> </w:t>
        </w:r>
        <w:r>
          <w:rPr>
            <w:rStyle w:val="Hyperlink"/>
            <w:spacing w:val="14"/>
          </w:rPr>
          <w:t>34</w:t>
        </w:r>
        <w:r>
          <w:rPr>
            <w:rStyle w:val="Hyperlink"/>
            <w:spacing w:val="14"/>
            <w:rtl w:val="true"/>
          </w:rPr>
          <w:t>ט</w:t>
        </w:r>
      </w:hyperlink>
      <w:r>
        <w:rPr>
          <w:spacing w:val="14"/>
          <w:rtl w:val="true"/>
        </w:rPr>
        <w:t xml:space="preserve"> ל</w:t>
      </w:r>
      <w:hyperlink r:id="rId60">
        <w:r>
          <w:rPr>
            <w:rStyle w:val="Hyperlink"/>
            <w:color w:val="0000FF"/>
            <w:spacing w:val="14"/>
            <w:u w:val="single"/>
            <w:rtl w:val="true"/>
          </w:rPr>
          <w:t>חוק</w:t>
        </w:r>
        <w:r>
          <w:rPr>
            <w:rStyle w:val="Hyperlink"/>
            <w:color w:val="0000FF"/>
            <w:spacing w:val="14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4"/>
            <w:u w:val="single"/>
            <w:rtl w:val="true"/>
          </w:rPr>
          <w:t>העונשין</w:t>
        </w:r>
      </w:hyperlink>
      <w:r>
        <w:rPr>
          <w:spacing w:val="14"/>
          <w:rtl w:val="true"/>
        </w:rPr>
        <w:t xml:space="preserve">, </w:t>
      </w:r>
      <w:r>
        <w:rPr>
          <w:spacing w:val="14"/>
          <w:rtl w:val="true"/>
        </w:rPr>
        <w:t>מעידה כי לא גיבש תוכנית סדורה להצטייד בסכין למטרת רצח המנוח</w:t>
      </w:r>
      <w:r>
        <w:rPr>
          <w:spacing w:val="14"/>
          <w:rtl w:val="true"/>
        </w:rPr>
        <w:t xml:space="preserve">, </w:t>
      </w:r>
      <w:r>
        <w:rPr>
          <w:spacing w:val="14"/>
          <w:rtl w:val="true"/>
        </w:rPr>
        <w:t xml:space="preserve">אלא פעל מתוך </w:t>
      </w:r>
      <w:r>
        <w:rPr>
          <w:spacing w:val="14"/>
          <w:rtl w:val="true"/>
        </w:rPr>
        <w:t>דחף</w:t>
      </w:r>
      <w:r>
        <w:rPr>
          <w:spacing w:val="14"/>
          <w:rtl w:val="true"/>
        </w:rPr>
        <w:t xml:space="preserve"> </w:t>
      </w:r>
      <w:r>
        <w:rPr>
          <w:spacing w:val="14"/>
          <w:rtl w:val="true"/>
        </w:rPr>
        <w:t>ספונטני</w:t>
      </w:r>
      <w:r>
        <w:rPr>
          <w:spacing w:val="14"/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איני מקבל טענה זו</w:t>
      </w:r>
      <w:r>
        <w:rPr>
          <w:rtl w:val="true"/>
        </w:rPr>
        <w:t xml:space="preserve">. </w:t>
      </w:r>
      <w:r>
        <w:rPr>
          <w:rtl w:val="true"/>
        </w:rPr>
        <w:t>צודקת המשיבה בכך שמדובר בטענה עובדתית אשר הוצגה באופן תיאורטי</w:t>
      </w:r>
      <w:r>
        <w:rPr>
          <w:rtl w:val="true"/>
        </w:rPr>
        <w:t xml:space="preserve">, </w:t>
      </w:r>
      <w:r>
        <w:rPr>
          <w:rtl w:val="true"/>
        </w:rPr>
        <w:t>ובלי שנתמכה בראיות כלשהן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טענה זו סותרת במפורש את ממצאי העובדה שנקבעו בהכרעת הדין</w:t>
      </w:r>
      <w:r>
        <w:rPr>
          <w:rtl w:val="true"/>
        </w:rPr>
        <w:t xml:space="preserve">, </w:t>
      </w:r>
      <w:r>
        <w:rPr>
          <w:rtl w:val="true"/>
        </w:rPr>
        <w:t>אשר על פיהם אף שהמערער שתה אלכוהול עובר לאירוע</w:t>
      </w:r>
      <w:r>
        <w:rPr>
          <w:rtl w:val="true"/>
        </w:rPr>
        <w:t xml:space="preserve">, </w:t>
      </w:r>
      <w:r>
        <w:rPr>
          <w:rtl w:val="true"/>
        </w:rPr>
        <w:t xml:space="preserve">הרי שהמשקאות לא השפיעו עליו במידה המעוררת ספק ביחס למודעותו בשעת מעשה לפרט מפרטי העבירה </w:t>
      </w:r>
      <w:r>
        <w:rPr>
          <w:rtl w:val="true"/>
        </w:rPr>
        <w:t>(</w:t>
      </w:r>
      <w:r>
        <w:rPr>
          <w:rtl w:val="true"/>
        </w:rPr>
        <w:t xml:space="preserve">כנדרש על פי תנאי 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או ליכולתו לגבש כוונה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קביעה זו נסמכה על כך שלא הוכחה הכמות המדויקת של המשקאות ששתה המערער באותו לילה</w:t>
      </w:r>
      <w:r>
        <w:rPr>
          <w:rtl w:val="true"/>
        </w:rPr>
        <w:t xml:space="preserve">, </w:t>
      </w:r>
      <w:r>
        <w:rPr>
          <w:rtl w:val="true"/>
        </w:rPr>
        <w:t>כאשר המערער מסר גרסה מתפתחת בעניין זה</w:t>
      </w:r>
      <w:r>
        <w:rPr>
          <w:rtl w:val="true"/>
        </w:rPr>
        <w:t xml:space="preserve">, </w:t>
      </w:r>
      <w:r>
        <w:rPr>
          <w:rtl w:val="true"/>
        </w:rPr>
        <w:t>בניסיון להקצין את הכמות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עדויותיהם של עדי ראיה</w:t>
      </w:r>
      <w:r>
        <w:rPr>
          <w:rtl w:val="true"/>
        </w:rPr>
        <w:t xml:space="preserve">; </w:t>
      </w:r>
      <w:r>
        <w:rPr>
          <w:rtl w:val="true"/>
        </w:rPr>
        <w:t>התיעוד ממצלמות האבטחה</w:t>
      </w:r>
      <w:r>
        <w:rPr>
          <w:rtl w:val="true"/>
        </w:rPr>
        <w:t xml:space="preserve">; </w:t>
      </w:r>
      <w:r>
        <w:rPr>
          <w:rtl w:val="true"/>
        </w:rPr>
        <w:t xml:space="preserve">ושרשרת המעשים שביצע המערער באותו לילה כחלק מתוכניתו </w:t>
      </w:r>
      <w:r>
        <w:rPr>
          <w:rtl w:val="true"/>
        </w:rPr>
        <w:t>(</w:t>
      </w:r>
      <w:r>
        <w:rPr>
          <w:rtl w:val="true"/>
        </w:rPr>
        <w:t>ההליכה לביתו</w:t>
      </w:r>
      <w:r>
        <w:rPr>
          <w:rtl w:val="true"/>
        </w:rPr>
        <w:t xml:space="preserve">, </w:t>
      </w:r>
      <w:r>
        <w:rPr>
          <w:rtl w:val="true"/>
        </w:rPr>
        <w:t>הצטיידות בסכין</w:t>
      </w:r>
      <w:r>
        <w:rPr>
          <w:rtl w:val="true"/>
        </w:rPr>
        <w:t xml:space="preserve">, </w:t>
      </w:r>
      <w:r>
        <w:rPr>
          <w:rtl w:val="true"/>
        </w:rPr>
        <w:t>השיבה לבר כשהוא שש אליי קרב ואף ניסיונו להעלים ראיות לאחר מעשה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מלמדים כולם על התנהגותו המחושבת</w:t>
      </w:r>
      <w:r>
        <w:rPr>
          <w:rtl w:val="true"/>
        </w:rPr>
        <w:t xml:space="preserve">, </w:t>
      </w:r>
      <w:r>
        <w:rPr>
          <w:rtl w:val="true"/>
        </w:rPr>
        <w:t>על תכנון המעשה ועל התושייה שנהג בה</w:t>
      </w:r>
      <w:r>
        <w:rPr>
          <w:rtl w:val="true"/>
        </w:rPr>
        <w:t xml:space="preserve">, </w:t>
      </w:r>
      <w:r>
        <w:rPr>
          <w:rtl w:val="true"/>
        </w:rPr>
        <w:t>באופן המחייב את המסקנה שהיה מודע היטב למעשיו</w:t>
      </w:r>
      <w:r>
        <w:rPr>
          <w:rtl w:val="true"/>
        </w:rPr>
        <w:t>.</w:t>
      </w:r>
    </w:p>
    <w:p>
      <w:pPr>
        <w:pStyle w:val="Style14"/>
        <w:ind w:end="0"/>
        <w:jc w:val="both"/>
        <w:rPr>
          <w:spacing w:val="14"/>
        </w:rPr>
      </w:pPr>
      <w:r>
        <w:rPr>
          <w:spacing w:val="14"/>
          <w:rtl w:val="true"/>
        </w:rPr>
        <w:tab/>
      </w:r>
      <w:r>
        <w:rPr>
          <w:spacing w:val="14"/>
          <w:rtl w:val="true"/>
        </w:rPr>
        <w:t>בקביעה עובדתית זו</w:t>
      </w:r>
      <w:r>
        <w:rPr>
          <w:spacing w:val="14"/>
          <w:rtl w:val="true"/>
        </w:rPr>
        <w:t xml:space="preserve">, </w:t>
      </w:r>
      <w:r>
        <w:rPr>
          <w:spacing w:val="14"/>
          <w:rtl w:val="true"/>
        </w:rPr>
        <w:t>לא ביקש המערער כי נתערב</w:t>
      </w:r>
      <w:r>
        <w:rPr>
          <w:spacing w:val="14"/>
          <w:rtl w:val="true"/>
        </w:rPr>
        <w:t xml:space="preserve">, </w:t>
      </w:r>
      <w:r>
        <w:rPr>
          <w:spacing w:val="14"/>
          <w:rtl w:val="true"/>
        </w:rPr>
        <w:t>ואף אין כל הצדקה כי נעשה כן</w:t>
      </w:r>
      <w:r>
        <w:rPr>
          <w:spacing w:val="14"/>
          <w:rtl w:val="true"/>
        </w:rPr>
        <w:t xml:space="preserve">.  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נטל הראיה להתקיימותו של סייג השכרות</w:t>
      </w:r>
      <w:r>
        <w:rPr>
          <w:rtl w:val="true"/>
        </w:rPr>
        <w:t xml:space="preserve">, </w:t>
      </w:r>
      <w:r>
        <w:rPr>
          <w:rtl w:val="true"/>
        </w:rPr>
        <w:t xml:space="preserve">או לטענת שכרות חלקית לפי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מוטל על הנאשם הטוען זאת להגנתו</w:t>
      </w:r>
      <w:r>
        <w:rPr>
          <w:rtl w:val="true"/>
        </w:rPr>
        <w:t xml:space="preserve">. </w:t>
      </w:r>
      <w:r>
        <w:rPr>
          <w:rtl w:val="true"/>
        </w:rPr>
        <w:t xml:space="preserve">עליו להוכיח כי </w:t>
      </w:r>
      <w:r>
        <w:rPr>
          <w:rtl w:val="true"/>
        </w:rPr>
        <w:t>התעורר</w:t>
      </w:r>
      <w:r>
        <w:rPr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 </w:t>
      </w:r>
      <w:r>
        <w:rPr>
          <w:rtl w:val="true"/>
        </w:rPr>
        <w:t>כי אכן פעל תחת השפעת חומר משכר בעת ביצוע העבירה</w:t>
      </w:r>
      <w:r>
        <w:rPr>
          <w:rtl w:val="true"/>
        </w:rPr>
        <w:t xml:space="preserve">; </w:t>
      </w:r>
      <w:r>
        <w:rPr>
          <w:rtl w:val="true"/>
        </w:rPr>
        <w:t>כי לא היה מודע לפרט מפרטי העבירה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לאפשרות גרימת המוות כמו גם לרצונו בגרימת התוצאה הקטלנית</w:t>
      </w:r>
      <w:r>
        <w:rPr>
          <w:rtl w:val="true"/>
        </w:rPr>
        <w:t xml:space="preserve">; </w:t>
      </w:r>
      <w:r>
        <w:rPr>
          <w:rtl w:val="true"/>
        </w:rPr>
        <w:t xml:space="preserve">וכי מתקיים קשר סיבתי בין צריכת האלכוהול לבין היעדר מודעותו כאמור </w:t>
      </w:r>
      <w:r>
        <w:rPr>
          <w:rtl w:val="true"/>
        </w:rPr>
        <w:t>(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</w:t>
      </w:r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9</w:t>
      </w:r>
      <w:r>
        <w:rPr>
          <w:rFonts w:cs="Times New Roman" w:ascii="Times New Roman" w:hAnsi="Times New Roman"/>
          <w:rtl w:val="true"/>
        </w:rPr>
        <w:t>–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לפסק דיני</w:t>
      </w:r>
      <w:r>
        <w:rPr>
          <w:rtl w:val="true"/>
        </w:rPr>
        <w:t xml:space="preserve">).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בנטל הוכחה זה לא עמד המערער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נדמה כי באת</w:t>
      </w:r>
      <w:r>
        <w:rPr>
          <w:rtl w:val="true"/>
        </w:rPr>
        <w:t>-</w:t>
      </w:r>
      <w:r>
        <w:rPr>
          <w:rtl w:val="true"/>
        </w:rPr>
        <w:t>כוח המערער הייתה מודעת לכך היטב</w:t>
      </w:r>
      <w:r>
        <w:rPr>
          <w:rtl w:val="true"/>
        </w:rPr>
        <w:t xml:space="preserve">, </w:t>
      </w:r>
      <w:r>
        <w:rPr>
          <w:rtl w:val="true"/>
        </w:rPr>
        <w:t>ועל כן לא ביקשה כי ייקבע שמתקיים בנסיבות העניין סייג השכרות או השכרות החלקית</w:t>
      </w:r>
      <w:r>
        <w:rPr>
          <w:rtl w:val="true"/>
        </w:rPr>
        <w:t xml:space="preserve">. </w:t>
      </w:r>
      <w:r>
        <w:rPr>
          <w:rtl w:val="true"/>
        </w:rPr>
        <w:t>תחת זאת</w:t>
      </w:r>
      <w:r>
        <w:rPr>
          <w:rtl w:val="true"/>
        </w:rPr>
        <w:t xml:space="preserve">, </w:t>
      </w:r>
      <w:r>
        <w:rPr>
          <w:rtl w:val="true"/>
        </w:rPr>
        <w:t>ביקשה כי נכיר במדרג נוסף של סייג השכרות</w:t>
      </w:r>
      <w:r>
        <w:rPr>
          <w:rtl w:val="true"/>
        </w:rPr>
        <w:t xml:space="preserve">, </w:t>
      </w:r>
      <w:r>
        <w:rPr>
          <w:rtl w:val="true"/>
        </w:rPr>
        <w:t xml:space="preserve">שאינו מגיע כדי סייג השכרות </w:t>
      </w:r>
      <w:hyperlink r:id="rId6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</w:hyperlink>
      <w:r>
        <w:rPr>
          <w:rtl w:val="true"/>
        </w:rPr>
        <w:t xml:space="preserve"> 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ואין בו כדי להוות</w:t>
      </w:r>
      <w:r>
        <w:rPr>
          <w:rtl w:val="true"/>
        </w:rPr>
        <w:t xml:space="preserve"> </w:t>
      </w:r>
      <w:r>
        <w:rPr>
          <w:rtl w:val="true"/>
        </w:rPr>
        <w:t>סייג</w:t>
      </w:r>
      <w:r>
        <w:rPr>
          <w:rtl w:val="true"/>
        </w:rPr>
        <w:t xml:space="preserve"> </w:t>
      </w:r>
      <w:r>
        <w:rPr>
          <w:rtl w:val="true"/>
        </w:rPr>
        <w:t>לאחריות</w:t>
      </w:r>
      <w:r>
        <w:rPr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אך יש בו כדי לקבוע כי מבצע העבירה לא תכנן את מעשיו או שקל את תוצאתם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מובן כי אין לקבל טענה זו</w:t>
      </w:r>
      <w:r>
        <w:rPr>
          <w:rtl w:val="true"/>
        </w:rPr>
        <w:t xml:space="preserve">, </w:t>
      </w:r>
      <w:r>
        <w:rPr>
          <w:rtl w:val="true"/>
        </w:rPr>
        <w:t>המבקשת ליצור מסלול העוקף את הדין</w:t>
      </w:r>
      <w:r>
        <w:rPr>
          <w:rtl w:val="true"/>
        </w:rPr>
        <w:t xml:space="preserve">. 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ה</w:t>
        </w:r>
      </w:hyperlink>
      <w:r>
        <w:rPr>
          <w:rtl w:val="true"/>
        </w:rPr>
        <w:t xml:space="preserve"> ל</w:t>
      </w:r>
      <w:hyperlink r:id="rId6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מורה כי </w:t>
      </w:r>
      <w:r>
        <w:rPr>
          <w:rtl w:val="true"/>
        </w:rPr>
        <w:t>"</w:t>
      </w:r>
      <w:r>
        <w:rPr>
          <w:rtl w:val="true"/>
        </w:rPr>
        <w:t>מלבד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 </w:t>
      </w:r>
      <w:r>
        <w:rPr>
          <w:rtl w:val="true"/>
        </w:rPr>
        <w:t>בחיקוק</w:t>
      </w:r>
      <w:r>
        <w:rPr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חזקה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שנעשה</w:t>
      </w:r>
      <w:r>
        <w:rPr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 </w:t>
      </w:r>
      <w:r>
        <w:rPr>
          <w:rtl w:val="true"/>
        </w:rPr>
        <w:t>סייג</w:t>
      </w:r>
      <w:r>
        <w:rPr>
          <w:rtl w:val="true"/>
        </w:rPr>
        <w:t xml:space="preserve"> </w:t>
      </w:r>
      <w:r>
        <w:rPr>
          <w:rtl w:val="true"/>
        </w:rPr>
        <w:t>לאחריות</w:t>
      </w:r>
      <w:r>
        <w:rPr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>"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הנטל להוכחת השכרות כסייג לאחריות פלילית</w:t>
      </w:r>
      <w:r>
        <w:rPr>
          <w:rtl w:val="true"/>
        </w:rPr>
        <w:t xml:space="preserve">, </w:t>
      </w:r>
      <w:r>
        <w:rPr>
          <w:rtl w:val="true"/>
        </w:rPr>
        <w:t>בהתאם לאמות המידה הקבועות בחלק הכללי ל</w:t>
      </w:r>
      <w:hyperlink r:id="rId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נותר כפי שהיה גם לאחר תיקון </w:t>
      </w:r>
      <w:r>
        <w:rPr/>
        <w:t>137</w:t>
      </w:r>
      <w:r>
        <w:rPr>
          <w:rtl w:val="true"/>
        </w:rPr>
        <w:t xml:space="preserve">; </w:t>
      </w:r>
      <w:r>
        <w:rPr>
          <w:rtl w:val="true"/>
        </w:rPr>
        <w:t>זאת להבדיל ממידת העונש</w:t>
      </w:r>
      <w:r>
        <w:rPr>
          <w:rtl w:val="true"/>
        </w:rPr>
        <w:t xml:space="preserve">, </w:t>
      </w:r>
      <w:r>
        <w:rPr>
          <w:rtl w:val="true"/>
        </w:rPr>
        <w:t xml:space="preserve">מקום בו הוכחה טענת שכרות כאמור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 xml:space="preserve">שעל פיו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שגרם</w:t>
      </w:r>
      <w:r>
        <w:rPr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ורואים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כמי</w:t>
      </w:r>
      <w:r>
        <w:rPr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7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tl w:val="true"/>
        </w:rPr>
        <w:t xml:space="preserve"> –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עשרים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תחת העונש של מאסר עולם הקבוע בצד עבירת הרצח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מסקנת הדברים היא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 xml:space="preserve">כי בדין קבע בית המשפט המחוזי שהמתת המנוח בידי המערער מקיימת את יסודות עבירת הרצח בנסיבות מחמירות לפי 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לנוכח העובדה ש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 xml:space="preserve">ההמתה </w:t>
      </w:r>
      <w:r>
        <w:rPr>
          <w:rtl w:val="true"/>
        </w:rPr>
        <w:t>נעשה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 </w:t>
      </w:r>
      <w:r>
        <w:rPr>
          <w:rtl w:val="true"/>
        </w:rPr>
        <w:t>מצד המערער ו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 </w:t>
      </w:r>
      <w:r>
        <w:rPr>
          <w:rtl w:val="true"/>
        </w:rPr>
        <w:t>וגיבוש</w:t>
      </w:r>
      <w:r>
        <w:rPr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 את המנוח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ייה</w:t>
      </w:r>
      <w:r>
        <w:rPr>
          <w:rtl w:val="true"/>
        </w:rPr>
        <w:t xml:space="preserve"> שיש להכריע בה</w:t>
      </w:r>
      <w:r>
        <w:rPr>
          <w:rtl w:val="true"/>
        </w:rPr>
        <w:t xml:space="preserve">, </w:t>
      </w:r>
      <w:r>
        <w:rPr>
          <w:rtl w:val="true"/>
        </w:rPr>
        <w:t xml:space="preserve">היא האם נתקיימו בעניינו של המערער דנן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גינן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 </w:t>
      </w:r>
      <w:r>
        <w:rPr>
          <w:rtl w:val="true"/>
        </w:rPr>
        <w:t>דרגת</w:t>
      </w:r>
      <w:r>
        <w:rPr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", </w:t>
      </w:r>
      <w:r>
        <w:rPr>
          <w:rtl w:val="true"/>
        </w:rPr>
        <w:t xml:space="preserve">כאמור </w:t>
      </w:r>
      <w:hyperlink r:id="rId7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כך שניתן להרשיעו בעבירת הרצח הבסיסית ולא בעבירה של רצח בנסיבות מחמירות</w:t>
      </w:r>
      <w:r>
        <w:rPr>
          <w:rtl w:val="true"/>
        </w:rPr>
        <w:t>?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לעניין זה המערער טען כי </w:t>
      </w:r>
      <w:r>
        <w:rPr>
          <w:rtl w:val="true"/>
        </w:rPr>
        <w:t>"</w:t>
      </w:r>
      <w:r>
        <w:rPr>
          <w:rtl w:val="true"/>
        </w:rPr>
        <w:t>הנסיבות המיוחדות</w:t>
      </w:r>
      <w:r>
        <w:rPr>
          <w:rtl w:val="true"/>
        </w:rPr>
        <w:t xml:space="preserve">" </w:t>
      </w:r>
      <w:r>
        <w:rPr>
          <w:rtl w:val="true"/>
        </w:rPr>
        <w:t>הן אותן נסיבות שמצדיקות לגישתו את הרשעתו בעבירת הרצח הבסיסית</w:t>
      </w:r>
      <w:r>
        <w:rPr>
          <w:rtl w:val="true"/>
        </w:rPr>
        <w:t xml:space="preserve">, </w:t>
      </w:r>
      <w:r>
        <w:rPr>
          <w:rtl w:val="true"/>
        </w:rPr>
        <w:t xml:space="preserve">קרי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מצבו התודעתי המעורפל מאלכוהול לאורך האירוע</w:t>
      </w:r>
      <w:r>
        <w:rPr>
          <w:rtl w:val="true"/>
        </w:rPr>
        <w:t xml:space="preserve">". 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אף טענה זו אין לקבל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לא בכדי נמנע המחוקק מלמנות בגדרו של 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 רשימת נסיבות שבהתקיימן תופחת דרגת אשמתו של מבצע עבירת הרצח</w:t>
      </w:r>
      <w:r>
        <w:rPr>
          <w:rtl w:val="true"/>
        </w:rPr>
        <w:t xml:space="preserve">, </w:t>
      </w:r>
      <w:r>
        <w:rPr>
          <w:rtl w:val="true"/>
        </w:rPr>
        <w:t>על אף היותה החמורה בספר החוקים</w:t>
      </w:r>
      <w:r>
        <w:rPr>
          <w:rtl w:val="true"/>
        </w:rPr>
        <w:t xml:space="preserve">. </w:t>
      </w:r>
      <w:r>
        <w:rPr>
          <w:rtl w:val="true"/>
        </w:rPr>
        <w:t>קשה לשער מראש את כל אותן נסיבות</w:t>
      </w:r>
      <w:r>
        <w:rPr>
          <w:rtl w:val="true"/>
        </w:rPr>
        <w:t xml:space="preserve">, </w:t>
      </w:r>
      <w:r>
        <w:rPr>
          <w:rtl w:val="true"/>
        </w:rPr>
        <w:t>ונכון הוא להשאיר שיקול דעת לבית המשפט להפחית מאשמת הנאשם במקרים המתאימים</w:t>
      </w:r>
      <w:r>
        <w:rPr>
          <w:rtl w:val="true"/>
        </w:rPr>
        <w:t xml:space="preserve">, </w:t>
      </w:r>
      <w:r>
        <w:rPr>
          <w:rtl w:val="true"/>
        </w:rPr>
        <w:t xml:space="preserve">בבחינת </w:t>
      </w:r>
      <w:r>
        <w:rPr>
          <w:rtl w:val="true"/>
        </w:rPr>
        <w:t>"</w:t>
      </w:r>
      <w:r>
        <w:rPr>
          <w:rtl w:val="true"/>
        </w:rPr>
        <w:t>פתח מילוט</w:t>
      </w:r>
      <w:r>
        <w:rPr>
          <w:rtl w:val="true"/>
        </w:rPr>
        <w:t xml:space="preserve">".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אך מובן הוא כי מדובר במקרים חריגים בלבד</w:t>
      </w:r>
      <w:r>
        <w:rPr>
          <w:rtl w:val="true"/>
        </w:rPr>
        <w:t xml:space="preserve">, </w:t>
      </w:r>
      <w:r>
        <w:rPr>
          <w:rtl w:val="true"/>
        </w:rPr>
        <w:t xml:space="preserve">מסקנה הנתמכת בכך שעל בית המשפט להצביע על הנימוקים המיוחדים שהביאו אותו להורות כן </w:t>
      </w:r>
      <w:r>
        <w:rPr>
          <w:rtl w:val="true"/>
        </w:rPr>
        <w:t>(</w:t>
      </w:r>
      <w:r>
        <w:rPr>
          <w:rtl w:val="true"/>
        </w:rPr>
        <w:t xml:space="preserve">וראו והשוו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15.1.2020</w:t>
      </w:r>
      <w:r>
        <w:rPr>
          <w:rtl w:val="true"/>
        </w:rPr>
        <w:t xml:space="preserve">)).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המשיבה טענה בפנינו</w:t>
      </w:r>
      <w:r>
        <w:rPr>
          <w:rtl w:val="true"/>
        </w:rPr>
        <w:t xml:space="preserve">, </w:t>
      </w:r>
      <w:r>
        <w:rPr>
          <w:rtl w:val="true"/>
        </w:rPr>
        <w:t>על סמך דברי ההסבר להצעת החוק</w:t>
      </w:r>
      <w:r>
        <w:rPr>
          <w:rtl w:val="true"/>
        </w:rPr>
        <w:t xml:space="preserve">, </w:t>
      </w:r>
      <w:r>
        <w:rPr>
          <w:rtl w:val="true"/>
        </w:rPr>
        <w:t>כי במקרים חריגים אלה נכללת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המתה מתוך חמלה</w:t>
      </w:r>
      <w:r>
        <w:rPr>
          <w:rtl w:val="true"/>
        </w:rPr>
        <w:t xml:space="preserve">;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 נראה כי מדובר ברשימה סגורה</w:t>
      </w:r>
      <w:r>
        <w:rPr>
          <w:rtl w:val="true"/>
        </w:rPr>
        <w:t xml:space="preserve">, </w:t>
      </w:r>
      <w:r>
        <w:rPr>
          <w:rtl w:val="true"/>
        </w:rPr>
        <w:t>אולם עניינו של המערער בוודאי אינו נמנה על מקרים חריגים אלו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יתירה מכך</w:t>
      </w:r>
      <w:r>
        <w:rPr>
          <w:rtl w:val="true"/>
        </w:rPr>
        <w:t xml:space="preserve">, 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</w:hyperlink>
      <w:r>
        <w:rPr>
          <w:rtl w:val="true"/>
        </w:rPr>
        <w:t xml:space="preserve"> ל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בשילוב עם </w:t>
      </w:r>
      <w:hyperlink r:id="rId8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שנחקק במסגרת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וקובע כאמור עונש מופחת למי שרואים אותו</w:t>
      </w:r>
      <w:r>
        <w:rPr>
          <w:rtl w:val="true"/>
        </w:rPr>
        <w:t xml:space="preserve">, </w:t>
      </w:r>
      <w:r>
        <w:rPr>
          <w:rtl w:val="true"/>
        </w:rPr>
        <w:t>בשל שכרותו</w:t>
      </w:r>
      <w:r>
        <w:rPr>
          <w:rtl w:val="true"/>
        </w:rPr>
        <w:t xml:space="preserve">, </w:t>
      </w:r>
      <w:r>
        <w:rPr>
          <w:rtl w:val="true"/>
        </w:rPr>
        <w:t xml:space="preserve">כמי שעשה את המעשה באדישות </w:t>
      </w:r>
      <w:r>
        <w:rPr>
          <w:rtl w:val="true"/>
        </w:rPr>
        <w:t>–</w:t>
      </w:r>
      <w:r>
        <w:rPr>
          <w:rtl w:val="true"/>
        </w:rPr>
        <w:t xml:space="preserve"> מהווים יחדיו הסדר ממצה באשר לאחריותו הפלילית של אדם שביצע את העבירה תחת השפעה מלאה או חלקית של חומר משכר</w:t>
      </w:r>
      <w:r>
        <w:rPr>
          <w:rtl w:val="true"/>
        </w:rPr>
        <w:t xml:space="preserve">, </w:t>
      </w:r>
      <w:r>
        <w:rPr>
          <w:rtl w:val="true"/>
        </w:rPr>
        <w:t>ובאשר למידת העונש הראויה לו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 לקבל אם כן את הטענה לפיה מי ששתה לשכרה טרם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ואינו נכנס בגדר סייג השכרות </w:t>
      </w:r>
      <w:r>
        <w:rPr>
          <w:rtl w:val="true"/>
        </w:rPr>
        <w:t>(</w:t>
      </w:r>
      <w:r>
        <w:rPr>
          <w:rtl w:val="true"/>
        </w:rPr>
        <w:t>לרבות שכרות חלקית</w:t>
      </w:r>
      <w:r>
        <w:rPr>
          <w:rtl w:val="true"/>
        </w:rPr>
        <w:t xml:space="preserve">), </w:t>
      </w:r>
      <w:r>
        <w:rPr>
          <w:rtl w:val="true"/>
        </w:rPr>
        <w:t>יזכה אף הוא להקלה בעונשו</w:t>
      </w:r>
      <w:r>
        <w:rPr>
          <w:rtl w:val="true"/>
        </w:rPr>
        <w:t xml:space="preserve">. </w:t>
      </w:r>
      <w:r>
        <w:rPr>
          <w:rtl w:val="true"/>
        </w:rPr>
        <w:t>לא לכך כיוון המחוקק בייחדו פתח צר להפחית ממידת עונשו של נאשם שביצע עבירת רצח</w:t>
      </w:r>
      <w:r>
        <w:rPr>
          <w:rtl w:val="true"/>
        </w:rPr>
        <w:t xml:space="preserve">, </w:t>
      </w:r>
      <w:r>
        <w:rPr>
          <w:rtl w:val="true"/>
        </w:rPr>
        <w:t>כאשר חזקה על המחוקק כי הוסיף לשוות לנגד עיניו את הערך העליון של קדושת חיי אדם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תוצאת מעשהו של המערער קשה וחמורה</w:t>
      </w:r>
      <w:r>
        <w:rPr>
          <w:rtl w:val="true"/>
        </w:rPr>
        <w:t xml:space="preserve">. </w:t>
      </w:r>
      <w:r>
        <w:rPr>
          <w:rtl w:val="true"/>
        </w:rPr>
        <w:t xml:space="preserve">חייו של המנוח </w:t>
      </w:r>
      <w:r>
        <w:rPr>
          <w:rtl w:val="true"/>
        </w:rPr>
        <w:t>–</w:t>
      </w:r>
      <w:r>
        <w:rPr>
          <w:rtl w:val="true"/>
        </w:rPr>
        <w:t xml:space="preserve"> אדם צעיר</w:t>
      </w:r>
      <w:r>
        <w:rPr>
          <w:rtl w:val="true"/>
        </w:rPr>
        <w:t xml:space="preserve">, </w:t>
      </w:r>
      <w:r>
        <w:rPr>
          <w:rtl w:val="true"/>
        </w:rPr>
        <w:t>נקטעו באיבם</w:t>
      </w:r>
      <w:r>
        <w:rPr>
          <w:rtl w:val="true"/>
        </w:rPr>
        <w:t xml:space="preserve">. </w:t>
      </w:r>
      <w:r>
        <w:rPr>
          <w:rtl w:val="true"/>
        </w:rPr>
        <w:t>מהראיות שהובאו לעונש בבית המשפט המחוזי מצטיירת תמונה קשה באשר ליגונם הכבד ולאבדן העמוק שחוו בני משפחת המנוח</w:t>
      </w:r>
      <w:r>
        <w:rPr>
          <w:rtl w:val="true"/>
        </w:rPr>
        <w:t xml:space="preserve">. </w:t>
      </w:r>
      <w:r>
        <w:rPr>
          <w:rtl w:val="true"/>
        </w:rPr>
        <w:t xml:space="preserve">וכל זאת </w:t>
      </w:r>
      <w:r>
        <w:rPr>
          <w:rtl w:val="true"/>
        </w:rPr>
        <w:t>–</w:t>
      </w:r>
      <w:r>
        <w:rPr>
          <w:rtl w:val="true"/>
        </w:rPr>
        <w:t xml:space="preserve"> על דבר של מה בכך</w:t>
      </w:r>
      <w:r>
        <w:rPr>
          <w:rtl w:val="true"/>
        </w:rPr>
        <w:t xml:space="preserve">, </w:t>
      </w:r>
      <w:r>
        <w:rPr>
          <w:rtl w:val="true"/>
        </w:rPr>
        <w:t>ויכוח סרק על המוסיקה שתתנגן בבר בשעה שבילו בו המערער והמנוח</w:t>
      </w:r>
      <w:r>
        <w:rPr>
          <w:rtl w:val="true"/>
        </w:rPr>
        <w:t xml:space="preserve">. </w:t>
      </w:r>
      <w:r>
        <w:rPr>
          <w:rtl w:val="true"/>
        </w:rPr>
        <w:t>בוודאי שאין נסיבותיו של מקרה זה מצדיקות השתת עונש חמור פחות מעונש של מאסר עולם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סיכומו של דבר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</w:t>
      </w:r>
      <w:r>
        <w:rPr>
          <w:rtl w:val="true"/>
        </w:rPr>
        <w:t xml:space="preserve">, </w:t>
      </w:r>
      <w:r>
        <w:rPr>
          <w:rtl w:val="true"/>
        </w:rPr>
        <w:t>ולהותיר את הרשעת המערער ואת העונש שנגזר עליו על כנם</w:t>
      </w:r>
      <w:r>
        <w:rPr>
          <w:rtl w:val="true"/>
        </w:rPr>
        <w:t xml:space="preserve">.  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1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19.4.2021</w:t>
      </w:r>
      <w:r>
        <w:rPr>
          <w:rtl w:val="true"/>
        </w:rPr>
        <w:t xml:space="preserve">). </w:t>
      </w:r>
      <w:bookmarkEnd w:id="21"/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19077220</w:t>
      </w:r>
      <w:r>
        <w:rPr>
          <w:sz w:val="16"/>
          <w:rtl w:val="true"/>
        </w:rPr>
        <w:t>_</w:t>
      </w:r>
      <w:r>
        <w:rPr>
          <w:sz w:val="16"/>
        </w:rPr>
        <w:t>J12.docx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1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54678313-7722/19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3"/>
      <w:footerReference w:type="default" r:id="rId8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7722/19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היילמייקל טספאי זרסנאי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FrankRuehl"/>
        <w:lang w:val="en-US" w:bidi="he-IL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Ruller4"/>
    <w:next w:val="Ruller41"/>
    <w:qFormat/>
    <w:pPr>
      <w:keepNext w:val="true"/>
      <w:numPr>
        <w:ilvl w:val="0"/>
        <w:numId w:val="1"/>
      </w:numPr>
      <w:spacing w:before="150" w:after="150"/>
      <w:jc w:val="start"/>
      <w:outlineLvl w:val="0"/>
    </w:pPr>
    <w:rPr>
      <w:rFonts w:ascii="Century" w:hAnsi="Century" w:cs="Miriam"/>
      <w:b/>
      <w:spacing w:val="0"/>
      <w:sz w:val="24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FrankRuehl"/>
      <w:lang w:val="en-US" w:bidi="he-IL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Style13">
    <w:name w:val="גופן_רגיל"/>
    <w:qFormat/>
    <w:rPr>
      <w:rFonts w:ascii="Garamond" w:hAnsi="Garamond" w:cs="Garamond"/>
      <w:sz w:val="24"/>
    </w:rPr>
  </w:style>
  <w:style w:type="character" w:styleId="-M">
    <w:name w:val="הדגשה-M"/>
    <w:qFormat/>
    <w:rPr>
      <w:rFonts w:ascii="Century" w:hAnsi="Century" w:cs="Miriam"/>
      <w:b/>
      <w:i w:val="false"/>
      <w:iCs w:val="false"/>
      <w:spacing w:val="0"/>
      <w:szCs w:val="24"/>
    </w:rPr>
  </w:style>
  <w:style w:type="character" w:styleId="Emphasis">
    <w:name w:val="Emphasis"/>
    <w:qFormat/>
    <w:rPr>
      <w:i/>
      <w:iCs/>
    </w:rPr>
  </w:style>
  <w:style w:type="character" w:styleId="QuoteChar">
    <w:name w:val="Quote Char"/>
    <w:qFormat/>
    <w:rPr>
      <w:rFonts w:cs="David"/>
      <w:i/>
      <w:iCs/>
      <w:color w:val="404040"/>
      <w:szCs w:val="24"/>
    </w:rPr>
  </w:style>
  <w:style w:type="character" w:styleId="CharChar3">
    <w:name w:val=" Char Char3"/>
    <w:qFormat/>
    <w:rPr>
      <w:rFonts w:ascii="Century" w:hAnsi="Century" w:cs="Miriam"/>
      <w:b/>
      <w:sz w:val="24"/>
      <w:szCs w:val="24"/>
    </w:rPr>
  </w:style>
  <w:style w:type="character" w:styleId="HTMLAcronym">
    <w:name w:val="HTML Acronym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/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3"/>
      </w:numPr>
    </w:pPr>
    <w:rPr/>
  </w:style>
  <w:style w:type="paragraph" w:styleId="Style14">
    <w:name w:val="פסקה לא ממוספרת"/>
    <w:basedOn w:val="Ruller4"/>
    <w:qFormat/>
    <w:pPr>
      <w:spacing w:before="0" w:after="420"/>
      <w:ind w:firstLine="799" w:start="0" w:end="0"/>
    </w:pPr>
    <w:rPr>
      <w:rFonts w:ascii="Garamond" w:hAnsi="Garamond" w:cs="Garamond"/>
      <w:sz w:val="24"/>
    </w:rPr>
  </w:style>
  <w:style w:type="paragraph" w:styleId="Style15">
    <w:name w:val="פסקה ממוספרת"/>
    <w:basedOn w:val="Style14"/>
    <w:next w:val="Style14"/>
    <w:qFormat/>
    <w:pPr>
      <w:numPr>
        <w:ilvl w:val="0"/>
        <w:numId w:val="2"/>
      </w:numPr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Style16">
    <w:name w:val="ציטוט ממורכז"/>
    <w:basedOn w:val="Quote"/>
    <w:qFormat/>
    <w:pPr>
      <w:spacing w:before="0" w:after="420"/>
      <w:ind w:hanging="0" w:start="1644" w:end="1276"/>
      <w:contextualSpacing/>
      <w:jc w:val="both"/>
    </w:pPr>
    <w:rPr>
      <w:rFonts w:ascii="Arial TUR;Arial" w:hAnsi="Arial TUR;Arial" w:cs="FrankRuehl"/>
      <w:i w:val="false"/>
      <w:iCs w:val="false"/>
      <w:color w:val="000000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623378" TargetMode="External"/><Relationship Id="rId3" Type="http://schemas.openxmlformats.org/officeDocument/2006/relationships/hyperlink" Target="http://www.nevo.co.il/safrut/bookgroup/2063" TargetMode="External"/><Relationship Id="rId4" Type="http://schemas.openxmlformats.org/officeDocument/2006/relationships/hyperlink" Target="http://www.nevo.co.il/safrut/bookgroup/206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5.a" TargetMode="External"/><Relationship Id="rId7" Type="http://schemas.openxmlformats.org/officeDocument/2006/relationships/hyperlink" Target="http://www.nevo.co.il/law/70301/34e" TargetMode="External"/><Relationship Id="rId8" Type="http://schemas.openxmlformats.org/officeDocument/2006/relationships/hyperlink" Target="http://www.nevo.co.il/law/70301/34i" TargetMode="External"/><Relationship Id="rId9" Type="http://schemas.openxmlformats.org/officeDocument/2006/relationships/hyperlink" Target="http://www.nevo.co.il/law/70301/34i.a" TargetMode="External"/><Relationship Id="rId10" Type="http://schemas.openxmlformats.org/officeDocument/2006/relationships/hyperlink" Target="http://www.nevo.co.il/law/70301/34i.b" TargetMode="External"/><Relationship Id="rId11" Type="http://schemas.openxmlformats.org/officeDocument/2006/relationships/hyperlink" Target="http://www.nevo.co.il/law/70301/34i.e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/244" TargetMode="External"/><Relationship Id="rId14" Type="http://schemas.openxmlformats.org/officeDocument/2006/relationships/hyperlink" Target="http://www.nevo.co.il/law/70301/300.a" TargetMode="External"/><Relationship Id="rId15" Type="http://schemas.openxmlformats.org/officeDocument/2006/relationships/hyperlink" Target="http://www.nevo.co.il/law/70301/300.a.2" TargetMode="External"/><Relationship Id="rId16" Type="http://schemas.openxmlformats.org/officeDocument/2006/relationships/hyperlink" Target="http://www.nevo.co.il/law/70301/300a.a.1" TargetMode="External"/><Relationship Id="rId17" Type="http://schemas.openxmlformats.org/officeDocument/2006/relationships/hyperlink" Target="http://www.nevo.co.il/law/70301/301a.a" TargetMode="External"/><Relationship Id="rId18" Type="http://schemas.openxmlformats.org/officeDocument/2006/relationships/hyperlink" Target="http://www.nevo.co.il/law/70301/301a.a.1" TargetMode="External"/><Relationship Id="rId19" Type="http://schemas.openxmlformats.org/officeDocument/2006/relationships/hyperlink" Target="http://www.nevo.co.il/law/70301/301a.b" TargetMode="External"/><Relationship Id="rId20" Type="http://schemas.openxmlformats.org/officeDocument/2006/relationships/hyperlink" Target="http://www.nevo.co.il/law/70301/301b.c" TargetMode="External"/><Relationship Id="rId21" Type="http://schemas.openxmlformats.org/officeDocument/2006/relationships/hyperlink" Target="http://www.nevo.co.il/case/22623378" TargetMode="External"/><Relationship Id="rId22" Type="http://schemas.openxmlformats.org/officeDocument/2006/relationships/hyperlink" Target="http://www.nevo.co.il/law/70301/300.a.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244" TargetMode="External"/><Relationship Id="rId25" Type="http://schemas.openxmlformats.org/officeDocument/2006/relationships/hyperlink" Target="http://www.nevo.co.il/law/70301/192" TargetMode="External"/><Relationship Id="rId26" Type="http://schemas.openxmlformats.org/officeDocument/2006/relationships/hyperlink" Target="http://www.nevo.co.il/law/70301/300.a.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01a.a.1" TargetMode="External"/><Relationship Id="rId29" Type="http://schemas.openxmlformats.org/officeDocument/2006/relationships/hyperlink" Target="http://www.nevo.co.il/law/70301/34i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301a.a.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01a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301a.b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5.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25246134" TargetMode="External"/><Relationship Id="rId40" Type="http://schemas.openxmlformats.org/officeDocument/2006/relationships/hyperlink" Target="http://www.nevo.co.il/case/25424970" TargetMode="External"/><Relationship Id="rId41" Type="http://schemas.openxmlformats.org/officeDocument/2006/relationships/hyperlink" Target="http://www.nevo.co.il/case/25441697" TargetMode="External"/><Relationship Id="rId42" Type="http://schemas.openxmlformats.org/officeDocument/2006/relationships/hyperlink" Target="http://www.nevo.co.il/law/70301/300a.a.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300.a" TargetMode="External"/><Relationship Id="rId45" Type="http://schemas.openxmlformats.org/officeDocument/2006/relationships/hyperlink" Target="http://www.nevo.co.il/law/70301/301a.a.1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301a.a" TargetMode="External"/><Relationship Id="rId48" Type="http://schemas.openxmlformats.org/officeDocument/2006/relationships/hyperlink" Target="http://www.nevo.co.il/safrut/bookgroup/2063" TargetMode="External"/><Relationship Id="rId49" Type="http://schemas.openxmlformats.org/officeDocument/2006/relationships/hyperlink" Target="http://www.nevo.co.il/law/70301/301a.a.1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300.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301a.a.1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17921598" TargetMode="External"/><Relationship Id="rId57" Type="http://schemas.openxmlformats.org/officeDocument/2006/relationships/hyperlink" Target="http://www.nevo.co.il/law/70301/301a.a.1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34i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34i.e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/34i.e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01/34i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/34e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301b.c" TargetMode="External"/><Relationship Id="rId71" Type="http://schemas.openxmlformats.org/officeDocument/2006/relationships/hyperlink" Target="http://www.nevo.co.il/law/70301/34i.b" TargetMode="External"/><Relationship Id="rId72" Type="http://schemas.openxmlformats.org/officeDocument/2006/relationships/hyperlink" Target="http://www.nevo.co.il/law/70301/301a.a.1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law/70301/301a.b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/301a.b" TargetMode="External"/><Relationship Id="rId77" Type="http://schemas.openxmlformats.org/officeDocument/2006/relationships/hyperlink" Target="http://www.nevo.co.il/case/22540397" TargetMode="External"/><Relationship Id="rId78" Type="http://schemas.openxmlformats.org/officeDocument/2006/relationships/hyperlink" Target="http://www.nevo.co.il/law/70301/34i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301b.c" TargetMode="External"/><Relationship Id="rId81" Type="http://schemas.openxmlformats.org/officeDocument/2006/relationships/hyperlink" Target="https://supreme.court.gov.il/" TargetMode="External"/><Relationship Id="rId82" Type="http://schemas.openxmlformats.org/officeDocument/2006/relationships/hyperlink" Target="http://www.nevo.co.il/advertisements/nevo-100.doc" TargetMode="External"/><Relationship Id="rId83" Type="http://schemas.openxmlformats.org/officeDocument/2006/relationships/header" Target="header1.xml"/><Relationship Id="rId84" Type="http://schemas.openxmlformats.org/officeDocument/2006/relationships/footer" Target="footer1.xml"/><Relationship Id="rId85" Type="http://schemas.openxmlformats.org/officeDocument/2006/relationships/numbering" Target="numbering.xml"/><Relationship Id="rId86" Type="http://schemas.openxmlformats.org/officeDocument/2006/relationships/fontTable" Target="fontTable.xml"/><Relationship Id="rId87" Type="http://schemas.openxmlformats.org/officeDocument/2006/relationships/settings" Target="settings.xml"/><Relationship Id="rId8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2021-04-21T13:48:00Z</dcterms:created>
  <dc:creator>h4</dc:creator>
  <dc:description/>
  <cp:keywords/>
  <dc:language>en-IL</dc:language>
  <cp:lastModifiedBy>hofit</cp:lastModifiedBy>
  <cp:lastPrinted>2021-04-19T09:07:00Z</cp:lastPrinted>
  <dcterms:modified xsi:type="dcterms:W3CDTF">2021-04-21T13:48:00Z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היילמייקל טספאי זרסנאי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2063</vt:lpwstr>
  </property>
  <property fmtid="{D5CDD505-2E9C-101B-9397-08002B2CF9AE}" pid="9" name="CASENOTES1">
    <vt:lpwstr>ProcID=184&amp;PartA=2170&amp;PartC=01</vt:lpwstr>
  </property>
  <property fmtid="{D5CDD505-2E9C-101B-9397-08002B2CF9AE}" pid="10" name="CASENOTES2">
    <vt:lpwstr>ProcID=211&amp;PartA=1335&amp;PartC=08</vt:lpwstr>
  </property>
  <property fmtid="{D5CDD505-2E9C-101B-9397-08002B2CF9AE}" pid="11" name="CASESLISTTMP1">
    <vt:lpwstr>22623378:2;25246134;25424970;25441697;17921598;22540397</vt:lpwstr>
  </property>
  <property fmtid="{D5CDD505-2E9C-101B-9397-08002B2CF9AE}" pid="12" name="CITY">
    <vt:lpwstr/>
  </property>
  <property fmtid="{D5CDD505-2E9C-101B-9397-08002B2CF9AE}" pid="13" name="DATE">
    <vt:lpwstr>20210419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נ' הנדל;י' אלרון;י' וילנר</vt:lpwstr>
  </property>
  <property fmtid="{D5CDD505-2E9C-101B-9397-08002B2CF9AE}" pid="17" name="LAWLISTTMP1">
    <vt:lpwstr>70301/300.a.2:2;244;192;301a.a.1:7;034i.a;301a.b:4;005.a;300a.a.1;300.a:2;301a.a;034i:3;034i.e:2;034e;301b.c:2;034i.b</vt:lpwstr>
  </property>
  <property fmtid="{D5CDD505-2E9C-101B-9397-08002B2CF9AE}" pid="18" name="LAWYER">
    <vt:lpwstr>הילה גורני;שרית גולן שטיינברג;יגאל מינדל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77;77;77;77</vt:lpwstr>
  </property>
  <property fmtid="{D5CDD505-2E9C-101B-9397-08002B2CF9AE}" pid="40" name="NOSE21">
    <vt:lpwstr>עבירות</vt:lpwstr>
  </property>
  <property fmtid="{D5CDD505-2E9C-101B-9397-08002B2CF9AE}" pid="41" name="NOSE210">
    <vt:lpwstr/>
  </property>
  <property fmtid="{D5CDD505-2E9C-101B-9397-08002B2CF9AE}" pid="42" name="NOSE22">
    <vt:lpwstr>עבירת הרצח</vt:lpwstr>
  </property>
  <property fmtid="{D5CDD505-2E9C-101B-9397-08002B2CF9AE}" pid="43" name="NOSE23">
    <vt:lpwstr>עבירת הרצח</vt:lpwstr>
  </property>
  <property fmtid="{D5CDD505-2E9C-101B-9397-08002B2CF9AE}" pid="44" name="NOSE24">
    <vt:lpwstr>הגנות</vt:lpwstr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1443;12455;12455;1431</vt:lpwstr>
  </property>
  <property fmtid="{D5CDD505-2E9C-101B-9397-08002B2CF9AE}" pid="51" name="NOSE31">
    <vt:lpwstr>רצח בנסיהות מחמירות</vt:lpwstr>
  </property>
  <property fmtid="{D5CDD505-2E9C-101B-9397-08002B2CF9AE}" pid="52" name="NOSE310">
    <vt:lpwstr/>
  </property>
  <property fmtid="{D5CDD505-2E9C-101B-9397-08002B2CF9AE}" pid="53" name="NOSE32">
    <vt:lpwstr>תיקון 137</vt:lpwstr>
  </property>
  <property fmtid="{D5CDD505-2E9C-101B-9397-08002B2CF9AE}" pid="54" name="NOSE33">
    <vt:lpwstr>החלטה להמית</vt:lpwstr>
  </property>
  <property fmtid="{D5CDD505-2E9C-101B-9397-08002B2CF9AE}" pid="55" name="NOSE34">
    <vt:lpwstr>שכרות</vt:lpwstr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;18905;16197;8691</vt:lpwstr>
  </property>
  <property fmtid="{D5CDD505-2E9C-101B-9397-08002B2CF9AE}" pid="62" name="PADIDATE">
    <vt:lpwstr>20210420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7722</vt:lpwstr>
  </property>
  <property fmtid="{D5CDD505-2E9C-101B-9397-08002B2CF9AE}" pid="68" name="PROCYEAR">
    <vt:lpwstr>19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410120210419</vt:lpwstr>
  </property>
  <property fmtid="{D5CDD505-2E9C-101B-9397-08002B2CF9AE}" pid="72" name="TYPE_N_DATE">
    <vt:lpwstr>41020210419</vt:lpwstr>
  </property>
  <property fmtid="{D5CDD505-2E9C-101B-9397-08002B2CF9AE}" pid="73" name="VOLUME">
    <vt:lpwstr/>
  </property>
  <property fmtid="{D5CDD505-2E9C-101B-9397-08002B2CF9AE}" pid="74" name="WORDNUMPAGES">
    <vt:lpwstr>19</vt:lpwstr>
  </property>
</Properties>
</file>