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774/17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1562/17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774/17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1562/17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עוביידה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חטאב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774/17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1562/17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שני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10.4.2016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4.1.2017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3577-05-15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ורג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אזולאי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3999"/>
        <w:gridCol w:w="1134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99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20.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13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774/17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1562/17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אביגדור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ימימה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אברמוביץ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יפעה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בקר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מימרן</w:t>
            </w:r>
            <w:r>
              <w:rPr>
                <w:sz w:val="28"/>
                <w:rtl w:val="true"/>
              </w:rPr>
              <w:tab/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774/17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1562/17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Ruller41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</w:p>
          <w:p>
            <w:pPr>
              <w:pStyle w:val="Ruller41"/>
              <w:ind w:end="0"/>
              <w:jc w:val="both"/>
              <w:rPr>
                <w:rFonts w:ascii="Century" w:hAnsi="Century" w:cs="Century"/>
              </w:rPr>
            </w:pPr>
            <w:r>
              <w:rPr>
                <w:rFonts w:cs="Century" w:ascii="Century" w:hAnsi="Century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התערב בעונש שנגזר על המערער בגין הרשעתו בעבירה של הפקרה אחרי פגיעה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בהן ההפקרה גרמה להחמרת הפגיעה במנוח ונוכח התוצאה שנגרמה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נכון היה לקבוע מתחם עונש גבוה יותר מזה שנקבע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</w:t>
      </w:r>
      <w:r>
        <w:rPr>
          <w:rFonts w:cs="Times New Roman" w:ascii="Times New Roman" w:hAnsi="Times New Roman"/>
          <w:spacing w:val="0"/>
          <w:sz w:val="24"/>
          <w:szCs w:val="26"/>
        </w:rPr>
        <w:t>36-15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לא היה מקום לסטות ממנו 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ההקלה יכולה הייתה לבוא לביטוי במיקום המערער בתחתיתו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ירצה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 – ענישה – הפקרה לאחר פגיעה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 – ענישה – מדיניות 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 – ענישה – פסילת רישיון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הורשע בעבירה של הפקרה אחרי פגיעה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64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לפקודת התעבורה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[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נוסח חדש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]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הפקודה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ובעבירה של נהיגה ללא פוליסת ביטוח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המערער נגזר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שירוצה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פסילה בפועל מהחזקת וקבלת רישיון נהיגה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קנס בסך </w:t>
      </w:r>
      <w:r>
        <w:rPr>
          <w:rFonts w:cs="Times New Roman" w:ascii="Times New Roman" w:hAnsi="Times New Roman"/>
          <w:spacing w:val="0"/>
          <w:sz w:val="24"/>
          <w:szCs w:val="26"/>
        </w:rPr>
        <w:t>2,000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וחילוט רכב לטובת אוצר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כמו כן הועמד המערער בפיקוח שירות המבחן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מערערת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1562/17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קולת העונש ואילו המערער 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774/17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חומרת העונש ובכלל זה על אורך תקופת הפסילה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 ובהסכמת השופטים פוגלמן ומזוז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1562/17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בחלקו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774/17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הוא שערכאת הערעור לא תתערב בעונש שגזרה הערכאה הדיונית אלא במקרים חריגים בהם העונש שהוטל חורג מרמת הענישה הנוהגת והמקובלת או אם נפלה טעות מהותית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 זה מצדיק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קבע מתחם עונש שנע בין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בבדיקת פסיקה המתייחסת להפקרה לאחר תאונה שנגרמה שלא באשמת הנהג הפוגע ושבעטייה נגרם מותו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כי ככלל יקבע מתחם עונש חמור יותר מזה שנקבע בגין תאונה דומה והפקרה שכתוצאה ממנה נפגע אדם באופן 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ההחמרה בקביעת המתחם בנסיבות ענייננו מתבקשת מקל וחומר לא רק לאור התוצאה הקשה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גרימת מותו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משום שההפקרה כשלעצמה היא שגרמה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היה צפוי שתגרום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במונחים של קשר סיבתי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להחמרת הפציעה או למוות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שכן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פגיעת המערער במנוח והטחתו על הכביש נותרה עדיין נשימה באפו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קבלת טענת המערער שלאחר הפגיעה במנוח הוא ביצע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וחזר לזירת התאונה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שירד מרכבו ועמד על תוצאות התאונה והזעיק עזרה כשמיד לאחר מכן הסתלק מהמקום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בה כדי לגרוע ממידת אשמו ולהביא להקלה חריגה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העובדה שההפקרה גרמה להחמרת הפגיעה במנוח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ולאור התוצאה שנגרמה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נכון היה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יקבע מתחם עונש גבוה יותר כמתחייב ממדיניות הענישה הנוהגת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גם בהינתן המתחם 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יכולה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יתה ההקלה לבוא לביטוי במיקום המערער בתחתית המתחם ולא היה מקום לחרוג מגדרי המתחם בהעדר נימוקים טובים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שקילת נסיבותיו האישיות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המלצת תסקיר שירות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נטילת האחריות מצדו לתוצאות ולו גם באיחור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השלכת העבירה על חייו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הטיפול שעבר וחלוף הזמן הרב מאז התרחשות התאונה ועד היום ולאור העיקרון שערכאת הערעור אינה ממצה את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להעמיד את עונשו של המערער על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שינוי האיזון שביקש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לעשות בנוסחת הענישה הסופית וכדי לסייע למערער לשקם את חייו לאחר ריצוי תקופת מאסרו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ובהינתן חשיבות ניידותו לצרכי עיסוקו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תקופת הפסילה תועמד על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תחת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3577-05-15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10.4.2016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" w:cs="Arial TUR"/>
          <w:rtl w:val="true"/>
        </w:rPr>
        <w:t xml:space="preserve"> </w:t>
      </w:r>
      <w:r>
        <w:rPr/>
        <w:t>4.1.2017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הפקודה</w:t>
      </w:r>
      <w:r>
        <w:rPr>
          <w:rtl w:val="true"/>
        </w:rPr>
        <w:t xml:space="preserve">);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בשילוב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מנועי</w:t>
      </w:r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774/17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לחלופין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התקנות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1562/17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הערותינו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8.12.2014</w:t>
      </w:r>
      <w:r>
        <w:rPr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" w:cs="Arial TUR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סיאט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tl w:val="true"/>
        </w:rPr>
        <w:t xml:space="preserve">).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בפוליסת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והושלך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מעוצמת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ונתלשה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התעקם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שהזעיק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פרסה</w:t>
      </w:r>
      <w:r>
        <w:rPr>
          <w:rtl w:val="true"/>
        </w:rPr>
        <w:t>, "</w:t>
      </w:r>
      <w:r>
        <w:rPr>
          <w:rtl w:val="true"/>
        </w:rPr>
        <w:t>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שהוזעק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אמבולנס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הסטטוטורית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והמוסרית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ולהזעיק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".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שבסעיף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נלקחה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; </w:t>
      </w:r>
      <w:r>
        <w:rPr>
          <w:rtl w:val="true"/>
        </w:rPr>
        <w:t>התייצבותו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והימנעותו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והאישית</w:t>
      </w:r>
      <w:r>
        <w:rPr>
          <w:rtl w:val="true"/>
        </w:rPr>
        <w:t xml:space="preserve">".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ומיעוט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ייחודיות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לקולה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הרטוריקה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) </w:t>
      </w:r>
      <w:r>
        <w:rPr>
          <w:rtl w:val="true"/>
        </w:rPr>
        <w:t>שהחמיר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בהתעלמו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שנפקדות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tl w:val="true"/>
        </w:rPr>
        <w:t xml:space="preserve">, </w:t>
      </w:r>
      <w:r>
        <w:rPr>
          <w:rtl w:val="true"/>
        </w:rPr>
        <w:t>שנדחתה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כשקרית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למזער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באשמתו</w:t>
      </w:r>
      <w:r>
        <w:rPr>
          <w:rtl w:val="true"/>
        </w:rPr>
        <w:t xml:space="preserve">, </w:t>
      </w:r>
      <w:r>
        <w:rPr>
          <w:rtl w:val="true"/>
        </w:rPr>
        <w:t>הסיטה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ממסלולם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ככדורגלן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ועתידו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עזיבתו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המלצתו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בשלהי</w:t>
      </w:r>
      <w:r>
        <w:rPr>
          <w:rFonts w:eastAsia="Arial TUR" w:cs="Arial TUR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הסתבכויות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/>
      </w:pPr>
      <w:r>
        <w:rPr>
          <w:rStyle w:val="Ruller4"/>
        </w:rPr>
        <w:t>6</w:t>
      </w:r>
      <w:r>
        <w:rPr>
          <w:rStyle w:val="Ruller4"/>
          <w:rtl w:val="true"/>
        </w:rPr>
        <w:t>.</w:t>
        <w:tab/>
      </w:r>
      <w:r>
        <w:rPr>
          <w:rStyle w:val="Ruller4"/>
          <w:rtl w:val="true"/>
        </w:rPr>
        <w:t>כלל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הוא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שערכאת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הערעור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לא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תתערב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בעונש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שגזרה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הערכאה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הדיונית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אלא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במקרים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חריגים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בהם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העונש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שהוטל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חורג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מרמת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הענישה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הנוהגת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והמקובלת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נפלה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טעות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מהותית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בגזר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הדין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(</w:t>
      </w:r>
      <w:r>
        <w:rPr>
          <w:rStyle w:val="Ruller4"/>
          <w:rtl w:val="true"/>
        </w:rPr>
        <w:t>השוו</w:t>
      </w:r>
      <w:r>
        <w:rPr>
          <w:rStyle w:val="Ruller4"/>
          <w:rtl w:val="true"/>
        </w:rPr>
        <w:t xml:space="preserve">: </w:t>
      </w:r>
      <w:hyperlink r:id="rId2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</w:rPr>
          <w:t>3091/08</w:t>
        </w:r>
      </w:hyperlink>
      <w:r>
        <w:rPr>
          <w:rStyle w:val="Ruller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טרייגר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Style w:val="Ruller4"/>
          <w:rFonts w:cs="David"/>
          <w:spacing w:val="0"/>
          <w:szCs w:val="24"/>
          <w:rtl w:val="true"/>
        </w:rPr>
        <w:t>[</w:t>
      </w:r>
      <w:r>
        <w:rPr>
          <w:rStyle w:val="Ruller4"/>
          <w:rFonts w:ascii="Times New Roman" w:hAnsi="Times New Roman"/>
          <w:spacing w:val="0"/>
          <w:szCs w:val="24"/>
          <w:rtl w:val="true"/>
        </w:rPr>
        <w:t>פורסם</w:t>
      </w:r>
      <w:r>
        <w:rPr>
          <w:rStyle w:val="Ruller4"/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Style w:val="Ruller4"/>
          <w:rFonts w:ascii="Times New Roman" w:hAnsi="Times New Roman"/>
          <w:spacing w:val="0"/>
          <w:szCs w:val="24"/>
          <w:rtl w:val="true"/>
        </w:rPr>
        <w:t>בנבו</w:t>
      </w:r>
      <w:r>
        <w:rPr>
          <w:rStyle w:val="Ruller4"/>
          <w:rFonts w:cs="David"/>
          <w:spacing w:val="0"/>
          <w:szCs w:val="24"/>
          <w:rtl w:val="true"/>
        </w:rPr>
        <w:t xml:space="preserve">] </w:t>
      </w:r>
      <w:r>
        <w:rPr>
          <w:rStyle w:val="Ruller4"/>
          <w:rFonts w:cs="Century" w:ascii="Century" w:hAnsi="Century"/>
          <w:rtl w:val="true"/>
        </w:rPr>
        <w:t>(</w:t>
      </w:r>
      <w:r>
        <w:rPr>
          <w:rStyle w:val="Ruller4"/>
          <w:rFonts w:cs="Century" w:ascii="Century" w:hAnsi="Century"/>
        </w:rPr>
        <w:t>29.1.2009</w:t>
      </w:r>
      <w:r>
        <w:rPr>
          <w:rStyle w:val="Ruller4"/>
          <w:rFonts w:cs="Century" w:ascii="Century" w:hAnsi="Century"/>
          <w:rtl w:val="true"/>
        </w:rPr>
        <w:t>)</w:t>
      </w:r>
      <w:r>
        <w:rPr>
          <w:rStyle w:val="Ruller4"/>
          <w:rFonts w:cs="Century" w:ascii="Century" w:hAnsi="Century"/>
          <w:rtl w:val="true"/>
        </w:rPr>
        <w:t xml:space="preserve">; </w:t>
      </w:r>
      <w:hyperlink r:id="rId26"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Arial TUR" w:hAnsi="Arial TUR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Century"/>
            <w:color w:val="0000FF"/>
            <w:spacing w:val="10"/>
            <w:sz w:val="22"/>
            <w:sz w:val="22"/>
            <w:szCs w:val="28"/>
            <w:u w:val="single"/>
          </w:rPr>
          <w:t>4430/13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31.3.2014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Arial TUR" w:hAnsi="Arial TUR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Century"/>
            <w:color w:val="0000FF"/>
            <w:spacing w:val="10"/>
            <w:sz w:val="22"/>
            <w:sz w:val="22"/>
            <w:szCs w:val="28"/>
            <w:u w:val="single"/>
          </w:rPr>
          <w:t>5795/16</w:t>
        </w:r>
      </w:hyperlink>
      <w:r>
        <w:rPr>
          <w:rStyle w:val="Ruller4"/>
          <w:rFonts w:cs="Century" w:ascii="Century" w:hAnsi="Century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Ruller4"/>
          <w:rFonts w:ascii="Century" w:hAnsi="Century" w:cs="Century"/>
          <w:rtl w:val="true"/>
        </w:rPr>
        <w:t xml:space="preserve"> </w:t>
      </w:r>
      <w:r>
        <w:rPr>
          <w:rStyle w:val="Ruller4"/>
          <w:rFonts w:cs="David"/>
          <w:spacing w:val="0"/>
          <w:szCs w:val="24"/>
          <w:rtl w:val="true"/>
        </w:rPr>
        <w:t>[</w:t>
      </w:r>
      <w:r>
        <w:rPr>
          <w:rStyle w:val="Ruller4"/>
          <w:rFonts w:ascii="Times New Roman" w:hAnsi="Times New Roman"/>
          <w:spacing w:val="0"/>
          <w:szCs w:val="24"/>
          <w:rtl w:val="true"/>
        </w:rPr>
        <w:t>פורסם</w:t>
      </w:r>
      <w:r>
        <w:rPr>
          <w:rStyle w:val="Ruller4"/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Style w:val="Ruller4"/>
          <w:rFonts w:ascii="Times New Roman" w:hAnsi="Times New Roman"/>
          <w:spacing w:val="0"/>
          <w:szCs w:val="24"/>
          <w:rtl w:val="true"/>
        </w:rPr>
        <w:t>בנבו</w:t>
      </w:r>
      <w:r>
        <w:rPr>
          <w:rStyle w:val="Ruller4"/>
          <w:rFonts w:cs="David"/>
          <w:spacing w:val="0"/>
          <w:szCs w:val="24"/>
          <w:rtl w:val="true"/>
        </w:rPr>
        <w:t xml:space="preserve">] </w:t>
      </w:r>
      <w:r>
        <w:rPr>
          <w:rStyle w:val="Ruller4"/>
          <w:rFonts w:cs="Century" w:ascii="Century" w:hAnsi="Century"/>
          <w:rtl w:val="true"/>
        </w:rPr>
        <w:t>(</w:t>
      </w:r>
      <w:r>
        <w:rPr>
          <w:rStyle w:val="Ruller4"/>
          <w:rFonts w:cs="Century" w:ascii="Century" w:hAnsi="Century"/>
        </w:rPr>
        <w:t>15.1.2018</w:t>
      </w:r>
      <w:r>
        <w:rPr>
          <w:rStyle w:val="Ruller4"/>
          <w:rFonts w:cs="Century" w:ascii="Century" w:hAnsi="Century"/>
          <w:rtl w:val="true"/>
        </w:rPr>
        <w:t>)</w:t>
      </w:r>
      <w:r>
        <w:rPr>
          <w:rStyle w:val="Ruller4"/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Style w:val="Ruller4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ושבעטייה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נתנוב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1.7.2014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גורזמנו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11.11.2014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((</w:t>
      </w:r>
      <w:r>
        <w:rPr/>
        <w:t>21.10.2014</w:t>
      </w:r>
      <w:r>
        <w:rPr>
          <w:rtl w:val="true"/>
        </w:rPr>
        <w:t xml:space="preserve">)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פראן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)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8.3.2015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)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16.12.214</w:t>
      </w:r>
      <w:r>
        <w:rPr>
          <w:rtl w:val="true"/>
        </w:rPr>
        <w:t xml:space="preserve">)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נהרגו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</w:p>
    <w:p>
      <w:pPr>
        <w:pStyle w:val="Ruller41"/>
        <w:ind w:start="80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ההפקרה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כשלעצמה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שגרמה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צפוי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שתגרום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במונחים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סיבתי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להחמרת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הפציעה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לנפגעים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40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פראן</w:t>
      </w:r>
      <w:r>
        <w:rPr>
          <w:rFonts w:ascii="Century" w:hAnsi="Century" w:cs="Century"/>
          <w:rtl w:val="true"/>
        </w:rPr>
        <w:t xml:space="preserve">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כעולה מהכרעת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פגיעתו של המערער במנוח והטחתו על הכביש נותרה עדיין נשימה באפו של האחרון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מהכביש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בענין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חקיקתה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תאונות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כרוכות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בתחושת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החמצה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נמנעת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הוּרע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הפקרתו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הרפואי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שיעורי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התמותה</w:t>
      </w:r>
      <w:r>
        <w:rPr>
          <w:rtl w:val="true"/>
        </w:rPr>
        <w:t xml:space="preserve">" </w:t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ומשתמשים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ולבטח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פרסה</w:t>
      </w:r>
      <w:r>
        <w:rPr>
          <w:rtl w:val="true"/>
        </w:rPr>
        <w:t xml:space="preserve">' </w:t>
      </w:r>
      <w:r>
        <w:rPr>
          <w:rtl w:val="true"/>
        </w:rPr>
        <w:t>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),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והזעיק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ששליחתו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ההיפך</w:t>
      </w:r>
      <w:r>
        <w:rPr>
          <w:rtl w:val="true"/>
        </w:rPr>
        <w:t xml:space="preserve">",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המסתבכים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למיותר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) </w:t>
      </w:r>
      <w:r>
        <w:rPr>
          <w:rtl w:val="true"/>
        </w:rPr>
        <w:t>שהחמיר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ולשים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סטיה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מחטיאה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הטרגיות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באיחור</w:t>
      </w:r>
      <w:r>
        <w:rPr>
          <w:rtl w:val="true"/>
        </w:rPr>
        <w:t xml:space="preserve">, </w:t>
      </w:r>
      <w:r>
        <w:rPr>
          <w:rtl w:val="true"/>
        </w:rPr>
        <w:t>השלכת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שיורצו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משהתערבותנו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עיסוקו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 יתייצב לריצוי עונשו בימ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ר  קישון ביום </w:t>
      </w:r>
      <w:r>
        <w:rPr>
          <w:rFonts w:cs="Times New Roman" w:ascii="Times New Roman" w:hAnsi="Times New Roman"/>
        </w:rPr>
        <w:t>5.5.2019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 לשעה </w:t>
      </w:r>
      <w:r>
        <w:rPr>
          <w:rFonts w:cs="Times New Roman" w:ascii="Times New Roman" w:hAnsi="Times New Roman"/>
        </w:rPr>
        <w:t>10:00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כשברשותו תעודת זהות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על המערער לתאם את הכניסה למאסר כולל האפשרות למיון מוקדם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עם ענף אבחון ומיון של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טלפונים </w:t>
      </w:r>
      <w:r>
        <w:rPr>
          <w:rFonts w:cs="Times New Roman" w:ascii="Times New Roman" w:hAnsi="Times New Roman"/>
        </w:rPr>
        <w:t>08-9787377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08-9787336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27.3.2019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17007740</w:t>
      </w:r>
      <w:r>
        <w:rPr>
          <w:sz w:val="16"/>
          <w:rtl w:val="true"/>
        </w:rPr>
        <w:t>_</w:t>
      </w:r>
      <w:r>
        <w:rPr>
          <w:sz w:val="16"/>
        </w:rPr>
        <w:t>Q12.docx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54678313-774/17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774/17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עוביידה חטאב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247369" TargetMode="External"/><Relationship Id="rId3" Type="http://schemas.openxmlformats.org/officeDocument/2006/relationships/hyperlink" Target="http://www.nevo.co.il/law/74501" TargetMode="External"/><Relationship Id="rId4" Type="http://schemas.openxmlformats.org/officeDocument/2006/relationships/hyperlink" Target="http://www.nevo.co.il/law/74501/2.a" TargetMode="External"/><Relationship Id="rId5" Type="http://schemas.openxmlformats.org/officeDocument/2006/relationships/hyperlink" Target="http://www.nevo.co.il/law/74501/2.b" TargetMode="External"/><Relationship Id="rId6" Type="http://schemas.openxmlformats.org/officeDocument/2006/relationships/hyperlink" Target="http://www.nevo.co.il/law/74501/64a.c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64" TargetMode="External"/><Relationship Id="rId9" Type="http://schemas.openxmlformats.org/officeDocument/2006/relationships/hyperlink" Target="http://www.nevo.co.il/law/5227/64a.c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144" TargetMode="External"/><Relationship Id="rId12" Type="http://schemas.openxmlformats.org/officeDocument/2006/relationships/hyperlink" Target="http://www.nevo.co.il/case/20247369" TargetMode="External"/><Relationship Id="rId13" Type="http://schemas.openxmlformats.org/officeDocument/2006/relationships/hyperlink" Target="http://www.nevo.co.il/law/74501/64a.c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74501/2.a" TargetMode="External"/><Relationship Id="rId16" Type="http://schemas.openxmlformats.org/officeDocument/2006/relationships/hyperlink" Target="http://www.nevo.co.il/law/74501/2.b" TargetMode="External"/><Relationship Id="rId17" Type="http://schemas.openxmlformats.org/officeDocument/2006/relationships/hyperlink" Target="http://www.nevo.co.il/law/5227/64a.c" TargetMode="External"/><Relationship Id="rId18" Type="http://schemas.openxmlformats.org/officeDocument/2006/relationships/hyperlink" Target="http://www.nevo.co.il/law/5227/64a.c" TargetMode="External"/><Relationship Id="rId19" Type="http://schemas.openxmlformats.org/officeDocument/2006/relationships/hyperlink" Target="http://www.nevo.co.il/law/74274/144" TargetMode="External"/><Relationship Id="rId20" Type="http://schemas.openxmlformats.org/officeDocument/2006/relationships/hyperlink" Target="http://www.nevo.co.il/law/74274" TargetMode="External"/><Relationship Id="rId21" Type="http://schemas.openxmlformats.org/officeDocument/2006/relationships/hyperlink" Target="http://www.nevo.co.il/law/5227/64a.c" TargetMode="External"/><Relationship Id="rId22" Type="http://schemas.openxmlformats.org/officeDocument/2006/relationships/hyperlink" Target="http://www.nevo.co.il/law/74274/144" TargetMode="External"/><Relationship Id="rId23" Type="http://schemas.openxmlformats.org/officeDocument/2006/relationships/hyperlink" Target="http://www.nevo.co.il/law/5227/64a.c" TargetMode="External"/><Relationship Id="rId24" Type="http://schemas.openxmlformats.org/officeDocument/2006/relationships/hyperlink" Target="http://www.nevo.co.il/law/5227" TargetMode="External"/><Relationship Id="rId25" Type="http://schemas.openxmlformats.org/officeDocument/2006/relationships/hyperlink" Target="http://www.nevo.co.il/case/5875466" TargetMode="External"/><Relationship Id="rId26" Type="http://schemas.openxmlformats.org/officeDocument/2006/relationships/hyperlink" Target="http://www.nevo.co.il/case/7681179" TargetMode="External"/><Relationship Id="rId27" Type="http://schemas.openxmlformats.org/officeDocument/2006/relationships/hyperlink" Target="http://www.nevo.co.il/case/21478626" TargetMode="External"/><Relationship Id="rId28" Type="http://schemas.openxmlformats.org/officeDocument/2006/relationships/hyperlink" Target="http://www.nevo.co.il/case/17015784" TargetMode="External"/><Relationship Id="rId29" Type="http://schemas.openxmlformats.org/officeDocument/2006/relationships/hyperlink" Target="http://www.nevo.co.il/case/16975161" TargetMode="External"/><Relationship Id="rId30" Type="http://schemas.openxmlformats.org/officeDocument/2006/relationships/hyperlink" Target="http://www.nevo.co.il/case/16917344" TargetMode="External"/><Relationship Id="rId31" Type="http://schemas.openxmlformats.org/officeDocument/2006/relationships/hyperlink" Target="http://www.nevo.co.il/case/20086007" TargetMode="External"/><Relationship Id="rId32" Type="http://schemas.openxmlformats.org/officeDocument/2006/relationships/hyperlink" Target="http://www.nevo.co.il/case/10488209" TargetMode="External"/><Relationship Id="rId33" Type="http://schemas.openxmlformats.org/officeDocument/2006/relationships/hyperlink" Target="http://www.nevo.co.il/law/5227/64" TargetMode="External"/><Relationship Id="rId34" Type="http://schemas.openxmlformats.org/officeDocument/2006/relationships/hyperlink" Target="http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2019-04-01T12:02:00Z</dcterms:created>
  <dc:creator>h4</dc:creator>
  <dc:description/>
  <cp:keywords/>
  <dc:language>en-IL</dc:language>
  <cp:lastModifiedBy>hofit</cp:lastModifiedBy>
  <cp:lastPrinted>2019-03-27T15:02:00Z</cp:lastPrinted>
  <dcterms:modified xsi:type="dcterms:W3CDTF">2019-04-01T12:02:00Z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עוביידה חטאב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20247369:2;5875466;7681179;21478626;17015784;16975161;16917344;20086007;10488209</vt:lpwstr>
  </property>
  <property fmtid="{D5CDD505-2E9C-101B-9397-08002B2CF9AE}" pid="9" name="CITY">
    <vt:lpwstr/>
  </property>
  <property fmtid="{D5CDD505-2E9C-101B-9397-08002B2CF9AE}" pid="10" name="DATE">
    <vt:lpwstr>20190327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מזוז;ג' קרא</vt:lpwstr>
  </property>
  <property fmtid="{D5CDD505-2E9C-101B-9397-08002B2CF9AE}" pid="14" name="LAWLISTTMP1">
    <vt:lpwstr>74501/064a.c;002.a;002.b</vt:lpwstr>
  </property>
  <property fmtid="{D5CDD505-2E9C-101B-9397-08002B2CF9AE}" pid="15" name="LAWLISTTMP2">
    <vt:lpwstr>5227/064a.c:4;064</vt:lpwstr>
  </property>
  <property fmtid="{D5CDD505-2E9C-101B-9397-08002B2CF9AE}" pid="16" name="LAWLISTTMP3">
    <vt:lpwstr>74274/144:2</vt:lpwstr>
  </property>
  <property fmtid="{D5CDD505-2E9C-101B-9397-08002B2CF9AE}" pid="17" name="LAWYER">
    <vt:lpwstr>דפנה שמול;ברכה וייס;אביגדור פלדמן;ימימה אברמוביץ;יפעה בקר מימרן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תעבורה</vt:lpwstr>
  </property>
  <property fmtid="{D5CDD505-2E9C-101B-9397-08002B2CF9AE}" pid="29" name="NOSE110">
    <vt:lpwstr/>
  </property>
  <property fmtid="{D5CDD505-2E9C-101B-9397-08002B2CF9AE}" pid="30" name="NOSE12">
    <vt:lpwstr>תעבורה</vt:lpwstr>
  </property>
  <property fmtid="{D5CDD505-2E9C-101B-9397-08002B2CF9AE}" pid="31" name="NOSE13">
    <vt:lpwstr>תעבורה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104;104;104;77;77;77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>ענישה</vt:lpwstr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1831;1831;1831;1446;1446;1446</vt:lpwstr>
  </property>
  <property fmtid="{D5CDD505-2E9C-101B-9397-08002B2CF9AE}" pid="50" name="NOSE31">
    <vt:lpwstr>הפקרה לאחר פגיעה</vt:lpwstr>
  </property>
  <property fmtid="{D5CDD505-2E9C-101B-9397-08002B2CF9AE}" pid="51" name="NOSE310">
    <vt:lpwstr/>
  </property>
  <property fmtid="{D5CDD505-2E9C-101B-9397-08002B2CF9AE}" pid="52" name="NOSE32">
    <vt:lpwstr>מדיניות ענישה</vt:lpwstr>
  </property>
  <property fmtid="{D5CDD505-2E9C-101B-9397-08002B2CF9AE}" pid="53" name="NOSE33">
    <vt:lpwstr>פסילת רישיון</vt:lpwstr>
  </property>
  <property fmtid="{D5CDD505-2E9C-101B-9397-08002B2CF9AE}" pid="54" name="NOSE34">
    <vt:lpwstr>התערבות ערכאת הערעור</vt:lpwstr>
  </property>
  <property fmtid="{D5CDD505-2E9C-101B-9397-08002B2CF9AE}" pid="55" name="NOSE35">
    <vt:lpwstr>מדיניות ענישה: שיקולים</vt:lpwstr>
  </property>
  <property fmtid="{D5CDD505-2E9C-101B-9397-08002B2CF9AE}" pid="56" name="NOSE36">
    <vt:lpwstr>מתחם הענישה</vt:lpwstr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16198;11263;11265;8978;8994;14985</vt:lpwstr>
  </property>
  <property fmtid="{D5CDD505-2E9C-101B-9397-08002B2CF9AE}" pid="61" name="PADIDATE">
    <vt:lpwstr>20190328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774;1562</vt:lpwstr>
  </property>
  <property fmtid="{D5CDD505-2E9C-101B-9397-08002B2CF9AE}" pid="67" name="PROCYEAR">
    <vt:lpwstr>17;17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410120190327</vt:lpwstr>
  </property>
  <property fmtid="{D5CDD505-2E9C-101B-9397-08002B2CF9AE}" pid="71" name="TYPE_N_DATE">
    <vt:lpwstr>41020190327</vt:lpwstr>
  </property>
  <property fmtid="{D5CDD505-2E9C-101B-9397-08002B2CF9AE}" pid="72" name="VOLUME">
    <vt:lpwstr/>
  </property>
  <property fmtid="{D5CDD505-2E9C-101B-9397-08002B2CF9AE}" pid="73" name="WORDNUMPAGES">
    <vt:lpwstr>9</vt:lpwstr>
  </property>
</Properties>
</file>