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7761/18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הנדל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קרא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גרוסקופף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פלוני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ascii="David" w:hAnsi="David"/>
                <w:rtl w:val="true"/>
              </w:rPr>
              <w:t>ות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1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2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פלוני</w:t>
            </w:r>
            <w:r>
              <w:rPr>
                <w:rtl w:val="true"/>
              </w:rPr>
              <w:t>ת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3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פלוני</w:t>
            </w:r>
            <w:r>
              <w:rPr>
                <w:rtl w:val="true"/>
              </w:rPr>
              <w:t>ת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  <w:r>
        <w:rPr>
          <w:rtl w:val="true"/>
        </w:rPr>
        <w:tab/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הכרעת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29.4.2018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16.9.2018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ירושלים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תפ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ח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44017-09-15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שניתנו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השופטים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רפי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כרמל</w:t>
            </w:r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>כרמי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מוסק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ושירלי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רנר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4421"/>
        <w:gridCol w:w="712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442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ו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בחשון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ף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  <w:rtl w:val="true"/>
              </w:rPr>
              <w:t>(</w:t>
            </w:r>
            <w:r>
              <w:rPr>
                <w:sz w:val="24"/>
                <w:szCs w:val="24"/>
              </w:rPr>
              <w:t>4.11.2019</w:t>
            </w:r>
            <w:r>
              <w:rPr>
                <w:sz w:val="24"/>
                <w:szCs w:val="24"/>
                <w:rtl w:val="true"/>
              </w:rPr>
              <w:t>)</w:t>
            </w:r>
          </w:p>
        </w:tc>
        <w:tc>
          <w:tcPr>
            <w:tcW w:w="71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true"/>
              </w:rPr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90" w:type="dxa"/>
        <w:jc w:val="end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27"/>
        <w:gridCol w:w="3213"/>
        <w:gridCol w:w="1"/>
        <w:gridCol w:w="5149"/>
      </w:tblGrid>
      <w:tr>
        <w:trPr/>
        <w:tc>
          <w:tcPr>
            <w:tcW w:w="27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3214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149" w:type="dxa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מיכאל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עירוני</w:t>
            </w:r>
            <w:r>
              <w:rPr>
                <w:rtl w:val="true"/>
              </w:rPr>
              <w:t xml:space="preserve">;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מעיין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נופר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עמון</w:t>
            </w:r>
          </w:p>
        </w:tc>
      </w:tr>
      <w:tr>
        <w:trPr/>
        <w:tc>
          <w:tcPr>
            <w:tcW w:w="27" w:type="dxa"/>
            <w:tcBorders/>
          </w:tcPr>
          <w:p>
            <w:pPr>
              <w:pStyle w:val="Normal"/>
              <w:rPr/>
            </w:pPr>
            <w:r>
              <w:rPr>
                <w:rtl w:val="true"/>
              </w:rPr>
            </w:r>
          </w:p>
        </w:tc>
        <w:tc>
          <w:tcPr>
            <w:tcW w:w="3213" w:type="dxa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ות</w:t>
            </w:r>
            <w:r>
              <w:rPr>
                <w:rtl w:val="true"/>
              </w:rPr>
              <w:t>:</w:t>
            </w:r>
          </w:p>
        </w:tc>
        <w:tc>
          <w:tcPr>
            <w:tcW w:w="515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יעל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שרף</w:t>
            </w:r>
          </w:p>
        </w:tc>
      </w:tr>
      <w:tr>
        <w:trPr/>
        <w:tc>
          <w:tcPr>
            <w:tcW w:w="27" w:type="dxa"/>
            <w:tcBorders/>
          </w:tcPr>
          <w:p>
            <w:pPr>
              <w:pStyle w:val="Normal"/>
              <w:rPr/>
            </w:pPr>
            <w:r>
              <w:rPr>
                <w:rtl w:val="true"/>
              </w:rPr>
            </w:r>
          </w:p>
        </w:tc>
        <w:tc>
          <w:tcPr>
            <w:tcW w:w="3213" w:type="dxa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שירות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המבחן</w:t>
            </w:r>
            <w:r>
              <w:rPr>
                <w:rtl w:val="true"/>
              </w:rPr>
              <w:t>:</w:t>
            </w:r>
          </w:p>
        </w:tc>
        <w:tc>
          <w:tcPr>
            <w:tcW w:w="515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הגב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ברכה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וייס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sz w:val="16"/>
          <w:szCs w:val="20"/>
        </w:rPr>
      </w:pPr>
      <w:r>
        <w:rPr>
          <w:sz w:val="16"/>
          <w:szCs w:val="20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bookmarkStart w:id="5" w:name="LawTable"/>
      <w:bookmarkEnd w:id="5"/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2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345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345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347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348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34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יח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377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9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 xml:space="preserve">פקודת הראיות 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1971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10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10</w:t>
        </w:r>
      </w:hyperlink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" w:hAnsi="FrankRuehl" w:cs="FrankRuehl"/>
          <w:sz w:val="8"/>
          <w:szCs w:val="12"/>
        </w:rPr>
      </w:pPr>
      <w:r>
        <w:rPr>
          <w:rFonts w:cs="FrankRuehl" w:ascii="FrankRuehl" w:hAnsi="FrankRuehl"/>
          <w:sz w:val="8"/>
          <w:szCs w:val="12"/>
          <w:rtl w:val="true"/>
        </w:rPr>
      </w:r>
      <w:bookmarkStart w:id="6" w:name="LawTable_End"/>
      <w:bookmarkStart w:id="7" w:name="LawTable_End"/>
      <w:bookmarkEnd w:id="7"/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sz w:val="8"/>
          <w:szCs w:val="12"/>
        </w:rPr>
      </w:pPr>
      <w:r>
        <w:rPr>
          <w:sz w:val="8"/>
          <w:szCs w:val="12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sz w:val="8"/>
          <w:szCs w:val="12"/>
        </w:rPr>
      </w:pPr>
      <w:r>
        <w:rPr>
          <w:sz w:val="8"/>
          <w:szCs w:val="12"/>
          <w:rtl w:val="true"/>
        </w:rPr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bookmarkStart w:id="8" w:name="ABSTRACT_START"/>
      <w:bookmarkEnd w:id="8"/>
      <w:r>
        <w:rPr>
          <w:rFonts w:ascii="Times New Roman" w:hAnsi="Times New Roman" w:cs="Times New Roman"/>
          <w:spacing w:val="0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נדחה ערעור על הרשעת המערער בביצוע עבירות מין בשתי מתלוננות בהעדר מקום להתערב בממצאי המהימנות של הערכאה הדיונית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ולאחר דחיית טענות לטעות במצב דברים ומחדלי חקירה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כן נדחה הערעור על העונש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שכלל בין היתר </w:t>
      </w:r>
      <w:r>
        <w:rPr>
          <w:rFonts w:cs="Times New Roman" w:ascii="Times New Roman" w:hAnsi="Times New Roman"/>
          <w:spacing w:val="0"/>
          <w:szCs w:val="26"/>
        </w:rPr>
        <w:t>50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חודשי מאסר בפועל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מאחר שלא נמצא כי העונש חמור יתר על המידה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והוא אף נוטה לקולה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דיון פלילי – ערעור – אי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התערבות בממצאים עובדתיים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דיון פלילי – ערעור – הרשעה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דיון פלילי – חקירה במשטרה – מחדלי חקירה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הגנות – טעות במצב הדברים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עבירות מין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ערעור על הכרעת דין וגזר דין של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המחוזי בגדרם הורשע המערער בביצוע עבירות אינוס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מעשה מגונה וכליאת שווא כלפי שתי מתלוננות – המתלוננת באישום הראשון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להלן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ח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');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המתלוננת באישום השני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להלן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') –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ונגזר עליו עונש של </w:t>
      </w:r>
      <w:r>
        <w:rPr>
          <w:rFonts w:cs="Times New Roman" w:ascii="Times New Roman" w:hAnsi="Times New Roman"/>
          <w:spacing w:val="0"/>
          <w:szCs w:val="26"/>
        </w:rPr>
        <w:t>50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חודשי מאסר לריצוי בפועל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מאסר מותנה ותשלום פיצויים למתלוננות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 xml:space="preserve">בית המשפט העליון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מפי השופט קרא ובהסכמת השופטים הנדל וגרוסקופף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דחה את הערעור ופסק כי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עיקר הערעור הוא בתקיפת ממצאי עובדה ומהימנות שקבע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קמא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שבאלה אין דרכה של ערכאת הערעור להתערב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אלא במקרים חריגים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שאינם מתקיימים בענייננו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אין מקום להתערב בקביעת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קמא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אשר התרשם ממהימנותה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כי ח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Cs w:val="26"/>
          <w:rtl w:val="true"/>
        </w:rPr>
        <w:t>הביעה אי הסכמה לנגיעות המערער באיבריה המוצנעים ולבעילתה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ממצאי המהימנות אף מעוגנים בראיות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כך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תיאורי ח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Cs w:val="26"/>
          <w:rtl w:val="true"/>
        </w:rPr>
        <w:t>ותחושותיה הפיזיות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עליהן היא מדווחת בזמן אמת מיד לאחר האונס לחברתה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ומצבה הנפשי הנסער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אינם מתיישבים עם טענת המערער כי יחסי המין בינו לבין ח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Cs w:val="26"/>
          <w:rtl w:val="true"/>
        </w:rPr>
        <w:t>היו פרי הסכמה ורצון משותפים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ח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Cs w:val="26"/>
          <w:rtl w:val="true"/>
        </w:rPr>
        <w:t>לא רצתה להתלונן על שנעשה לה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ועשתה כן נוכח התעקשות חברתה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והתנהלות זו איננה יכולה להלום התנהלות של מי שמבקשת לנקום במערער או להעליל עליו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לגרסה של ח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Cs w:val="26"/>
          <w:rtl w:val="true"/>
        </w:rPr>
        <w:t>התווספו חיזוקים בדמות עדויות נוספות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די היה באלה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גם מבלי להיזקק לשיחותיו והודעותיו התכופות של המערער לח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Cs w:val="26"/>
          <w:rtl w:val="true"/>
        </w:rPr>
        <w:t>לאחר האונס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המשקפים את תחושת האשם שקיננה בליבו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כדי לבסס את הרשעת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גם אם סבר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בטעות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שהסכמתה של ח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Cs w:val="26"/>
          <w:rtl w:val="true"/>
        </w:rPr>
        <w:t>לבוא עמו לדירתו לשתות בירה ולשמוע מוסיקה משמעה גם הסכמה לקיים עמו יחסי מין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הרי לאור ביטוי אי ההסכמה שהביעה ח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Cs w:val="26"/>
          <w:rtl w:val="true"/>
        </w:rPr>
        <w:t>בפניו בדירה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הן מילולית והן פיזית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לא היה עוד מקום ל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טעות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Cs w:val="26"/>
          <w:rtl w:val="true"/>
        </w:rPr>
        <w:t>מצד המערער בהבנת הסיטואציה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כך גם אם הסכימה ח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Cs w:val="26"/>
          <w:rtl w:val="true"/>
        </w:rPr>
        <w:t>להתנשק עם המערער בסוברה כי בכך הוא יסתפק וייוותר על רעיון קיום מגע מיני עמה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כשהיא ממשיכה להביע אי הסכמה מילולית ואף התנגדות פיזית לנגיעותיו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דבריה ומעשיה מאיינים כל אפשרות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לטעות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Cs w:val="26"/>
          <w:rtl w:val="true"/>
        </w:rPr>
        <w:t>מצד המערער באשר לכוונותיה ולרצונותיה של ח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'. </w:t>
      </w:r>
      <w:r>
        <w:rPr>
          <w:rFonts w:ascii="Times New Roman" w:hAnsi="Times New Roman" w:cs="Times New Roman"/>
          <w:spacing w:val="0"/>
          <w:szCs w:val="26"/>
          <w:rtl w:val="true"/>
        </w:rPr>
        <w:t>ודוק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די בהבעת אי הסכמה מילולית כדי ללמד על אי הסכמה למגע מיני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למעשה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,.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 לא טעה בהבנת הסיטואציה משלא היה מקום לטעות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 בחר להתעלם מכל ביטויי אי ההסכמה הברורים והמפורשים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גם כשח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Cs w:val="26"/>
          <w:rtl w:val="true"/>
        </w:rPr>
        <w:t>נואשה מלהניאו מכוונתו לקיים עימה יחסי מין במילים ובהזזת ידיו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הלך הנפש שליווה את מעשי המערער אינו בגדר טעות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כי אם התעלמות מוחלטת מרצונותיה של ח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', </w:t>
      </w:r>
      <w:r>
        <w:rPr>
          <w:rFonts w:ascii="Times New Roman" w:hAnsi="Times New Roman" w:cs="Times New Roman"/>
          <w:spacing w:val="0"/>
          <w:szCs w:val="26"/>
          <w:rtl w:val="true"/>
        </w:rPr>
        <w:t>שמא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חרף סירובה המילולי והפיזי תתרצה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טענת המערער למחדלי חקירה נדחתה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באשר לא ברור מה הייתה תרומת העדויות להן טען המערער להגנתו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אשר לאישום השני אין מקום להתערב בהתרשמות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קמא ממהימנות גרסתה של 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', </w:t>
      </w:r>
      <w:r>
        <w:rPr>
          <w:rFonts w:ascii="Times New Roman" w:hAnsi="Times New Roman" w:cs="Times New Roman"/>
          <w:spacing w:val="0"/>
          <w:szCs w:val="26"/>
          <w:rtl w:val="true"/>
        </w:rPr>
        <w:t>ולא נמצא כי העדר תיעוד חזותי לעימות שנערך בין 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Cs w:val="26"/>
          <w:rtl w:val="true"/>
        </w:rPr>
        <w:t>למערער פגע בהגנת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נוכח כל האמור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ערעור המערער על הכרעת הדין נדחה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נוכח עונש המינימום הקבוע בצדה של עבירת האינוס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תסקירי נפגעות העבירה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תמונת הנזק שנגרם להן ומדיניות הענישה הנוהגת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לא נמצא כי העונש שהוטל על המערער חמור יתר על המידה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והוא אף נוטה לקולה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לפיכך נדחה הערעור על העונש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Times New Roman" w:hAnsi="Times New Roman" w:cs="Times New Roman"/>
          <w:spacing w:val="0"/>
          <w:sz w:val="8"/>
          <w:szCs w:val="12"/>
        </w:rPr>
      </w:pPr>
      <w:r>
        <w:rPr>
          <w:rFonts w:cs="Times New Roman"/>
          <w:spacing w:val="0"/>
          <w:sz w:val="8"/>
          <w:szCs w:val="12"/>
          <w:rtl w:val="true"/>
        </w:rPr>
      </w:r>
      <w:bookmarkStart w:id="9" w:name="ABSTRACT_END"/>
      <w:bookmarkStart w:id="10" w:name="ABSTRACT_END"/>
      <w:bookmarkEnd w:id="10"/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sz w:val="8"/>
          <w:szCs w:val="12"/>
        </w:rPr>
      </w:pPr>
      <w:r>
        <w:rPr>
          <w:sz w:val="8"/>
          <w:szCs w:val="12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sz w:val="8"/>
          <w:szCs w:val="12"/>
        </w:rPr>
      </w:pPr>
      <w:r>
        <w:rPr>
          <w:sz w:val="8"/>
          <w:szCs w:val="12"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1" w:name="PsakDin"/>
            <w:bookmarkStart w:id="12" w:name="BeginProtocol"/>
            <w:bookmarkStart w:id="13" w:name="secretary"/>
            <w:bookmarkEnd w:id="11"/>
            <w:bookmarkEnd w:id="12"/>
            <w:bookmarkEnd w:id="13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4" w:name="Writer_Name"/>
      <w:bookmarkStart w:id="15" w:name="Writer_Name"/>
      <w:bookmarkEnd w:id="15"/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ג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קרא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1"/>
        <w:ind w:end="0"/>
        <w:jc w:val="both"/>
        <w:rPr>
          <w:rFonts w:ascii="Century" w:hAnsi="Century" w:cs="Century"/>
          <w:sz w:val="18"/>
          <w:szCs w:val="24"/>
          <w:u w:val="single"/>
        </w:rPr>
      </w:pPr>
      <w:r>
        <w:rPr>
          <w:rFonts w:cs="Century" w:ascii="Century" w:hAnsi="Century"/>
          <w:sz w:val="18"/>
          <w:szCs w:val="24"/>
          <w:u w:val="single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tl w:val="true"/>
        </w:rPr>
        <w:tab/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בירושלים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כרמל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מוסק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וש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רנר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 xml:space="preserve">מיום </w:t>
      </w:r>
      <w:r>
        <w:rPr>
          <w:rFonts w:cs="Century" w:ascii="Century" w:hAnsi="Century"/>
        </w:rPr>
        <w:t>29.4.2018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ומיום </w:t>
      </w:r>
      <w:r>
        <w:rPr>
          <w:rFonts w:cs="Century" w:ascii="Century" w:hAnsi="Century"/>
        </w:rPr>
        <w:t>16.9.2018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בהתאמה ב</w:t>
      </w:r>
      <w:r>
        <w:rPr>
          <w:rFonts w:ascii="Century" w:hAnsi="Century" w:cs="Century"/>
          <w:rtl w:val="true"/>
        </w:rPr>
        <w:t>תפ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ח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44017-09-15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בגדרם הורשע המערער בביצוע עבירות אינוס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מעשה מגונה וכליאת שווא ונגזר עליו עונש של חמישים חודשי מאסר לריצוי בפועל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מאסר מותנה ותשלום פיצויים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עובדות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כתב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האישום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כתב האישום מחזיק שני אישומים</w:t>
      </w:r>
      <w:r>
        <w:rPr>
          <w:rtl w:val="true"/>
        </w:rPr>
        <w:t xml:space="preserve">. </w:t>
      </w:r>
      <w:r>
        <w:rPr>
          <w:rtl w:val="true"/>
        </w:rPr>
        <w:t xml:space="preserve">לפי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 xml:space="preserve">בתאריך </w:t>
      </w:r>
      <w:r>
        <w:rPr/>
        <w:t>20.9.2015</w:t>
      </w:r>
      <w:r>
        <w:rPr>
          <w:rtl w:val="true"/>
        </w:rPr>
        <w:t xml:space="preserve"> </w:t>
      </w:r>
      <w:r>
        <w:rPr>
          <w:rtl w:val="true"/>
        </w:rPr>
        <w:t>בשעות הערב</w:t>
      </w:r>
      <w:r>
        <w:rPr>
          <w:rtl w:val="true"/>
        </w:rPr>
        <w:t xml:space="preserve">, </w:t>
      </w:r>
      <w:r>
        <w:rPr>
          <w:rtl w:val="true"/>
        </w:rPr>
        <w:t>הגיעה ח</w:t>
      </w:r>
      <w:r>
        <w:rPr>
          <w:rtl w:val="true"/>
        </w:rPr>
        <w:t xml:space="preserve">' </w:t>
      </w:r>
      <w:r>
        <w:rPr>
          <w:rtl w:val="true"/>
        </w:rPr>
        <w:t xml:space="preserve">המתלוננת באישום הראשון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tl w:val="true"/>
        </w:rPr>
        <w:t xml:space="preserve">) </w:t>
      </w:r>
      <w:r>
        <w:rPr>
          <w:rtl w:val="true"/>
        </w:rPr>
        <w:t>להסתפר</w:t>
      </w:r>
      <w:r>
        <w:rPr>
          <w:rtl w:val="true"/>
        </w:rPr>
        <w:t xml:space="preserve">, </w:t>
      </w:r>
      <w:r>
        <w:rPr>
          <w:rtl w:val="true"/>
        </w:rPr>
        <w:t>במספרה שבה עבד המערער כספר</w:t>
      </w:r>
      <w:r>
        <w:rPr>
          <w:rtl w:val="true"/>
        </w:rPr>
        <w:t xml:space="preserve">. </w:t>
      </w:r>
      <w:r>
        <w:rPr>
          <w:rtl w:val="true"/>
        </w:rPr>
        <w:t>במהלך שהותה במספרה התפתחה בין ח</w:t>
      </w:r>
      <w:r>
        <w:rPr>
          <w:rtl w:val="true"/>
        </w:rPr>
        <w:t xml:space="preserve">' </w:t>
      </w:r>
      <w:r>
        <w:rPr>
          <w:rtl w:val="true"/>
        </w:rPr>
        <w:t>למערער שיחה</w:t>
      </w:r>
      <w:r>
        <w:rPr>
          <w:rtl w:val="true"/>
        </w:rPr>
        <w:t xml:space="preserve">. </w:t>
      </w:r>
      <w:r>
        <w:rPr>
          <w:rtl w:val="true"/>
        </w:rPr>
        <w:t>בהמשך הערב</w:t>
      </w:r>
      <w:r>
        <w:rPr>
          <w:rtl w:val="true"/>
        </w:rPr>
        <w:t xml:space="preserve">, </w:t>
      </w:r>
      <w:r>
        <w:rPr>
          <w:rtl w:val="true"/>
        </w:rPr>
        <w:t>ולאחר שסיימה להסתפר</w:t>
      </w:r>
      <w:r>
        <w:rPr>
          <w:rtl w:val="true"/>
        </w:rPr>
        <w:t xml:space="preserve">, </w:t>
      </w:r>
      <w:r>
        <w:rPr>
          <w:rtl w:val="true"/>
        </w:rPr>
        <w:t>ישבה ח</w:t>
      </w:r>
      <w:r>
        <w:rPr>
          <w:rtl w:val="true"/>
        </w:rPr>
        <w:t xml:space="preserve">' </w:t>
      </w:r>
      <w:r>
        <w:rPr>
          <w:rtl w:val="true"/>
        </w:rPr>
        <w:t>בתחנת אוטובוס באותה עיר והמתינה לאוטובוס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שחלף במקום</w:t>
      </w:r>
      <w:r>
        <w:rPr>
          <w:rtl w:val="true"/>
        </w:rPr>
        <w:t xml:space="preserve">, </w:t>
      </w:r>
      <w:r>
        <w:rPr>
          <w:rtl w:val="true"/>
        </w:rPr>
        <w:t>פנה אליה והזמינה לשתות עימו בירה</w:t>
      </w:r>
      <w:r>
        <w:rPr>
          <w:rtl w:val="true"/>
        </w:rPr>
        <w:t xml:space="preserve">. </w:t>
      </w:r>
      <w:r>
        <w:rPr>
          <w:rtl w:val="true"/>
        </w:rPr>
        <w:t>משנענתה</w:t>
      </w:r>
      <w:r>
        <w:rPr>
          <w:rtl w:val="true"/>
        </w:rPr>
        <w:t xml:space="preserve">, </w:t>
      </w:r>
      <w:r>
        <w:rPr>
          <w:rtl w:val="true"/>
        </w:rPr>
        <w:t>המשיכו השניים לדירתו של המערער רכובים על אופניו</w:t>
      </w:r>
      <w:r>
        <w:rPr>
          <w:rtl w:val="true"/>
        </w:rPr>
        <w:t xml:space="preserve">. </w:t>
      </w:r>
      <w:r>
        <w:rPr>
          <w:rtl w:val="true"/>
        </w:rPr>
        <w:t>לאחר שנכנסו לדירה</w:t>
      </w:r>
      <w:r>
        <w:rPr>
          <w:rtl w:val="true"/>
        </w:rPr>
        <w:t xml:space="preserve">, </w:t>
      </w:r>
      <w:r>
        <w:rPr>
          <w:rtl w:val="true"/>
        </w:rPr>
        <w:t>נעל המערער את הדלת</w:t>
      </w:r>
      <w:r>
        <w:rPr>
          <w:rtl w:val="true"/>
        </w:rPr>
        <w:t xml:space="preserve">. </w:t>
      </w:r>
      <w:r>
        <w:rPr>
          <w:rtl w:val="true"/>
        </w:rPr>
        <w:t>לאחר ששוחחו ושתו בירה</w:t>
      </w:r>
      <w:r>
        <w:rPr>
          <w:rtl w:val="true"/>
        </w:rPr>
        <w:t xml:space="preserve">, </w:t>
      </w:r>
      <w:r>
        <w:rPr>
          <w:rtl w:val="true"/>
        </w:rPr>
        <w:t>השכיב המערער את ח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>
          <w:rtl w:val="true"/>
        </w:rPr>
        <w:t>על המיטה</w:t>
      </w:r>
      <w:r>
        <w:rPr>
          <w:rtl w:val="true"/>
        </w:rPr>
        <w:t xml:space="preserve">, </w:t>
      </w:r>
      <w:r>
        <w:rPr>
          <w:rtl w:val="true"/>
        </w:rPr>
        <w:t>נישקה</w:t>
      </w:r>
      <w:r>
        <w:rPr>
          <w:rtl w:val="true"/>
        </w:rPr>
        <w:t xml:space="preserve">, </w:t>
      </w:r>
      <w:r>
        <w:rPr>
          <w:rtl w:val="true"/>
        </w:rPr>
        <w:t>נגע בחזה</w:t>
      </w:r>
      <w:r>
        <w:rPr>
          <w:rtl w:val="true"/>
        </w:rPr>
        <w:t xml:space="preserve">, </w:t>
      </w:r>
      <w:r>
        <w:rPr>
          <w:rtl w:val="true"/>
        </w:rPr>
        <w:t>והחדיר אצבעותיו לאיבר מינה ולפי הטבעת שלה</w:t>
      </w:r>
      <w:r>
        <w:rPr>
          <w:rtl w:val="true"/>
        </w:rPr>
        <w:t xml:space="preserve">, </w:t>
      </w:r>
      <w:r>
        <w:rPr>
          <w:rtl w:val="true"/>
        </w:rPr>
        <w:t>כל זאת</w:t>
      </w:r>
      <w:r>
        <w:rPr>
          <w:rtl w:val="true"/>
        </w:rPr>
        <w:t xml:space="preserve">, </w:t>
      </w:r>
      <w:r>
        <w:rPr>
          <w:rtl w:val="true"/>
        </w:rPr>
        <w:t>בניגוד לרצונה</w:t>
      </w:r>
      <w:r>
        <w:rPr>
          <w:rtl w:val="true"/>
        </w:rPr>
        <w:t xml:space="preserve">. </w:t>
      </w:r>
      <w:r>
        <w:rPr>
          <w:rtl w:val="true"/>
        </w:rPr>
        <w:t>ח</w:t>
      </w:r>
      <w:r>
        <w:rPr>
          <w:rtl w:val="true"/>
        </w:rPr>
        <w:t xml:space="preserve">' </w:t>
      </w:r>
      <w:r>
        <w:rPr>
          <w:rtl w:val="true"/>
        </w:rPr>
        <w:t>הזיזה את ידיו של המערער פעם אחר פעם בניסיונה להתנגד למעשיו</w:t>
      </w:r>
      <w:r>
        <w:rPr>
          <w:rtl w:val="true"/>
        </w:rPr>
        <w:t xml:space="preserve">, </w:t>
      </w:r>
      <w:r>
        <w:rPr>
          <w:rtl w:val="true"/>
        </w:rPr>
        <w:t>ניסתה לקום מן המיטה ואמרה למערער מספר פעמים כי אינה מעוניינת במגע מיני והפצירה בו לחדול ממעשיו</w:t>
      </w:r>
      <w:r>
        <w:rPr>
          <w:rtl w:val="true"/>
        </w:rPr>
        <w:t xml:space="preserve">. </w:t>
      </w:r>
      <w:r>
        <w:rPr>
          <w:rtl w:val="true"/>
        </w:rPr>
        <w:t>המערער השכיבה שוב על המיטה</w:t>
      </w:r>
      <w:r>
        <w:rPr>
          <w:rtl w:val="true"/>
        </w:rPr>
        <w:t xml:space="preserve">, </w:t>
      </w:r>
      <w:r>
        <w:rPr>
          <w:rtl w:val="true"/>
        </w:rPr>
        <w:t>נגע בין רגליה</w:t>
      </w:r>
      <w:r>
        <w:rPr>
          <w:rtl w:val="true"/>
        </w:rPr>
        <w:t xml:space="preserve">, </w:t>
      </w:r>
      <w:r>
        <w:rPr>
          <w:rtl w:val="true"/>
        </w:rPr>
        <w:t>אך היא הזיזה את ידיו מספר פעמים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החדיר המערער את אצבעו לאיבר מינה</w:t>
      </w:r>
      <w:r>
        <w:rPr>
          <w:rtl w:val="true"/>
        </w:rPr>
        <w:t xml:space="preserve">, </w:t>
      </w:r>
      <w:r>
        <w:rPr>
          <w:rtl w:val="true"/>
        </w:rPr>
        <w:t>ולאחר שאמרה שהיא רוצה ללכת</w:t>
      </w:r>
      <w:r>
        <w:rPr>
          <w:rtl w:val="true"/>
        </w:rPr>
        <w:t xml:space="preserve">, </w:t>
      </w:r>
      <w:r>
        <w:rPr>
          <w:rtl w:val="true"/>
        </w:rPr>
        <w:t>סובב אותה המערער על בטנה והחדיר את איבר מינו לאיבר מינה בכוח ובניגוד לרצונה מספר פעמים ופסק ממעשיו כאשר ח</w:t>
      </w:r>
      <w:r>
        <w:rPr>
          <w:rtl w:val="true"/>
        </w:rPr>
        <w:t xml:space="preserve">' </w:t>
      </w:r>
      <w:r>
        <w:rPr>
          <w:rtl w:val="true"/>
        </w:rPr>
        <w:t>החלה לרעוד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בגין מעשים אלו יוחסו למערער עבירת אינוס לפי </w:t>
      </w:r>
      <w:hyperlink r:id="rId1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בנסיבות </w:t>
      </w:r>
      <w:hyperlink r:id="rId1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3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החוק</w:t>
      </w:r>
      <w:r>
        <w:rPr>
          <w:rtl w:val="true"/>
        </w:rPr>
        <w:t xml:space="preserve">) ; </w:t>
      </w:r>
      <w:r>
        <w:rPr>
          <w:rtl w:val="true"/>
        </w:rPr>
        <w:t xml:space="preserve">עבירת מעשה סדום לפי </w:t>
      </w:r>
      <w:hyperlink r:id="rId1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בנסיבות </w:t>
      </w:r>
      <w:hyperlink r:id="rId1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rtl w:val="true"/>
        </w:rPr>
        <w:t xml:space="preserve">ועבירת כליאת שווא לפי </w:t>
      </w:r>
      <w:hyperlink r:id="rId1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377</w:t>
        </w:r>
      </w:hyperlink>
      <w:r>
        <w:rPr>
          <w:rtl w:val="true"/>
        </w:rPr>
        <w:t xml:space="preserve"> </w:t>
      </w:r>
      <w:r>
        <w:rPr>
          <w:rtl w:val="true"/>
        </w:rPr>
        <w:t>רישא לחוק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לפי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 xml:space="preserve">בתאריך </w:t>
      </w:r>
      <w:r>
        <w:rPr/>
        <w:t>27.8.2013</w:t>
      </w:r>
      <w:r>
        <w:rPr>
          <w:rtl w:val="true"/>
        </w:rPr>
        <w:t xml:space="preserve"> (</w:t>
      </w:r>
      <w:r>
        <w:rPr>
          <w:rtl w:val="true"/>
        </w:rPr>
        <w:t>כשנתיים עובר למתואר באישום הראשון</w:t>
      </w:r>
      <w:r>
        <w:rPr>
          <w:rtl w:val="true"/>
        </w:rPr>
        <w:t xml:space="preserve">), </w:t>
      </w:r>
      <w:r>
        <w:rPr>
          <w:rtl w:val="true"/>
        </w:rPr>
        <w:t>הכירה ב</w:t>
      </w:r>
      <w:r>
        <w:rPr>
          <w:rtl w:val="true"/>
        </w:rPr>
        <w:t xml:space="preserve">', </w:t>
      </w:r>
      <w:r>
        <w:rPr>
          <w:rtl w:val="true"/>
        </w:rPr>
        <w:t xml:space="preserve">המתלוננת באישום השני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tl w:val="true"/>
        </w:rPr>
        <w:t xml:space="preserve">), </w:t>
      </w:r>
      <w:r>
        <w:rPr>
          <w:rtl w:val="true"/>
        </w:rPr>
        <w:t>את המערער במהלך נסיעה באוטובוס</w:t>
      </w:r>
      <w:r>
        <w:rPr>
          <w:rtl w:val="true"/>
        </w:rPr>
        <w:t xml:space="preserve">. </w:t>
      </w:r>
      <w:r>
        <w:rPr>
          <w:rtl w:val="true"/>
        </w:rPr>
        <w:t>למחרת</w:t>
      </w:r>
      <w:r>
        <w:rPr>
          <w:rtl w:val="true"/>
        </w:rPr>
        <w:t xml:space="preserve">, </w:t>
      </w:r>
      <w:r>
        <w:rPr>
          <w:rtl w:val="true"/>
        </w:rPr>
        <w:t>בשעות הערב המאוחרות</w:t>
      </w:r>
      <w:r>
        <w:rPr>
          <w:rtl w:val="true"/>
        </w:rPr>
        <w:t xml:space="preserve">, </w:t>
      </w:r>
      <w:r>
        <w:rPr>
          <w:rtl w:val="true"/>
        </w:rPr>
        <w:t>באה ב</w:t>
      </w:r>
      <w:r>
        <w:rPr>
          <w:rtl w:val="true"/>
        </w:rPr>
        <w:t xml:space="preserve">' </w:t>
      </w:r>
      <w:r>
        <w:rPr>
          <w:rtl w:val="true"/>
        </w:rPr>
        <w:t>לבקר את המערער שעבד באותה העת במספרה</w:t>
      </w:r>
      <w:r>
        <w:rPr>
          <w:rtl w:val="true"/>
        </w:rPr>
        <w:t xml:space="preserve">. </w:t>
      </w:r>
      <w:r>
        <w:rPr>
          <w:rtl w:val="true"/>
        </w:rPr>
        <w:t>בתגובה לכך שב</w:t>
      </w:r>
      <w:r>
        <w:rPr>
          <w:rtl w:val="true"/>
        </w:rPr>
        <w:t xml:space="preserve">' </w:t>
      </w:r>
      <w:r>
        <w:rPr>
          <w:rtl w:val="true"/>
        </w:rPr>
        <w:t>שוחחה עם עובר אורח</w:t>
      </w:r>
      <w:r>
        <w:rPr>
          <w:rtl w:val="true"/>
        </w:rPr>
        <w:t xml:space="preserve">, </w:t>
      </w:r>
      <w:r>
        <w:rPr>
          <w:rtl w:val="true"/>
        </w:rPr>
        <w:t>התפרץ המערער לעברה וכינה אותה בכינויי גנאי</w:t>
      </w:r>
      <w:r>
        <w:rPr>
          <w:rtl w:val="true"/>
        </w:rPr>
        <w:t xml:space="preserve">. </w:t>
      </w:r>
      <w:r>
        <w:rPr>
          <w:rtl w:val="true"/>
        </w:rPr>
        <w:t>לאחר שלקוחות המספרה עזבו</w:t>
      </w:r>
      <w:r>
        <w:rPr>
          <w:rtl w:val="true"/>
        </w:rPr>
        <w:t xml:space="preserve">, </w:t>
      </w:r>
      <w:r>
        <w:rPr>
          <w:rtl w:val="true"/>
        </w:rPr>
        <w:t>אמר המערער לב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>
          <w:rtl w:val="true"/>
        </w:rPr>
        <w:t>להיכנס למספרה</w:t>
      </w:r>
      <w:r>
        <w:rPr>
          <w:rtl w:val="true"/>
        </w:rPr>
        <w:t xml:space="preserve">. </w:t>
      </w:r>
      <w:r>
        <w:rPr>
          <w:rtl w:val="true"/>
        </w:rPr>
        <w:t>משב</w:t>
      </w:r>
      <w:r>
        <w:rPr>
          <w:rtl w:val="true"/>
        </w:rPr>
        <w:t xml:space="preserve">' </w:t>
      </w:r>
      <w:r>
        <w:rPr>
          <w:rtl w:val="true"/>
        </w:rPr>
        <w:t>נכנסה למספרה</w:t>
      </w:r>
      <w:r>
        <w:rPr>
          <w:rtl w:val="true"/>
        </w:rPr>
        <w:t xml:space="preserve">, </w:t>
      </w:r>
      <w:r>
        <w:rPr>
          <w:rtl w:val="true"/>
        </w:rPr>
        <w:t>נעל המערער את הדלת</w:t>
      </w:r>
      <w:r>
        <w:rPr>
          <w:rtl w:val="true"/>
        </w:rPr>
        <w:t xml:space="preserve">. </w:t>
      </w:r>
      <w:r>
        <w:rPr>
          <w:rtl w:val="true"/>
        </w:rPr>
        <w:t>המערער הצמיד את  ב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>
          <w:rtl w:val="true"/>
        </w:rPr>
        <w:t>לקיר</w:t>
      </w:r>
      <w:r>
        <w:rPr>
          <w:rtl w:val="true"/>
        </w:rPr>
        <w:t xml:space="preserve">, </w:t>
      </w:r>
      <w:r>
        <w:rPr>
          <w:rtl w:val="true"/>
        </w:rPr>
        <w:t>הרים את חולצתה ונגע בחזה</w:t>
      </w:r>
      <w:r>
        <w:rPr>
          <w:rtl w:val="true"/>
        </w:rPr>
        <w:t xml:space="preserve">, </w:t>
      </w:r>
      <w:r>
        <w:rPr>
          <w:rtl w:val="true"/>
        </w:rPr>
        <w:t>ניסה להוריד את מכנסיה ונגע באיבר מינה מעל לבגדים תוך שב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>
          <w:rtl w:val="true"/>
        </w:rPr>
        <w:t>מתנגדת למעשיו</w:t>
      </w:r>
      <w:r>
        <w:rPr>
          <w:rtl w:val="true"/>
        </w:rPr>
        <w:t xml:space="preserve">, </w:t>
      </w:r>
      <w:r>
        <w:rPr>
          <w:rtl w:val="true"/>
        </w:rPr>
        <w:t>ואומרת לו להפסיק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הושיב המערער את  ב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>
          <w:rtl w:val="true"/>
        </w:rPr>
        <w:t>בכוח על כיסא</w:t>
      </w:r>
      <w:r>
        <w:rPr>
          <w:rtl w:val="true"/>
        </w:rPr>
        <w:t xml:space="preserve">, </w:t>
      </w:r>
      <w:r>
        <w:rPr>
          <w:rtl w:val="true"/>
        </w:rPr>
        <w:t>נגע בגופה ונשך אותה ברגליה ואמר כי הוא עושה זאת כדי ללמד אותה לקח על שדיברה עם אחר</w:t>
      </w:r>
      <w:r>
        <w:rPr>
          <w:rtl w:val="true"/>
        </w:rPr>
        <w:t xml:space="preserve">. </w:t>
      </w:r>
      <w:r>
        <w:rPr>
          <w:rtl w:val="true"/>
        </w:rPr>
        <w:t>לאחר מכן</w:t>
      </w:r>
      <w:r>
        <w:rPr>
          <w:rtl w:val="true"/>
        </w:rPr>
        <w:t xml:space="preserve">, </w:t>
      </w:r>
      <w:r>
        <w:rPr>
          <w:rtl w:val="true"/>
        </w:rPr>
        <w:t>נעל המערער את ב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>
          <w:rtl w:val="true"/>
        </w:rPr>
        <w:t>בחדר פנימי</w:t>
      </w:r>
      <w:r>
        <w:rPr>
          <w:rtl w:val="true"/>
        </w:rPr>
        <w:t xml:space="preserve">, </w:t>
      </w:r>
      <w:r>
        <w:rPr>
          <w:rtl w:val="true"/>
        </w:rPr>
        <w:t>ורק לאחר פעמים רבות שב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>
          <w:rtl w:val="true"/>
        </w:rPr>
        <w:t>ביקשה לצאת מן המספרה</w:t>
      </w:r>
      <w:r>
        <w:rPr>
          <w:rtl w:val="true"/>
        </w:rPr>
        <w:t xml:space="preserve">, </w:t>
      </w:r>
      <w:r>
        <w:rPr>
          <w:rtl w:val="true"/>
        </w:rPr>
        <w:t>הסכים המערער לפתוח את דלת המספרה ואפשר לה לצאת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בגין מעשים אלה</w:t>
      </w:r>
      <w:r>
        <w:rPr>
          <w:rtl w:val="true"/>
        </w:rPr>
        <w:t xml:space="preserve">, </w:t>
      </w:r>
      <w:r>
        <w:rPr>
          <w:rtl w:val="true"/>
        </w:rPr>
        <w:t xml:space="preserve">יוחסו למערער עבירות של מעשה מגונה לפי </w:t>
      </w:r>
      <w:hyperlink r:id="rId1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348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בנסיבות </w:t>
      </w:r>
      <w:hyperlink r:id="rId1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3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rtl w:val="true"/>
        </w:rPr>
        <w:t xml:space="preserve">וכליאת שווא לפי </w:t>
      </w:r>
      <w:hyperlink r:id="rId1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377</w:t>
        </w:r>
      </w:hyperlink>
      <w:r>
        <w:rPr>
          <w:rtl w:val="true"/>
        </w:rPr>
        <w:t xml:space="preserve"> </w:t>
      </w:r>
      <w:r>
        <w:rPr>
          <w:rtl w:val="true"/>
        </w:rPr>
        <w:t>רישא לחוק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Normal"/>
        <w:overflowPunct w:val="true"/>
        <w:autoSpaceDE w:val="true"/>
        <w:bidi w:val="0"/>
        <w:jc w:val="start"/>
        <w:textAlignment w:val="auto"/>
        <w:rPr>
          <w:rFonts w:ascii="Century" w:hAnsi="Century" w:cs="Miriam"/>
          <w:b/>
          <w:sz w:val="22"/>
        </w:rPr>
      </w:pPr>
      <w:r>
        <w:rPr>
          <w:rFonts w:cs="Miriam" w:ascii="Century" w:hAnsi="Century"/>
          <w:b/>
          <w:sz w:val="22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ההליכים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המחוזי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באשר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לאישום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הראשון</w:t>
      </w:r>
      <w:r>
        <w:rPr>
          <w:rtl w:val="true"/>
        </w:rPr>
        <w:t xml:space="preserve"> המערער לא חלק על קיום יחסי מין עם  ח</w:t>
      </w:r>
      <w:r>
        <w:rPr>
          <w:rtl w:val="true"/>
        </w:rPr>
        <w:t>'</w:t>
      </w:r>
      <w:r>
        <w:rPr>
          <w:rtl w:val="true"/>
        </w:rPr>
        <w:t xml:space="preserve">. </w:t>
      </w:r>
      <w:r>
        <w:rPr>
          <w:rtl w:val="true"/>
        </w:rPr>
        <w:t>המחלוקת התמקדה בשאלת קיום הסכמה מצד  ח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>
          <w:rtl w:val="true"/>
        </w:rPr>
        <w:t>או העדרה</w:t>
      </w:r>
      <w:r>
        <w:rPr>
          <w:rtl w:val="true"/>
        </w:rPr>
        <w:t xml:space="preserve">. </w:t>
      </w:r>
      <w:r>
        <w:rPr>
          <w:rtl w:val="true"/>
        </w:rPr>
        <w:t>המערער טען כי  ח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>
          <w:rtl w:val="true"/>
        </w:rPr>
        <w:t>הסכימה למעשים ולא ביקשה ממנו לחדול</w:t>
      </w:r>
      <w:r>
        <w:rPr>
          <w:rtl w:val="true"/>
        </w:rPr>
        <w:t xml:space="preserve">, </w:t>
      </w:r>
      <w:r>
        <w:rPr>
          <w:rtl w:val="true"/>
        </w:rPr>
        <w:t>ולא הראתה כל סימני התנגדות למעשים כאשר התנהגות ח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>
          <w:rtl w:val="true"/>
        </w:rPr>
        <w:t>השתנתה במהלך קיום יחסי המין</w:t>
      </w:r>
      <w:r>
        <w:rPr>
          <w:rtl w:val="true"/>
        </w:rPr>
        <w:t xml:space="preserve">. </w:t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עמדה גרסת ח</w:t>
      </w:r>
      <w:r>
        <w:rPr>
          <w:rtl w:val="true"/>
        </w:rPr>
        <w:t xml:space="preserve">' </w:t>
      </w:r>
      <w:r>
        <w:rPr>
          <w:rtl w:val="true"/>
        </w:rPr>
        <w:t>לפיה המעשים נעשו בה שלא בהסכמתה ובניגוד לרצונה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eastAsia="Garamond"/>
        </w:rPr>
      </w:pPr>
      <w:r>
        <w:rPr>
          <w:rFonts w:eastAsia="Garamond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אישום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גידף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מחוץ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למספרה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נכנסה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למספרה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ומשכך</w:t>
      </w:r>
      <w:r>
        <w:rPr>
          <w:rtl w:val="true"/>
        </w:rPr>
        <w:t xml:space="preserve">, </w:t>
      </w:r>
      <w:r>
        <w:rPr>
          <w:rtl w:val="true"/>
        </w:rPr>
        <w:t>כפר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המיוחס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בית המשפט הרשיע את המערער בעבירת האינוס שבאישום הראשון וזיכה אותו מעבירות מעשה הסדום וכליאת השווא</w:t>
      </w:r>
      <w:r>
        <w:rPr>
          <w:rtl w:val="true"/>
        </w:rPr>
        <w:t xml:space="preserve">. </w:t>
      </w:r>
      <w:r>
        <w:rPr>
          <w:rtl w:val="true"/>
        </w:rPr>
        <w:t>לאחר שקבע כי גרסת  ח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>
          <w:rtl w:val="true"/>
        </w:rPr>
        <w:t>בדבר כפיית המגע המיני בכוח וללא הסכמה נמצאה מהימנה ואמינה</w:t>
      </w:r>
      <w:r>
        <w:rPr>
          <w:rtl w:val="true"/>
        </w:rPr>
        <w:t xml:space="preserve">, </w:t>
      </w:r>
      <w:r>
        <w:rPr>
          <w:rtl w:val="true"/>
        </w:rPr>
        <w:t>ודחה את גרסתו של המערער</w:t>
      </w:r>
      <w:r>
        <w:rPr>
          <w:rtl w:val="true"/>
        </w:rPr>
        <w:t xml:space="preserve">. </w:t>
      </w:r>
      <w:r>
        <w:rPr>
          <w:rtl w:val="true"/>
        </w:rPr>
        <w:t>יחד עם זאת</w:t>
      </w:r>
      <w:r>
        <w:rPr>
          <w:rtl w:val="true"/>
        </w:rPr>
        <w:t xml:space="preserve">, </w:t>
      </w:r>
      <w:r>
        <w:rPr>
          <w:rtl w:val="true"/>
        </w:rPr>
        <w:t>נקבע כי עדות  ח</w:t>
      </w:r>
      <w:r>
        <w:rPr>
          <w:rtl w:val="true"/>
        </w:rPr>
        <w:t xml:space="preserve">' </w:t>
      </w:r>
      <w:r>
        <w:rPr>
          <w:rtl w:val="true"/>
        </w:rPr>
        <w:t>אינה מקימה בסיס לעבירת מעשה סדום וכליאת שווא שיוחסו למערער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בית המשפט קבע</w:t>
      </w:r>
      <w:r>
        <w:rPr>
          <w:rtl w:val="true"/>
        </w:rPr>
        <w:t xml:space="preserve">, </w:t>
      </w:r>
      <w:r>
        <w:rPr>
          <w:rtl w:val="true"/>
        </w:rPr>
        <w:t>כי הפסקת מעשה הבעילה על ידי המערער משהבחין בשינוי שחל בהתנהגות ח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>
          <w:rtl w:val="true"/>
        </w:rPr>
        <w:t>מתיישבת עם הבנתו שביצע את המעשה בניגוד לרצונה</w:t>
      </w:r>
      <w:r>
        <w:rPr>
          <w:rtl w:val="true"/>
        </w:rPr>
        <w:t xml:space="preserve">. </w:t>
      </w:r>
      <w:r>
        <w:rPr>
          <w:rtl w:val="true"/>
        </w:rPr>
        <w:t>כך גם</w:t>
      </w:r>
      <w:r>
        <w:rPr>
          <w:rtl w:val="true"/>
        </w:rPr>
        <w:t xml:space="preserve">, </w:t>
      </w:r>
      <w:r>
        <w:rPr>
          <w:rtl w:val="true"/>
        </w:rPr>
        <w:t>מספר השיחות הרב שביצע אל ח</w:t>
      </w:r>
      <w:r>
        <w:rPr>
          <w:rtl w:val="true"/>
        </w:rPr>
        <w:t xml:space="preserve">' </w:t>
      </w:r>
      <w:r>
        <w:rPr>
          <w:rtl w:val="true"/>
        </w:rPr>
        <w:t>וההודעות הרבות ששלח לה מיד לאחר שנפרדו</w:t>
      </w:r>
      <w:r>
        <w:rPr>
          <w:rtl w:val="true"/>
        </w:rPr>
        <w:t xml:space="preserve">, </w:t>
      </w:r>
      <w:r>
        <w:rPr>
          <w:rtl w:val="true"/>
        </w:rPr>
        <w:t>מלמדות על הלחץ והדאגה שחש נוכח מעשיו</w:t>
      </w:r>
      <w:r>
        <w:rPr>
          <w:rtl w:val="true"/>
        </w:rPr>
        <w:t xml:space="preserve">. </w:t>
      </w:r>
      <w:r>
        <w:rPr>
          <w:rtl w:val="true"/>
        </w:rPr>
        <w:t>חיזוק לעדות ח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>
          <w:rtl w:val="true"/>
        </w:rPr>
        <w:t xml:space="preserve">מצא בית המשפט בתוכן שיחת הטלפון שלה עם חברתה </w:t>
      </w:r>
      <w:r>
        <w:rPr>
          <w:rtl w:val="true"/>
        </w:rPr>
        <w:t>(</w:t>
      </w:r>
      <w:r>
        <w:rPr>
          <w:rtl w:val="true"/>
        </w:rPr>
        <w:t>מ</w:t>
      </w:r>
      <w:r>
        <w:rPr>
          <w:rtl w:val="true"/>
        </w:rPr>
        <w:t xml:space="preserve">') </w:t>
      </w:r>
      <w:r>
        <w:rPr>
          <w:rtl w:val="true"/>
        </w:rPr>
        <w:t>מיד לאחר האונס</w:t>
      </w:r>
      <w:r>
        <w:rPr>
          <w:rtl w:val="true"/>
        </w:rPr>
        <w:t xml:space="preserve">; </w:t>
      </w:r>
      <w:r>
        <w:rPr>
          <w:rtl w:val="true"/>
        </w:rPr>
        <w:t xml:space="preserve">בעדות שותפתה לדירה 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') </w:t>
      </w:r>
      <w:r>
        <w:rPr>
          <w:rtl w:val="true"/>
        </w:rPr>
        <w:t>שפגשה בה לאחר המקרה ועדות אמה</w:t>
      </w:r>
      <w:r>
        <w:rPr>
          <w:rtl w:val="true"/>
        </w:rPr>
        <w:t xml:space="preserve">. </w:t>
      </w:r>
      <w:r>
        <w:rPr>
          <w:rtl w:val="true"/>
        </w:rPr>
        <w:t>כל אלו העידו על סערת רוחה של  ח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>
          <w:rtl w:val="true"/>
        </w:rPr>
        <w:t>לאחר האונס</w:t>
      </w:r>
      <w:r>
        <w:rPr>
          <w:rtl w:val="true"/>
        </w:rPr>
        <w:t xml:space="preserve">. </w:t>
      </w:r>
      <w:r>
        <w:rPr>
          <w:rtl w:val="true"/>
        </w:rPr>
        <w:t>ביחס לעדויות עובדי המספרה לפיהן  ח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>
          <w:rtl w:val="true"/>
        </w:rPr>
        <w:t>גילתה עניין במערער ועדות שכנו דאז לפיה המערער וח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>
          <w:rtl w:val="true"/>
        </w:rPr>
        <w:t xml:space="preserve">התנהלו באופן </w:t>
      </w:r>
      <w:r>
        <w:rPr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רגיל</w:t>
      </w:r>
      <w:r>
        <w:rPr>
          <w:rtl w:val="true"/>
        </w:rPr>
        <w:t xml:space="preserve">' </w:t>
      </w:r>
      <w:r>
        <w:rPr>
          <w:rtl w:val="true"/>
        </w:rPr>
        <w:t>ביציאתם מהדירה</w:t>
      </w:r>
      <w:r>
        <w:rPr>
          <w:rtl w:val="true"/>
        </w:rPr>
        <w:t xml:space="preserve">, </w:t>
      </w:r>
      <w:r>
        <w:rPr>
          <w:rtl w:val="true"/>
        </w:rPr>
        <w:t>קבע בית המשפט כי אין בהן כדי להעיד על הסכמתה של ח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>
          <w:rtl w:val="true"/>
        </w:rPr>
        <w:t>למגע מיני עם המערער במהלך שהותם בדירה</w:t>
      </w:r>
      <w:r>
        <w:rPr>
          <w:rtl w:val="true"/>
        </w:rPr>
        <w:t xml:space="preserve">. 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בית המשפט הרשיע את המערער בעבירות נשוא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השני</w:t>
      </w:r>
      <w:r>
        <w:rPr>
          <w:rtl w:val="true"/>
        </w:rPr>
        <w:t xml:space="preserve"> לאחר שמצא את עדותה של  ב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>
          <w:rtl w:val="true"/>
        </w:rPr>
        <w:t>כנה ואמיתית והעדיף אותה על פני עדות המערער ועד ההגנה מטעמו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הוסיף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מחזקות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הדמיון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בהתנהגותו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האלימה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בשני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האישומים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Normal"/>
        <w:overflowPunct w:val="true"/>
        <w:autoSpaceDE w:val="true"/>
        <w:bidi w:val="0"/>
        <w:jc w:val="start"/>
        <w:textAlignment w:val="auto"/>
        <w:rPr>
          <w:rFonts w:ascii="Century" w:hAnsi="Century" w:cs="Miriam"/>
          <w:b/>
          <w:sz w:val="22"/>
        </w:rPr>
      </w:pPr>
      <w:r>
        <w:rPr>
          <w:rFonts w:cs="Miriam" w:ascii="Century" w:hAnsi="Century"/>
          <w:b/>
          <w:sz w:val="22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גזר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דינו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המחוזי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בקביעת מתחם העונש ההולם עמד בית המשפט על הערכים החברתיים שנפגעו </w:t>
      </w:r>
      <w:r>
        <w:rPr>
          <w:rtl w:val="true"/>
        </w:rPr>
        <w:t>–</w:t>
      </w:r>
      <w:r>
        <w:rPr>
          <w:rtl w:val="true"/>
        </w:rPr>
        <w:t xml:space="preserve">  כבודן</w:t>
      </w:r>
      <w:r>
        <w:rPr>
          <w:rtl w:val="true"/>
        </w:rPr>
        <w:t xml:space="preserve">, </w:t>
      </w:r>
      <w:r>
        <w:rPr>
          <w:rtl w:val="true"/>
        </w:rPr>
        <w:t>שלומן וביטחונן הפיזי והנפשי של נשים</w:t>
      </w:r>
      <w:r>
        <w:rPr>
          <w:rtl w:val="true"/>
        </w:rPr>
        <w:t xml:space="preserve">; </w:t>
      </w:r>
      <w:r>
        <w:rPr>
          <w:rtl w:val="true"/>
        </w:rPr>
        <w:t>הפגיעה הקשה בשתי המתלוננות כפי שבאה לידי ביטוי בתסקירים בעניינן</w:t>
      </w:r>
      <w:r>
        <w:rPr>
          <w:rtl w:val="true"/>
        </w:rPr>
        <w:t xml:space="preserve">; </w:t>
      </w:r>
      <w:r>
        <w:rPr>
          <w:rtl w:val="true"/>
        </w:rPr>
        <w:t>ומדיניות הענישה המחמירה הנהוגה בעבירות מין</w:t>
      </w:r>
      <w:r>
        <w:rPr>
          <w:rtl w:val="true"/>
        </w:rPr>
        <w:t xml:space="preserve">. </w:t>
      </w:r>
      <w:r>
        <w:rPr>
          <w:rtl w:val="true"/>
        </w:rPr>
        <w:t>עוד עמד בית המשפט על נסיבות ביצוע העבירות ביניהן</w:t>
      </w:r>
      <w:r>
        <w:rPr>
          <w:rtl w:val="true"/>
        </w:rPr>
        <w:t xml:space="preserve">: </w:t>
      </w:r>
      <w:r>
        <w:rPr>
          <w:rtl w:val="true"/>
        </w:rPr>
        <w:t>העדר תכנון ומחשבה מוקדמת</w:t>
      </w:r>
      <w:r>
        <w:rPr>
          <w:rtl w:val="true"/>
        </w:rPr>
        <w:t xml:space="preserve">; </w:t>
      </w:r>
      <w:r>
        <w:rPr>
          <w:rtl w:val="true"/>
        </w:rPr>
        <w:t>הנזקים החמורים שנגרמו למתלוננות</w:t>
      </w:r>
      <w:r>
        <w:rPr>
          <w:rtl w:val="true"/>
        </w:rPr>
        <w:t xml:space="preserve">; </w:t>
      </w:r>
      <w:r>
        <w:rPr>
          <w:rtl w:val="true"/>
        </w:rPr>
        <w:t>יכולתו של המערער להבין את הפסול במעשיו ולהימנע מביצוע המעשים תוך שצוין כי חדל ממעשיו נוכח תגובת  ח</w:t>
      </w:r>
      <w:r>
        <w:rPr>
          <w:rtl w:val="true"/>
        </w:rPr>
        <w:t>'</w:t>
      </w:r>
      <w:r>
        <w:rPr>
          <w:rtl w:val="true"/>
        </w:rPr>
        <w:t xml:space="preserve">. </w:t>
      </w:r>
      <w:r>
        <w:rPr>
          <w:rtl w:val="true"/>
        </w:rPr>
        <w:t xml:space="preserve">בית המשפט קבע את מתחם העונש הראוי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באישום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הראשון</w:t>
      </w:r>
      <w:r>
        <w:rPr>
          <w:rtl w:val="true"/>
        </w:rPr>
        <w:t xml:space="preserve"> מארבעים ושניים ועד תשעים ושישה חודשי מאסר ו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באישום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משישה ועד שישה עשר חודשי מאסר וגזר על  המערער עונש של חמישים חודשי מאסר לריצוי בפועל</w:t>
      </w:r>
      <w:r>
        <w:rPr>
          <w:rtl w:val="true"/>
        </w:rPr>
        <w:t xml:space="preserve">, </w:t>
      </w:r>
      <w:r>
        <w:rPr>
          <w:rtl w:val="true"/>
        </w:rPr>
        <w:t xml:space="preserve">מאסר מותנה ותשלום </w:t>
      </w:r>
      <w:r>
        <w:rPr/>
        <w:t>70,000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 לח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20,000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 לב</w:t>
      </w:r>
      <w:r>
        <w:rPr>
          <w:rtl w:val="true"/>
        </w:rPr>
        <w:t>'</w:t>
      </w:r>
      <w:r>
        <w:rPr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תמצית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המערער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/>
        <w:t>6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המערער סבור כי המשיבה לא הוכיחה את אשמתו מעל לספק סביר</w:t>
      </w:r>
      <w:r>
        <w:rPr>
          <w:rtl w:val="true"/>
        </w:rPr>
        <w:t xml:space="preserve">. </w:t>
      </w:r>
      <w:r>
        <w:rPr>
          <w:rtl w:val="true"/>
        </w:rPr>
        <w:t>טענותיו מופנות בעיקרן לקביעות המהימנות של בית המשפט המחוזי ואי מתן משקל ראוי לעדי ההגנה אשר לדידו</w:t>
      </w:r>
      <w:r>
        <w:rPr>
          <w:rtl w:val="true"/>
        </w:rPr>
        <w:t xml:space="preserve">, </w:t>
      </w:r>
      <w:r>
        <w:rPr>
          <w:rtl w:val="true"/>
        </w:rPr>
        <w:t>מבססים את חפותו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ביחס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לאישום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הראשון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המערער טוען כי בעדות  ח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>
          <w:rtl w:val="true"/>
        </w:rPr>
        <w:t>קיימות סתירות ואי בהירות ועל כן לשיטתו</w:t>
      </w:r>
      <w:r>
        <w:rPr>
          <w:rtl w:val="true"/>
        </w:rPr>
        <w:t xml:space="preserve">, </w:t>
      </w:r>
      <w:r>
        <w:rPr>
          <w:rtl w:val="true"/>
        </w:rPr>
        <w:t>עדותה אינה מהימנה ואינה סבירה</w:t>
      </w:r>
      <w:r>
        <w:rPr>
          <w:rtl w:val="true"/>
        </w:rPr>
        <w:t xml:space="preserve">. </w:t>
      </w:r>
      <w:r>
        <w:rPr>
          <w:rtl w:val="true"/>
        </w:rPr>
        <w:t>המערער מצביע</w:t>
      </w:r>
      <w:r>
        <w:rPr>
          <w:rtl w:val="true"/>
        </w:rPr>
        <w:t xml:space="preserve">, </w:t>
      </w:r>
      <w:r>
        <w:rPr>
          <w:rtl w:val="true"/>
        </w:rPr>
        <w:t>בין השאר</w:t>
      </w:r>
      <w:r>
        <w:rPr>
          <w:rtl w:val="true"/>
        </w:rPr>
        <w:t xml:space="preserve">, </w:t>
      </w:r>
      <w:r>
        <w:rPr>
          <w:rtl w:val="true"/>
        </w:rPr>
        <w:t>על דבריה של  ח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>
          <w:rtl w:val="true"/>
        </w:rPr>
        <w:t>בשיחת הטלפון עם חברתה מיד לאחר האירוע מהם עולה לשיטתו</w:t>
      </w:r>
      <w:r>
        <w:rPr>
          <w:rtl w:val="true"/>
        </w:rPr>
        <w:t xml:space="preserve">, </w:t>
      </w:r>
      <w:r>
        <w:rPr>
          <w:rtl w:val="true"/>
        </w:rPr>
        <w:t>סתירה ביחס לעדותה בנוגע להבנתה לאן מובילים מעשי המערער ובאשר להבעת התנגדותה למעשים</w:t>
      </w:r>
      <w:r>
        <w:rPr>
          <w:rtl w:val="true"/>
        </w:rPr>
        <w:t xml:space="preserve">. </w:t>
      </w:r>
      <w:r>
        <w:rPr>
          <w:rtl w:val="true"/>
        </w:rPr>
        <w:t>עוד טוען המערער</w:t>
      </w:r>
      <w:r>
        <w:rPr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tl w:val="true"/>
        </w:rPr>
        <w:t xml:space="preserve">עומד לו סייג לאחריות הפלילית לפי </w:t>
      </w:r>
      <w:hyperlink r:id="rId2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</w:t>
        </w:r>
        <w:r>
          <w:rPr>
            <w:rStyle w:val="Hyperlink"/>
            <w:color w:val="0000FF"/>
            <w:u w:val="single"/>
            <w:rtl w:val="true"/>
          </w:rPr>
          <w:t>יח</w:t>
        </w:r>
      </w:hyperlink>
      <w:r>
        <w:rPr>
          <w:rtl w:val="true"/>
        </w:rPr>
        <w:t xml:space="preserve"> ל</w:t>
      </w:r>
      <w:hyperlink r:id="rId2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טעות במצב דברים</w:t>
      </w:r>
      <w:r>
        <w:rPr>
          <w:rtl w:val="true"/>
        </w:rPr>
        <w:t xml:space="preserve">, </w:t>
      </w:r>
      <w:r>
        <w:rPr>
          <w:rtl w:val="true"/>
        </w:rPr>
        <w:t>משסבר כי ח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>
          <w:rtl w:val="true"/>
        </w:rPr>
        <w:t>מעוניינת במעשים ובמגע המיני וכי לא ניתן היה להסיק מהתנהגותה אי הסכמה</w:t>
      </w:r>
      <w:r>
        <w:rPr>
          <w:rtl w:val="true"/>
        </w:rPr>
        <w:t xml:space="preserve">. 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ביחס</w:t>
      </w:r>
      <w:r>
        <w:rPr>
          <w:rFonts w:ascii="Century" w:hAnsi="Century" w:cs="Century"/>
          <w:sz w:val="22"/>
          <w:sz w:val="22"/>
          <w:rtl w:val="true"/>
        </w:rPr>
        <w:t xml:space="preserve"> ל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אישום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מצביע המערער בין השאר</w:t>
      </w:r>
      <w:r>
        <w:rPr>
          <w:rtl w:val="true"/>
        </w:rPr>
        <w:t xml:space="preserve">, </w:t>
      </w:r>
      <w:r>
        <w:rPr>
          <w:rtl w:val="true"/>
        </w:rPr>
        <w:t>על פרטים אותם נמנעה לשיטתו  ב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>
          <w:rtl w:val="true"/>
        </w:rPr>
        <w:t>מלהזכיר בחקירתה במשטרה ובעדותה</w:t>
      </w:r>
      <w:r>
        <w:rPr>
          <w:rtl w:val="true"/>
        </w:rPr>
        <w:t xml:space="preserve">, </w:t>
      </w:r>
      <w:r>
        <w:rPr>
          <w:rtl w:val="true"/>
        </w:rPr>
        <w:t>ופוגעים במהימנותה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</w:p>
    <w:p>
      <w:pPr>
        <w:pStyle w:val="Ruller4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טוען המערער לקיומם של מחדלי חקירה אשר פגעו בהגנתו</w:t>
      </w:r>
      <w:r>
        <w:rPr>
          <w:rtl w:val="true"/>
        </w:rPr>
        <w:t xml:space="preserve">, </w:t>
      </w:r>
      <w:r>
        <w:rPr>
          <w:rtl w:val="true"/>
        </w:rPr>
        <w:t>ובכלל זה העדר ניסיונה של המשטרה לאתר את שכניו של המערער על מנת לחקור אותם</w:t>
      </w:r>
      <w:r>
        <w:rPr>
          <w:rtl w:val="true"/>
        </w:rPr>
        <w:t xml:space="preserve">; </w:t>
      </w:r>
      <w:r>
        <w:rPr>
          <w:rtl w:val="true"/>
        </w:rPr>
        <w:t>העדר תיעוד חזותי לעימות שנערך בין ב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>
          <w:rtl w:val="true"/>
        </w:rPr>
        <w:t>למערער</w:t>
      </w:r>
      <w:r>
        <w:rPr>
          <w:rtl w:val="true"/>
        </w:rPr>
        <w:t xml:space="preserve">.   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באשר לעונש טוען המערער כי העונש שנגזר עליו מכביד בנסיבות העניין וחורג לחומרה ממדיניות הענישה הנוהגת במקרים דומים</w:t>
      </w:r>
      <w:r>
        <w:rPr>
          <w:rtl w:val="true"/>
        </w:rPr>
        <w:t xml:space="preserve">. </w:t>
      </w:r>
      <w:r>
        <w:rPr>
          <w:rtl w:val="true"/>
        </w:rPr>
        <w:t>המערער מפנה לתסקיר שירות המבחן שניתן בעניינו במסגרתו הומלץ להתחשב בנסיבות חייו</w:t>
      </w:r>
      <w:r>
        <w:rPr>
          <w:rtl w:val="true"/>
        </w:rPr>
        <w:t xml:space="preserve">, </w:t>
      </w:r>
      <w:r>
        <w:rPr>
          <w:rtl w:val="true"/>
        </w:rPr>
        <w:t>גילו הצעיר</w:t>
      </w:r>
      <w:r>
        <w:rPr>
          <w:rtl w:val="true"/>
        </w:rPr>
        <w:t xml:space="preserve">, </w:t>
      </w:r>
      <w:r>
        <w:rPr>
          <w:rtl w:val="true"/>
        </w:rPr>
        <w:t>והשתתפותו בקבוצות טיפול במהלך מעצרו</w:t>
      </w:r>
      <w:r>
        <w:rPr>
          <w:rtl w:val="true"/>
        </w:rPr>
        <w:t xml:space="preserve">. </w:t>
      </w:r>
      <w:r>
        <w:rPr>
          <w:rtl w:val="true"/>
        </w:rPr>
        <w:t xml:space="preserve">ביחס לנסיבות ביצוע העבירות נטען כי לא קדם להן תכנון מוקדם וכי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הראשון</w:t>
      </w:r>
      <w:r>
        <w:rPr>
          <w:rtl w:val="true"/>
        </w:rPr>
        <w:t xml:space="preserve"> לא כלל שימוש באלימות</w:t>
      </w:r>
      <w:r>
        <w:rPr>
          <w:rtl w:val="true"/>
        </w:rPr>
        <w:t xml:space="preserve">. </w:t>
      </w:r>
      <w:r>
        <w:rPr>
          <w:rtl w:val="true"/>
        </w:rPr>
        <w:t>עוד נטען כי בגין ההליכים בתיק זה המערער</w:t>
      </w:r>
      <w:r>
        <w:rPr>
          <w:rtl w:val="true"/>
        </w:rPr>
        <w:t xml:space="preserve">, </w:t>
      </w:r>
      <w:r>
        <w:rPr>
          <w:rtl w:val="true"/>
        </w:rPr>
        <w:t>שהינו נעדר עבר פלילי</w:t>
      </w:r>
      <w:r>
        <w:rPr>
          <w:rtl w:val="true"/>
        </w:rPr>
        <w:t xml:space="preserve">, </w:t>
      </w:r>
      <w:r>
        <w:rPr>
          <w:rtl w:val="true"/>
        </w:rPr>
        <w:t>שהה במעצר ארבעה חודשים ובהמשך שהה ארבעה עשר חודשים בפיקוח אלקטרוני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עמדת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המשיבה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tl w:val="true"/>
        </w:rPr>
        <w:t>לשיטת המשיבה יש לדחות את הערעור על שני חלקיו</w:t>
      </w:r>
      <w:r>
        <w:rPr>
          <w:rtl w:val="true"/>
        </w:rPr>
        <w:t xml:space="preserve">. </w:t>
      </w:r>
      <w:r>
        <w:rPr>
          <w:rtl w:val="true"/>
        </w:rPr>
        <w:t>טיעוני המערער לא מצדיקים חריגה מהכלל לפיו ערכאת הערעור אינה מתערבת בממצאי מהימנות שקבעה הערכאה הדיונית</w:t>
      </w:r>
      <w:r>
        <w:rPr>
          <w:rtl w:val="true"/>
        </w:rPr>
        <w:t xml:space="preserve">. </w:t>
      </w:r>
      <w:r>
        <w:rPr>
          <w:rtl w:val="true"/>
        </w:rPr>
        <w:t>הכרעת דינו של בית המשפט המחוזי מבוססת על מתן אמון מלא בעדותה של  ח</w:t>
      </w:r>
      <w:r>
        <w:rPr>
          <w:rtl w:val="true"/>
        </w:rPr>
        <w:t xml:space="preserve">' </w:t>
      </w:r>
      <w:r>
        <w:rPr>
          <w:rtl w:val="true"/>
        </w:rPr>
        <w:t>לפיה היא הביעה התנגדות ברורה ומפורשת</w:t>
      </w:r>
      <w:r>
        <w:rPr>
          <w:rtl w:val="true"/>
        </w:rPr>
        <w:t xml:space="preserve">, </w:t>
      </w:r>
      <w:r>
        <w:rPr>
          <w:rtl w:val="true"/>
        </w:rPr>
        <w:t>בדיבור ובמעשה למעשיו של המערער תוך דחיית גרסת המערער כי המעשים נעשו בהסכמה</w:t>
      </w:r>
      <w:r>
        <w:rPr>
          <w:rtl w:val="true"/>
        </w:rPr>
        <w:t xml:space="preserve">. </w:t>
      </w:r>
      <w:r>
        <w:rPr>
          <w:rtl w:val="true"/>
        </w:rPr>
        <w:t>בית המשפט מצא חיזוקים לגרסתה של ח</w:t>
      </w:r>
      <w:r>
        <w:rPr>
          <w:rtl w:val="true"/>
        </w:rPr>
        <w:t xml:space="preserve">', </w:t>
      </w:r>
      <w:r>
        <w:rPr>
          <w:rtl w:val="true"/>
        </w:rPr>
        <w:t>בהם הקלטת שיחת  ח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>
          <w:rtl w:val="true"/>
        </w:rPr>
        <w:t>מיד לאחר האונס</w:t>
      </w:r>
      <w:r>
        <w:rPr>
          <w:rtl w:val="true"/>
        </w:rPr>
        <w:t xml:space="preserve">, </w:t>
      </w:r>
      <w:r>
        <w:rPr>
          <w:rtl w:val="true"/>
        </w:rPr>
        <w:t xml:space="preserve">עם חברתה </w:t>
      </w:r>
      <w:r>
        <w:rPr>
          <w:rtl w:val="true"/>
        </w:rPr>
        <w:t>(</w:t>
      </w:r>
      <w:r>
        <w:rPr>
          <w:rtl w:val="true"/>
        </w:rPr>
        <w:t>מ</w:t>
      </w:r>
      <w:r>
        <w:rPr>
          <w:rtl w:val="true"/>
        </w:rPr>
        <w:t xml:space="preserve">'), </w:t>
      </w:r>
      <w:r>
        <w:rPr>
          <w:rtl w:val="true"/>
        </w:rPr>
        <w:t>שהעידה בפני בית המשפט</w:t>
      </w:r>
      <w:r>
        <w:rPr>
          <w:rtl w:val="true"/>
        </w:rPr>
        <w:t>,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ממנה עולה דיווח מיידי על האונס וסערת הרגשות בה היתה מצויה ח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בסמוך לאחר מעשה האונס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עדויות חברותיה של  ח</w:t>
      </w:r>
      <w:r>
        <w:rPr>
          <w:rFonts w:cs="Century" w:ascii="Century" w:hAnsi="Century"/>
          <w:rtl w:val="true"/>
        </w:rPr>
        <w:t>' (</w:t>
      </w:r>
      <w:r>
        <w:rPr>
          <w:rFonts w:ascii="Century" w:hAnsi="Century" w:cs="Century"/>
          <w:rtl w:val="true"/>
        </w:rPr>
        <w:t>מ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ו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א</w:t>
      </w:r>
      <w:r>
        <w:rPr>
          <w:rFonts w:cs="Century" w:ascii="Century" w:hAnsi="Century"/>
          <w:rtl w:val="true"/>
        </w:rPr>
        <w:t xml:space="preserve">') </w:t>
      </w:r>
      <w:r>
        <w:rPr>
          <w:rFonts w:ascii="Century" w:hAnsi="Century" w:cs="Century"/>
          <w:rtl w:val="true"/>
        </w:rPr>
        <w:t>ועדות אמה בדבר מצבה הנפשי של ח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לאחר האונס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ריבוי שיחות הטלפון וההודעות מצד המערער אל ח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לאחר האונס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Century"/>
          <w:rtl w:val="true"/>
        </w:rPr>
        <w:t>שמאפייניו דומים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בהתייחס להרשעת המערער באישום השני הפנתה המשיבה לדברי בית המשפט קמא שהתרשם ממהימנותה של ב</w:t>
      </w:r>
      <w:r>
        <w:rPr>
          <w:rFonts w:cs="Century" w:ascii="Century" w:hAnsi="Century"/>
          <w:sz w:val="22"/>
          <w:rtl w:val="true"/>
        </w:rPr>
        <w:t xml:space="preserve">', </w:t>
      </w:r>
      <w:r>
        <w:rPr>
          <w:rFonts w:ascii="Century" w:hAnsi="Century" w:cs="Century"/>
          <w:sz w:val="22"/>
          <w:sz w:val="22"/>
          <w:rtl w:val="true"/>
        </w:rPr>
        <w:t>כשהמעשה באישום הראשון מהווה חיזוק לאשר התרחש באישום השני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sz w:val="22"/>
          <w:sz w:val="22"/>
          <w:rtl w:val="true"/>
        </w:rPr>
        <w:t>באשר לטענות המערער למחדלי חקירה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הגיבה המשיבה בתמצית כי אין בהן דבר ובפרט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כי לא היה במחדל שנבע מאי איתור העדים שישבו מחוץ לדירת המערער כדי לסייע למערער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משעדותם ממילא לא נוגעת ליריעת המחלוקת העוסקת בשאלת הסכמת  ח</w:t>
      </w:r>
      <w:r>
        <w:rPr>
          <w:rFonts w:cs="Century" w:ascii="Century" w:hAnsi="Century"/>
          <w:sz w:val="22"/>
          <w:rtl w:val="true"/>
        </w:rPr>
        <w:t>'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לעמדת המשיבה העונש שהושת על המערער הינו ראוי והולם את חומרת מעשיו ומשקלל את נסיבות הקולא שהובאו לזכותו</w:t>
      </w:r>
      <w:r>
        <w:rPr>
          <w:rtl w:val="true"/>
        </w:rPr>
        <w:t xml:space="preserve">. </w:t>
      </w:r>
      <w:r>
        <w:rPr>
          <w:rtl w:val="true"/>
        </w:rPr>
        <w:t>המשיבה מצביעה על התנהלותו של המערער בשני האישומים כאשר המערער התעלם מרצונותיהן של המתלוננות</w:t>
      </w:r>
      <w:r>
        <w:rPr>
          <w:rtl w:val="true"/>
        </w:rPr>
        <w:t xml:space="preserve">, </w:t>
      </w:r>
      <w:r>
        <w:rPr>
          <w:rtl w:val="true"/>
        </w:rPr>
        <w:t>לא שעה להתנגדותן וראה בהן כלי לסיפוק יצריו תוך שהותירן פגועות כפי שעולה מתסקירי נפגעות העבירה שהוגשו בעניין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הלכה היא כי ערכאת הערעור אינה נוטה להתערב בממצאי עובדה וקביעות מהימנות של הערכאה הדיונית</w:t>
      </w:r>
      <w:r>
        <w:rPr>
          <w:rtl w:val="true"/>
        </w:rPr>
        <w:t xml:space="preserve">, </w:t>
      </w:r>
      <w:r>
        <w:rPr>
          <w:rtl w:val="true"/>
        </w:rPr>
        <w:t>משלזו האחרונה יתרון מובנה על פני ערכאת הערעור</w:t>
      </w:r>
      <w:r>
        <w:rPr>
          <w:rtl w:val="true"/>
        </w:rPr>
        <w:t xml:space="preserve">, </w:t>
      </w:r>
      <w:r>
        <w:rPr>
          <w:rtl w:val="true"/>
        </w:rPr>
        <w:t>הנובע מהאפשרות להתרשמות בלתי אמצעית מן העדויות הנשמעות בפניה</w:t>
      </w:r>
      <w:r>
        <w:rPr>
          <w:rtl w:val="true"/>
        </w:rPr>
        <w:t xml:space="preserve">, </w:t>
      </w:r>
      <w:r>
        <w:rPr>
          <w:rtl w:val="true"/>
        </w:rPr>
        <w:t>ושאינן נחלתה של ערכאת הערעור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Fonts w:eastAsia="Garamond"/>
          <w:rtl w:val="true"/>
        </w:rPr>
        <w:t xml:space="preserve"> </w:t>
      </w:r>
    </w:p>
    <w:p>
      <w:pPr>
        <w:pStyle w:val="Ruller5"/>
        <w:ind w:end="1282"/>
        <w:jc w:val="both"/>
        <w:rPr>
          <w:rFonts w:ascii="Century" w:hAnsi="Century" w:cs="Century"/>
        </w:rPr>
      </w:pPr>
      <w:r>
        <w:rPr>
          <w:rtl w:val="true"/>
        </w:rPr>
        <w:t>"</w:t>
      </w:r>
      <w:r>
        <w:rPr>
          <w:rtl w:val="true"/>
        </w:rPr>
        <w:t>עדיפות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נובעת</w:t>
      </w:r>
      <w:r>
        <w:rPr>
          <w:rtl w:val="true"/>
        </w:rPr>
        <w:t xml:space="preserve">, </w:t>
      </w:r>
      <w:r>
        <w:rPr>
          <w:rtl w:val="true"/>
        </w:rPr>
        <w:t>בראש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ובראשונה</w:t>
      </w:r>
      <w:r>
        <w:rPr>
          <w:rtl w:val="true"/>
        </w:rPr>
        <w:t xml:space="preserve">, </w:t>
      </w:r>
      <w:r>
        <w:rPr>
          <w:rtl w:val="true"/>
        </w:rPr>
        <w:t>מהכלים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העומדים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המהימנות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עדים</w:t>
      </w:r>
      <w:r>
        <w:rPr>
          <w:rtl w:val="true"/>
        </w:rPr>
        <w:t xml:space="preserve">. </w:t>
      </w:r>
      <w:r>
        <w:rPr>
          <w:rtl w:val="true"/>
        </w:rPr>
        <w:t>כלים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כוללים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בסעיף</w:t>
      </w:r>
      <w:r>
        <w:rPr>
          <w:rFonts w:eastAsia="Arial TUR;Arial" w:cs="Arial TUR;Arial"/>
          <w:rtl w:val="true"/>
        </w:rPr>
        <w:t xml:space="preserve"> </w:t>
      </w:r>
      <w:r>
        <w:rPr/>
        <w:t>53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22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הראיות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],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>-</w:t>
      </w:r>
      <w:r>
        <w:rPr/>
        <w:t>1971</w:t>
      </w:r>
      <w:r>
        <w:rPr>
          <w:rtl w:val="true"/>
        </w:rPr>
        <w:t>, "</w:t>
      </w:r>
      <w:r>
        <w:rPr>
          <w:rtl w:val="true"/>
        </w:rPr>
        <w:t>התנהגותם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העדים</w:t>
      </w:r>
      <w:r>
        <w:rPr>
          <w:rtl w:val="true"/>
        </w:rPr>
        <w:t xml:space="preserve">, 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הענין</w:t>
      </w:r>
      <w:r>
        <w:rPr>
          <w:rtl w:val="true"/>
        </w:rPr>
        <w:t xml:space="preserve">, </w:t>
      </w:r>
      <w:r>
        <w:rPr>
          <w:rtl w:val="true"/>
        </w:rPr>
        <w:t>ואותות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המתגלים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".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פעם</w:t>
      </w:r>
      <w:r>
        <w:rPr>
          <w:rtl w:val="true"/>
        </w:rPr>
        <w:t xml:space="preserve">, </w:t>
      </w:r>
      <w:r>
        <w:rPr>
          <w:rtl w:val="true"/>
        </w:rPr>
        <w:t>במיוחד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במצבים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סותרות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נתמכות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כדבעי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חיצוניות</w:t>
      </w:r>
      <w:r>
        <w:rPr>
          <w:rtl w:val="true"/>
        </w:rPr>
        <w:t xml:space="preserve">, </w:t>
      </w:r>
      <w:r>
        <w:rPr>
          <w:rtl w:val="true"/>
        </w:rPr>
        <w:t>האמון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מבוסס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בעיקר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פנימית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הנובעת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אותות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המתגלים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" </w:t>
      </w:r>
      <w:r>
        <w:rPr>
          <w:rtl w:val="true"/>
        </w:rPr>
        <w:t>מתוך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התנהגותם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העדים</w:t>
      </w:r>
      <w:r>
        <w:rPr>
          <w:rtl w:val="true"/>
        </w:rPr>
        <w:t>"."</w:t>
      </w:r>
      <w:r>
        <w:rPr>
          <w:rFonts w:cs="Century" w:ascii="Century" w:hAnsi="Century"/>
          <w:rtl w:val="true"/>
        </w:rPr>
        <w:t xml:space="preserve"> (</w:t>
      </w:r>
      <w:hyperlink r:id="rId23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9352/99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יומטוביאן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cs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FrankRuehl" w:ascii="FrankRuehl" w:hAnsi="FrankRuehl"/>
        </w:rPr>
        <w:t>5.10.2000</w:t>
      </w:r>
      <w:r>
        <w:rPr>
          <w:rFonts w:cs="Century" w:ascii="Century" w:hAnsi="Century"/>
          <w:rtl w:val="true"/>
        </w:rPr>
        <w:t xml:space="preserve">)). </w:t>
      </w:r>
    </w:p>
    <w:p>
      <w:pPr>
        <w:pStyle w:val="Ruller41"/>
        <w:ind w:end="0"/>
        <w:jc w:val="both"/>
        <w:rPr/>
      </w:pPr>
      <w:r>
        <w:rPr>
          <w:rtl w:val="true"/>
        </w:rPr>
        <w:br/>
        <w:tab/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hyperlink r:id="rId2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9458/05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רחמילוב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24.7.2006</w:t>
      </w:r>
      <w:r>
        <w:rPr>
          <w:rtl w:val="true"/>
        </w:rPr>
        <w:t>) "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תחליף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קליטה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הרואה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העדים</w:t>
      </w:r>
      <w:r>
        <w:rPr>
          <w:rtl w:val="true"/>
        </w:rPr>
        <w:t xml:space="preserve">, </w:t>
      </w:r>
      <w:r>
        <w:rPr>
          <w:rtl w:val="true"/>
        </w:rPr>
        <w:t>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הניואנסים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בדבריהם</w:t>
      </w:r>
      <w:r>
        <w:rPr>
          <w:rtl w:val="true"/>
        </w:rPr>
        <w:t xml:space="preserve">, </w:t>
      </w:r>
      <w:r>
        <w:rPr>
          <w:rtl w:val="true"/>
        </w:rPr>
        <w:t>וקובע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ממצאי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המהימנות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בהסתמך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דק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נבדק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גבוה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שהעיד</w:t>
      </w:r>
      <w:r>
        <w:rPr>
          <w:rtl w:val="true"/>
        </w:rPr>
        <w:t>' (</w:t>
      </w:r>
      <w:r>
        <w:rPr>
          <w:rtl w:val="true"/>
        </w:rPr>
        <w:t>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זילברג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hyperlink r:id="rId2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377/62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לוי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היועץ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המשפטי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יז</w:t>
        </w:r>
      </w:hyperlink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 </w:t>
      </w:r>
      <w:r>
        <w:rPr/>
        <w:t>1065</w:t>
      </w:r>
      <w:r>
        <w:rPr>
          <w:rtl w:val="true"/>
        </w:rPr>
        <w:t xml:space="preserve">, </w:t>
      </w:r>
      <w:r>
        <w:rPr/>
        <w:t>1074</w:t>
      </w:r>
      <w:r>
        <w:rPr>
          <w:rtl w:val="true"/>
        </w:rPr>
        <w:t>)".</w:t>
      </w:r>
    </w:p>
    <w:p>
      <w:pPr>
        <w:pStyle w:val="Ruller5"/>
        <w:ind w:end="1282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הלכת אי ההתערבות מקבלת משנה תוקף כאשר מתבקשת התערבות ערכאת הערעור בממצאי מהימנות ועובדה שנקבעו על ידי הערכאה הדיונית בעבירות מין בתיקים מסוימים</w:t>
      </w:r>
      <w:r>
        <w:rPr>
          <w:rtl w:val="true"/>
        </w:rPr>
        <w:t xml:space="preserve">, </w:t>
      </w:r>
      <w:r>
        <w:rPr>
          <w:rtl w:val="true"/>
        </w:rPr>
        <w:t xml:space="preserve">כאשר מעשה האונס מתבצע </w:t>
      </w:r>
      <w:r>
        <w:rPr>
          <w:rtl w:val="true"/>
        </w:rPr>
        <w:t>"</w:t>
      </w:r>
      <w:r>
        <w:rPr>
          <w:rtl w:val="true"/>
        </w:rPr>
        <w:t>חדר לפנים מחדר</w:t>
      </w:r>
      <w:r>
        <w:rPr>
          <w:rtl w:val="true"/>
        </w:rPr>
        <w:t xml:space="preserve">", </w:t>
      </w:r>
      <w:r>
        <w:rPr>
          <w:rtl w:val="true"/>
        </w:rPr>
        <w:t>באין עדים אלא הנאשם והמתלוננת בלבד</w:t>
      </w:r>
      <w:r>
        <w:rPr>
          <w:rtl w:val="true"/>
        </w:rPr>
        <w:t xml:space="preserve">, </w:t>
      </w:r>
      <w:r>
        <w:rPr>
          <w:rtl w:val="true"/>
        </w:rPr>
        <w:t xml:space="preserve">שאז </w:t>
      </w:r>
      <w:r>
        <w:rPr>
          <w:rtl w:val="true"/>
        </w:rPr>
        <w:t>"</w:t>
      </w:r>
      <w:r>
        <w:rPr>
          <w:rtl w:val="true"/>
        </w:rPr>
        <w:t>משאמרה הערכאה הדיונית את דברה באשר להתרשמותה הישירה והאותנטית מהנפשות הפועלות</w:t>
      </w:r>
      <w:r>
        <w:rPr>
          <w:rtl w:val="true"/>
        </w:rPr>
        <w:t xml:space="preserve">, </w:t>
      </w:r>
      <w:r>
        <w:rPr>
          <w:rtl w:val="true"/>
        </w:rPr>
        <w:t>צומצם עד מאד תחומה של ערכאת הערעור</w:t>
      </w:r>
      <w:r>
        <w:rPr>
          <w:rtl w:val="true"/>
        </w:rPr>
        <w:t xml:space="preserve">. </w:t>
      </w:r>
      <w:r>
        <w:rPr>
          <w:rtl w:val="true"/>
        </w:rPr>
        <w:t>המשוכה שעל פניה חייב נאשם בסיטואציה מעין זו לחלוף בערעורו גבוהה ביותר</w:t>
      </w:r>
      <w:r>
        <w:rPr>
          <w:rtl w:val="true"/>
        </w:rPr>
        <w:t>..." (</w:t>
      </w:r>
      <w:hyperlink r:id="rId2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6295/05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וקנין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25.1.2007</w:t>
      </w:r>
      <w:r>
        <w:rPr>
          <w:rtl w:val="true"/>
        </w:rPr>
        <w:t xml:space="preserve">)).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עיון בהודעת הערעור בעיקרי הטיעון ושמיעת טענות הצדדים</w:t>
      </w:r>
      <w:r>
        <w:rPr>
          <w:rtl w:val="true"/>
        </w:rPr>
        <w:t xml:space="preserve">, </w:t>
      </w:r>
      <w:r>
        <w:rPr>
          <w:rtl w:val="true"/>
        </w:rPr>
        <w:t>מלמד כי עיקרו של הערעור הוא בתקיפת ממצאי עובדה ומהימנות שנקבעו על ידי בית המשפט קמא</w:t>
      </w:r>
      <w:r>
        <w:rPr>
          <w:rtl w:val="true"/>
        </w:rPr>
        <w:t xml:space="preserve">, </w:t>
      </w:r>
      <w:r>
        <w:rPr>
          <w:rtl w:val="true"/>
        </w:rPr>
        <w:t>שבאלה אין דרכה של ערכאת הערעור להתערב</w:t>
      </w:r>
      <w:r>
        <w:rPr>
          <w:rtl w:val="true"/>
        </w:rPr>
        <w:t xml:space="preserve">, </w:t>
      </w:r>
      <w:r>
        <w:rPr>
          <w:rtl w:val="true"/>
        </w:rPr>
        <w:t>אלא במקרים חריגים שאינם מתקיימים בענייננו</w:t>
      </w:r>
      <w:r>
        <w:rPr>
          <w:rtl w:val="true"/>
        </w:rPr>
        <w:t xml:space="preserve">. </w:t>
      </w:r>
      <w:r>
        <w:rPr>
          <w:rtl w:val="true"/>
        </w:rPr>
        <w:t xml:space="preserve">לפירוט רשימת החריגים ראה </w:t>
      </w:r>
      <w:hyperlink r:id="rId2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1193/16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סונגו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17.5.2018</w:t>
      </w:r>
      <w:r>
        <w:rPr>
          <w:rtl w:val="true"/>
        </w:rPr>
        <w:t xml:space="preserve">)).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יריעת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המחלוקת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ההסכמה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העדרה</w:t>
      </w:r>
      <w:r>
        <w:rPr>
          <w:rtl w:val="true"/>
        </w:rPr>
        <w:t xml:space="preserve">, </w:t>
      </w:r>
      <w:r>
        <w:rPr>
          <w:rtl w:val="true"/>
        </w:rPr>
        <w:t>מיקד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ובצדק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דיונו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בנקודה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מנקודת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</w:t>
      </w:r>
      <w:r>
        <w:rPr>
          <w:rtl w:val="true"/>
        </w:rPr>
        <w:t>', "</w:t>
      </w:r>
      <w:r>
        <w:rPr>
          <w:rtl w:val="true"/>
        </w:rPr>
        <w:t>אולם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בהיותם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הטעונה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הכרעה</w:t>
      </w:r>
      <w:r>
        <w:rPr>
          <w:rtl w:val="true"/>
        </w:rPr>
        <w:t>" (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55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בית המשפט קמא היה ער ומודע לטענותיו של המערער בדבר אותן סתירות ותמיהות לכאורה שעלו מגרסתה של ח</w:t>
      </w:r>
      <w:r>
        <w:rPr>
          <w:rtl w:val="true"/>
        </w:rPr>
        <w:t xml:space="preserve">' </w:t>
      </w:r>
      <w:r>
        <w:rPr>
          <w:rtl w:val="true"/>
        </w:rPr>
        <w:t xml:space="preserve">אותן פירט בפסקה </w:t>
      </w:r>
      <w:r>
        <w:rPr/>
        <w:t>52</w:t>
      </w:r>
      <w:r>
        <w:rPr>
          <w:rtl w:val="true"/>
        </w:rPr>
        <w:t xml:space="preserve"> </w:t>
      </w:r>
      <w:r>
        <w:rPr>
          <w:rtl w:val="true"/>
        </w:rPr>
        <w:t>להכרעת הדין</w:t>
      </w:r>
      <w:r>
        <w:rPr>
          <w:rtl w:val="true"/>
        </w:rPr>
        <w:t xml:space="preserve">, </w:t>
      </w:r>
      <w:r>
        <w:rPr>
          <w:rtl w:val="true"/>
        </w:rPr>
        <w:t>אך בסופו של יום</w:t>
      </w:r>
      <w:r>
        <w:rPr>
          <w:rtl w:val="true"/>
        </w:rPr>
        <w:t xml:space="preserve">, </w:t>
      </w:r>
      <w:r>
        <w:rPr>
          <w:rtl w:val="true"/>
        </w:rPr>
        <w:t>וחרף האמור</w:t>
      </w:r>
      <w:r>
        <w:rPr>
          <w:rtl w:val="true"/>
        </w:rPr>
        <w:t xml:space="preserve">, </w:t>
      </w:r>
      <w:r>
        <w:rPr>
          <w:rtl w:val="true"/>
        </w:rPr>
        <w:t>ולאור התרשמותו החיובית ממהימנותה של  ח</w:t>
      </w:r>
      <w:r>
        <w:rPr>
          <w:rtl w:val="true"/>
        </w:rPr>
        <w:t xml:space="preserve">', </w:t>
      </w:r>
      <w:r>
        <w:rPr>
          <w:rtl w:val="true"/>
        </w:rPr>
        <w:t>קבע כי הדברים שמסרה ח</w:t>
      </w:r>
      <w:r>
        <w:rPr>
          <w:rtl w:val="true"/>
        </w:rPr>
        <w:t xml:space="preserve">' </w:t>
      </w:r>
      <w:r>
        <w:rPr>
          <w:rtl w:val="true"/>
        </w:rPr>
        <w:t xml:space="preserve">המתייחסים לליבת המחלוקת </w:t>
      </w:r>
      <w:r>
        <w:rPr>
          <w:rtl w:val="true"/>
        </w:rPr>
        <w:t>–</w:t>
      </w:r>
      <w:r>
        <w:rPr>
          <w:rtl w:val="true"/>
        </w:rPr>
        <w:t xml:space="preserve"> הבעת אי הסכמתה לנגיעותיו של המערער באיבריה המוצנעים ובהמשך לבעילתה </w:t>
      </w:r>
      <w:r>
        <w:rPr>
          <w:rtl w:val="true"/>
        </w:rPr>
        <w:t>–</w:t>
      </w:r>
      <w:r>
        <w:rPr>
          <w:rtl w:val="true"/>
        </w:rPr>
        <w:t xml:space="preserve"> הינם אמת</w:t>
      </w:r>
      <w:r>
        <w:rPr>
          <w:rtl w:val="true"/>
        </w:rPr>
        <w:t xml:space="preserve">. </w:t>
      </w:r>
      <w:r>
        <w:rPr>
          <w:rtl w:val="true"/>
        </w:rPr>
        <w:t>בית המשפט התרשם כי  ח</w:t>
      </w:r>
      <w:r>
        <w:rPr>
          <w:rtl w:val="true"/>
        </w:rPr>
        <w:t>'</w:t>
      </w:r>
      <w:r>
        <w:rPr>
          <w:rtl w:val="true"/>
        </w:rPr>
        <w:t xml:space="preserve"> "</w:t>
      </w:r>
      <w:r>
        <w:rPr>
          <w:rFonts w:ascii="Arial" w:hAnsi="Arial" w:cs="Arial"/>
          <w:spacing w:val="22"/>
          <w:rtl w:val="true"/>
        </w:rPr>
        <w:t>העידה בפתיחות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>ציינה השתלשלות האירועים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>לטוב ולרע מבחינתה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>תוך שלא כיחדה כי היו מעשים שנעשו מרצונה</w:t>
      </w:r>
      <w:r>
        <w:rPr>
          <w:rFonts w:cs="Arial" w:ascii="Arial" w:hAnsi="Arial"/>
          <w:spacing w:val="22"/>
          <w:rtl w:val="true"/>
        </w:rPr>
        <w:t xml:space="preserve">: </w:t>
      </w:r>
      <w:r>
        <w:rPr>
          <w:rFonts w:ascii="Arial" w:hAnsi="Arial" w:cs="Arial"/>
          <w:spacing w:val="22"/>
          <w:rtl w:val="true"/>
        </w:rPr>
        <w:t>רכיבתה על אופניו של הנאשם על מנת לשתות בירה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>הנשיקה הראשונה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>אך הבהירה בעדותה כי סירבה למגע מיני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>הביאה זאת לידיעת הנאשם הן בדיבור והן במעשה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>ציינה כי חששה למין שאינו מוגן אך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>כך העידה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>הנאשם התעלם כליל מרצונה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>מהתנגדותה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>מדבריה וממעשיה</w:t>
      </w:r>
      <w:r>
        <w:rPr>
          <w:rtl w:val="true"/>
        </w:rPr>
        <w:t xml:space="preserve">".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ממצאי המהימנות</w:t>
      </w:r>
      <w:r>
        <w:rPr>
          <w:rtl w:val="true"/>
        </w:rPr>
        <w:t xml:space="preserve">, </w:t>
      </w:r>
      <w:r>
        <w:rPr>
          <w:rtl w:val="true"/>
        </w:rPr>
        <w:t>כפי שנקבעו על ידי בית המשפט קמא</w:t>
      </w:r>
      <w:r>
        <w:rPr>
          <w:rtl w:val="true"/>
        </w:rPr>
        <w:t xml:space="preserve">, </w:t>
      </w:r>
      <w:r>
        <w:rPr>
          <w:rtl w:val="true"/>
        </w:rPr>
        <w:t>מעוגנים בראיות שבאו לפניו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תוכן שיחתה של ח</w:t>
      </w:r>
      <w:r>
        <w:rPr>
          <w:rtl w:val="true"/>
        </w:rPr>
        <w:t xml:space="preserve">' </w:t>
      </w:r>
      <w:r>
        <w:rPr>
          <w:rtl w:val="true"/>
        </w:rPr>
        <w:t>עם חברתה מ</w:t>
      </w:r>
      <w:r>
        <w:rPr>
          <w:rtl w:val="true"/>
        </w:rPr>
        <w:t xml:space="preserve">' </w:t>
      </w:r>
      <w:r>
        <w:rPr>
          <w:rtl w:val="true"/>
        </w:rPr>
        <w:t>מיד לאחר מעשה האונס כפי שתועדו בת</w:t>
      </w:r>
      <w:r>
        <w:rPr>
          <w:rtl w:val="true"/>
        </w:rPr>
        <w:t>/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ותמליל ת</w:t>
      </w:r>
      <w:r>
        <w:rPr>
          <w:rtl w:val="true"/>
        </w:rPr>
        <w:t>/</w:t>
      </w:r>
      <w:r>
        <w:rPr/>
        <w:t>15</w:t>
      </w:r>
      <w:r>
        <w:rPr>
          <w:rtl w:val="true"/>
        </w:rPr>
        <w:t xml:space="preserve">. </w:t>
      </w:r>
      <w:r>
        <w:rPr>
          <w:rtl w:val="true"/>
        </w:rPr>
        <w:t>מהאזנה לשיחה וקריאת תמלולה ניכר כי  ח</w:t>
      </w:r>
      <w:r>
        <w:rPr>
          <w:rtl w:val="true"/>
        </w:rPr>
        <w:t xml:space="preserve">' </w:t>
      </w:r>
      <w:r>
        <w:rPr>
          <w:rtl w:val="true"/>
        </w:rPr>
        <w:t>משיחה לפי תומה וחוזרת בפני חברתה על דבריה בדבר אי הסכמתה והתנגדותה למעשיו של המערער</w:t>
      </w:r>
      <w:r>
        <w:rPr>
          <w:rtl w:val="true"/>
        </w:rPr>
        <w:t xml:space="preserve">, </w:t>
      </w:r>
      <w:r>
        <w:rPr>
          <w:rtl w:val="true"/>
        </w:rPr>
        <w:t>כשהיא חוזרת ומציינת את אי הסכמתה למעשיו של המערער יותר מאשר פעם אחת</w:t>
      </w:r>
      <w:r>
        <w:rPr>
          <w:rtl w:val="true"/>
        </w:rPr>
        <w:t>. "</w:t>
      </w:r>
      <w:r>
        <w:rPr>
          <w:rtl w:val="true"/>
        </w:rPr>
        <w:t>אני אמרתי לו שאני לא רוצה</w:t>
      </w:r>
      <w:r>
        <w:rPr>
          <w:rtl w:val="true"/>
        </w:rPr>
        <w:t xml:space="preserve">"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4</w:t>
      </w:r>
      <w:r>
        <w:rPr>
          <w:rtl w:val="true"/>
        </w:rPr>
        <w:t>; "</w:t>
      </w:r>
      <w:r>
        <w:rPr>
          <w:rtl w:val="true"/>
        </w:rPr>
        <w:t xml:space="preserve">הוא סגר את הדלת </w:t>
      </w:r>
      <w:r>
        <w:rPr>
          <w:rtl w:val="true"/>
        </w:rPr>
        <w:t xml:space="preserve">... </w:t>
      </w:r>
      <w:r>
        <w:rPr>
          <w:rtl w:val="true"/>
        </w:rPr>
        <w:t>התחיל לגעת בי</w:t>
      </w:r>
      <w:r>
        <w:rPr>
          <w:rtl w:val="true"/>
        </w:rPr>
        <w:t xml:space="preserve">, </w:t>
      </w:r>
      <w:r>
        <w:rPr>
          <w:rtl w:val="true"/>
        </w:rPr>
        <w:t>הוא השכיב אותי על המיטה</w:t>
      </w:r>
      <w:r>
        <w:rPr>
          <w:rtl w:val="true"/>
        </w:rPr>
        <w:t xml:space="preserve">, </w:t>
      </w:r>
      <w:r>
        <w:rPr>
          <w:rtl w:val="true"/>
        </w:rPr>
        <w:t>הוא היה מעליי והוא לא נתן לי</w:t>
      </w:r>
      <w:r>
        <w:rPr>
          <w:rtl w:val="true"/>
        </w:rPr>
        <w:t xml:space="preserve">... </w:t>
      </w:r>
      <w:r>
        <w:rPr>
          <w:rtl w:val="true"/>
        </w:rPr>
        <w:t>לזוז</w:t>
      </w:r>
      <w:r>
        <w:rPr>
          <w:rtl w:val="true"/>
        </w:rPr>
        <w:t xml:space="preserve">. </w:t>
      </w:r>
      <w:r>
        <w:rPr>
          <w:rtl w:val="true"/>
        </w:rPr>
        <w:t>דחף לי ידיים וניסיתי להזיז לו את היד</w:t>
      </w:r>
      <w:r>
        <w:rPr>
          <w:rtl w:val="true"/>
        </w:rPr>
        <w:t xml:space="preserve">, </w:t>
      </w:r>
      <w:r>
        <w:rPr>
          <w:rtl w:val="true"/>
        </w:rPr>
        <w:t>אז אמרתי לו שאני לא רוצה</w:t>
      </w:r>
      <w:r>
        <w:rPr>
          <w:rtl w:val="true"/>
        </w:rPr>
        <w:t>"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5</w:t>
      </w:r>
      <w:r>
        <w:rPr>
          <w:rtl w:val="true"/>
        </w:rPr>
        <w:t xml:space="preserve">); </w:t>
      </w:r>
      <w:r>
        <w:rPr>
          <w:rtl w:val="true"/>
        </w:rPr>
        <w:t xml:space="preserve">בהמשך מתארת את רגע החדירה </w:t>
      </w:r>
      <w:r>
        <w:rPr>
          <w:rtl w:val="true"/>
        </w:rPr>
        <w:t>"</w:t>
      </w:r>
      <w:r>
        <w:rPr>
          <w:rtl w:val="true"/>
        </w:rPr>
        <w:t>כשהוא הכניס אני השתתקתי</w:t>
      </w:r>
      <w:r>
        <w:rPr>
          <w:rtl w:val="true"/>
        </w:rPr>
        <w:t xml:space="preserve">, </w:t>
      </w:r>
      <w:r>
        <w:rPr>
          <w:rtl w:val="true"/>
        </w:rPr>
        <w:t>הייתי משותקת</w:t>
      </w:r>
      <w:r>
        <w:rPr>
          <w:rtl w:val="true"/>
        </w:rPr>
        <w:t xml:space="preserve">, </w:t>
      </w:r>
      <w:r>
        <w:rPr>
          <w:rtl w:val="true"/>
        </w:rPr>
        <w:t>אני כבר לא יכולתי</w:t>
      </w:r>
      <w:r>
        <w:rPr>
          <w:rtl w:val="true"/>
        </w:rPr>
        <w:t xml:space="preserve">, </w:t>
      </w:r>
      <w:r>
        <w:rPr>
          <w:rtl w:val="true"/>
        </w:rPr>
        <w:t>שאלה</w:t>
      </w:r>
      <w:r>
        <w:rPr>
          <w:rtl w:val="true"/>
        </w:rPr>
        <w:t xml:space="preserve">: </w:t>
      </w:r>
      <w:r>
        <w:rPr>
          <w:rtl w:val="true"/>
        </w:rPr>
        <w:t>אבל לפני זה לא השתתקת</w:t>
      </w:r>
      <w:r>
        <w:rPr>
          <w:rtl w:val="true"/>
        </w:rPr>
        <w:t xml:space="preserve">? </w:t>
      </w:r>
      <w:r>
        <w:rPr>
          <w:rtl w:val="true"/>
        </w:rPr>
        <w:t>לא</w:t>
      </w:r>
      <w:r>
        <w:rPr>
          <w:rtl w:val="true"/>
        </w:rPr>
        <w:t xml:space="preserve">, </w:t>
      </w:r>
      <w:r>
        <w:rPr>
          <w:rtl w:val="true"/>
        </w:rPr>
        <w:t>אני אמרתי לו די תפסיק אני לא רוצה אני רוצה לשבת</w:t>
      </w:r>
      <w:r>
        <w:rPr>
          <w:rtl w:val="true"/>
        </w:rPr>
        <w:t xml:space="preserve">... </w:t>
      </w:r>
      <w:r>
        <w:rPr>
          <w:rtl w:val="true"/>
        </w:rPr>
        <w:t>חשבתי אנחנו באים לבירה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tl w:val="true"/>
        </w:rPr>
        <w:t xml:space="preserve">... </w:t>
      </w:r>
      <w:r>
        <w:rPr>
          <w:rtl w:val="true"/>
        </w:rPr>
        <w:t>אמר לי זה לא בגלל זה</w:t>
      </w:r>
      <w:r>
        <w:rPr>
          <w:rtl w:val="true"/>
        </w:rPr>
        <w:t xml:space="preserve">... </w:t>
      </w:r>
      <w:r>
        <w:rPr>
          <w:rtl w:val="true"/>
        </w:rPr>
        <w:t>לא באת בגלל זה ואני אמרתי לו</w:t>
      </w:r>
      <w:r>
        <w:rPr>
          <w:rtl w:val="true"/>
        </w:rPr>
        <w:t xml:space="preserve">, </w:t>
      </w:r>
      <w:r>
        <w:rPr>
          <w:rtl w:val="true"/>
        </w:rPr>
        <w:t>לא נכון</w:t>
      </w:r>
      <w:r>
        <w:rPr>
          <w:rtl w:val="true"/>
        </w:rPr>
        <w:t xml:space="preserve">, </w:t>
      </w:r>
      <w:r>
        <w:rPr>
          <w:rtl w:val="true"/>
        </w:rPr>
        <w:t>אני רוצה ללכת</w:t>
      </w:r>
      <w:r>
        <w:rPr>
          <w:rtl w:val="true"/>
        </w:rPr>
        <w:t>"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5</w:t>
      </w:r>
      <w:r>
        <w:rPr>
          <w:rtl w:val="true"/>
        </w:rPr>
        <w:t>). 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אבל התנשקת איתו בדירה</w:t>
      </w:r>
      <w:r>
        <w:rPr>
          <w:rtl w:val="true"/>
        </w:rPr>
        <w:t xml:space="preserve">?  </w:t>
      </w:r>
      <w:r>
        <w:rPr>
          <w:rtl w:val="true"/>
        </w:rPr>
        <w:t>החזרת לו או ש</w:t>
      </w:r>
      <w:r>
        <w:rPr>
          <w:rtl w:val="true"/>
        </w:rPr>
        <w:t xml:space="preserve">... </w:t>
      </w:r>
      <w:r>
        <w:rPr>
          <w:rtl w:val="true"/>
        </w:rPr>
        <w:t>זזת</w:t>
      </w:r>
      <w:r>
        <w:rPr>
          <w:rtl w:val="true"/>
        </w:rPr>
        <w:t xml:space="preserve">? </w:t>
      </w:r>
      <w:r>
        <w:rPr>
          <w:rtl w:val="true"/>
        </w:rPr>
        <w:t>ת</w:t>
      </w:r>
      <w:r>
        <w:rPr>
          <w:rtl w:val="true"/>
        </w:rPr>
        <w:t xml:space="preserve">. </w:t>
      </w:r>
      <w:r>
        <w:rPr>
          <w:rtl w:val="true"/>
        </w:rPr>
        <w:t>כן כן</w:t>
      </w:r>
      <w:r>
        <w:rPr>
          <w:rtl w:val="true"/>
        </w:rPr>
        <w:t xml:space="preserve">, </w:t>
      </w:r>
      <w:r>
        <w:rPr>
          <w:rtl w:val="true"/>
        </w:rPr>
        <w:t>אבל זה לא היה מרצון</w:t>
      </w:r>
      <w:r>
        <w:rPr>
          <w:rtl w:val="true"/>
        </w:rPr>
        <w:t xml:space="preserve">, </w:t>
      </w:r>
      <w:r>
        <w:rPr>
          <w:rtl w:val="true"/>
        </w:rPr>
        <w:t>זה אני לא יודעת מה זה היה</w:t>
      </w:r>
      <w:r>
        <w:rPr>
          <w:rtl w:val="true"/>
        </w:rPr>
        <w:t xml:space="preserve">, </w:t>
      </w:r>
      <w:r>
        <w:rPr>
          <w:rtl w:val="true"/>
        </w:rPr>
        <w:t xml:space="preserve">אני אבל אני אמרתי לו אני לא רוצה </w:t>
      </w:r>
      <w:r>
        <w:rPr>
          <w:rtl w:val="true"/>
        </w:rPr>
        <w:t xml:space="preserve">... </w:t>
      </w:r>
      <w:r>
        <w:rPr>
          <w:rtl w:val="true"/>
        </w:rPr>
        <w:t xml:space="preserve">אני לא רוצה </w:t>
      </w:r>
      <w:r>
        <w:rPr>
          <w:rtl w:val="true"/>
        </w:rPr>
        <w:t xml:space="preserve">... </w:t>
      </w:r>
      <w:r>
        <w:rPr>
          <w:rtl w:val="true"/>
        </w:rPr>
        <w:t>אני לא דלוקה בכלל</w:t>
      </w:r>
      <w:r>
        <w:rPr>
          <w:rtl w:val="true"/>
        </w:rPr>
        <w:t>"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7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האזנה לשיחה וקריאת התמלול אינם מותירים אפוא מקום לספק באשר לסערת הנפש שבה היתה מצויה  ח</w:t>
      </w:r>
      <w:r>
        <w:rPr>
          <w:rtl w:val="true"/>
        </w:rPr>
        <w:t xml:space="preserve">', </w:t>
      </w:r>
      <w:r>
        <w:rPr>
          <w:rtl w:val="true"/>
        </w:rPr>
        <w:t>שאך זה מקרוב עברה אירוע טראומטי שנכפה עליה</w:t>
      </w:r>
      <w:r>
        <w:rPr>
          <w:rtl w:val="true"/>
        </w:rPr>
        <w:t xml:space="preserve">. </w:t>
      </w:r>
      <w:r>
        <w:rPr>
          <w:rtl w:val="true"/>
        </w:rPr>
        <w:t>היא מתארת בפני חברתה מ</w:t>
      </w:r>
      <w:r>
        <w:rPr>
          <w:rtl w:val="true"/>
        </w:rPr>
        <w:t xml:space="preserve">' </w:t>
      </w:r>
      <w:r>
        <w:rPr>
          <w:rtl w:val="true"/>
        </w:rPr>
        <w:t xml:space="preserve">תחושות פיזיות של מחנק </w:t>
      </w:r>
      <w:r>
        <w:rPr>
          <w:rtl w:val="true"/>
        </w:rPr>
        <w:t>"</w:t>
      </w:r>
      <w:r>
        <w:rPr>
          <w:rtl w:val="true"/>
        </w:rPr>
        <w:t>אין לי אוויר</w:t>
      </w:r>
      <w:r>
        <w:rPr>
          <w:rtl w:val="true"/>
        </w:rPr>
        <w:t xml:space="preserve">, </w:t>
      </w:r>
      <w:r>
        <w:rPr>
          <w:rtl w:val="true"/>
        </w:rPr>
        <w:t>אני לא מצליחה לנשום</w:t>
      </w:r>
      <w:r>
        <w:rPr>
          <w:rtl w:val="true"/>
        </w:rPr>
        <w:t xml:space="preserve">"; </w:t>
      </w:r>
      <w:r>
        <w:rPr>
          <w:rtl w:val="true"/>
        </w:rPr>
        <w:t xml:space="preserve">תחושות גועל </w:t>
      </w:r>
      <w:r>
        <w:rPr>
          <w:rtl w:val="true"/>
        </w:rPr>
        <w:t>"</w:t>
      </w:r>
      <w:r>
        <w:rPr>
          <w:rtl w:val="true"/>
        </w:rPr>
        <w:t>בא לי להקיא</w:t>
      </w:r>
      <w:r>
        <w:rPr>
          <w:rtl w:val="true"/>
        </w:rPr>
        <w:t xml:space="preserve">"; </w:t>
      </w:r>
      <w:r>
        <w:rPr>
          <w:rtl w:val="true"/>
        </w:rPr>
        <w:t xml:space="preserve">רצון להתכנסות עצמית </w:t>
      </w:r>
      <w:r>
        <w:rPr>
          <w:rtl w:val="true"/>
        </w:rPr>
        <w:t>"</w:t>
      </w:r>
      <w:r>
        <w:rPr>
          <w:rtl w:val="true"/>
        </w:rPr>
        <w:t>אני רוצה להגיע לדירה שלי</w:t>
      </w:r>
      <w:r>
        <w:rPr>
          <w:rtl w:val="true"/>
        </w:rPr>
        <w:t xml:space="preserve">... </w:t>
      </w:r>
      <w:r>
        <w:rPr>
          <w:rtl w:val="true"/>
        </w:rPr>
        <w:t>אני רוצה להיכנס למיטה שלי</w:t>
      </w:r>
      <w:r>
        <w:rPr>
          <w:rtl w:val="true"/>
        </w:rPr>
        <w:t xml:space="preserve">"; </w:t>
      </w:r>
      <w:r>
        <w:rPr>
          <w:rtl w:val="true"/>
        </w:rPr>
        <w:t>ח</w:t>
      </w:r>
      <w:r>
        <w:rPr>
          <w:rtl w:val="true"/>
        </w:rPr>
        <w:t xml:space="preserve">' </w:t>
      </w:r>
      <w:r>
        <w:rPr>
          <w:rtl w:val="true"/>
        </w:rPr>
        <w:t>היתה מבולבלת</w:t>
      </w:r>
      <w:r>
        <w:rPr>
          <w:rtl w:val="true"/>
        </w:rPr>
        <w:t xml:space="preserve">, </w:t>
      </w:r>
      <w:r>
        <w:rPr>
          <w:rtl w:val="true"/>
        </w:rPr>
        <w:t>מגומגמת</w:t>
      </w:r>
      <w:r>
        <w:rPr>
          <w:rtl w:val="true"/>
        </w:rPr>
        <w:t xml:space="preserve">, </w:t>
      </w:r>
      <w:r>
        <w:rPr>
          <w:rtl w:val="true"/>
        </w:rPr>
        <w:t xml:space="preserve">לא מרוכזת ומוצפת ברגשי אשם על כי לא זיהתה את הסכנה שבסיטואציה מעצם לכתה עם המערער לדירתו </w:t>
      </w:r>
      <w:r>
        <w:rPr>
          <w:rtl w:val="true"/>
        </w:rPr>
        <w:t>"</w:t>
      </w:r>
      <w:r>
        <w:rPr>
          <w:rtl w:val="true"/>
        </w:rPr>
        <w:t>כן אני חשבתי שזה לשבת לבירה</w:t>
      </w:r>
      <w:r>
        <w:rPr>
          <w:rtl w:val="true"/>
        </w:rPr>
        <w:t xml:space="preserve">, </w:t>
      </w:r>
      <w:r>
        <w:rPr>
          <w:rtl w:val="true"/>
        </w:rPr>
        <w:t>את מבינה איזה סתומה אני</w:t>
      </w:r>
      <w:r>
        <w:rPr>
          <w:rtl w:val="true"/>
        </w:rPr>
        <w:t xml:space="preserve">? </w:t>
      </w:r>
      <w:r>
        <w:rPr>
          <w:rtl w:val="true"/>
        </w:rPr>
        <w:t>אני סתומה</w:t>
      </w:r>
      <w:r>
        <w:rPr>
          <w:rtl w:val="true"/>
        </w:rPr>
        <w:t xml:space="preserve">... </w:t>
      </w:r>
      <w:r>
        <w:rPr>
          <w:rtl w:val="true"/>
        </w:rPr>
        <w:t>אני מפגרת</w:t>
      </w:r>
      <w:r>
        <w:rPr>
          <w:rtl w:val="true"/>
        </w:rPr>
        <w:t xml:space="preserve">... </w:t>
      </w:r>
      <w:r>
        <w:rPr>
          <w:rtl w:val="true"/>
        </w:rPr>
        <w:t>אני עוד הפעם עושה את זה לעצמי</w:t>
      </w:r>
      <w:r>
        <w:rPr>
          <w:rtl w:val="true"/>
        </w:rPr>
        <w:t xml:space="preserve">. </w:t>
      </w:r>
      <w:r>
        <w:rPr>
          <w:rtl w:val="true"/>
        </w:rPr>
        <w:t>פעם שניה כבר שאני סומכת על אנשים בלי לשים לב בלי לדאוג מה שיקרה אחרי זה</w:t>
      </w:r>
      <w:r>
        <w:rPr>
          <w:rtl w:val="true"/>
        </w:rPr>
        <w:t xml:space="preserve">". </w:t>
      </w:r>
      <w:r>
        <w:rPr>
          <w:rtl w:val="true"/>
        </w:rPr>
        <w:t>התרשמותו של בית משפט קמא מכנותה ומהימנות גרסתה של ח</w:t>
      </w:r>
      <w:r>
        <w:rPr>
          <w:rtl w:val="true"/>
        </w:rPr>
        <w:t xml:space="preserve">' </w:t>
      </w:r>
      <w:r>
        <w:rPr>
          <w:rtl w:val="true"/>
        </w:rPr>
        <w:t>מקבלת משנה תוקף מתוכן שיחתה האמורה</w:t>
      </w:r>
      <w:r>
        <w:rPr>
          <w:rtl w:val="true"/>
        </w:rPr>
        <w:t xml:space="preserve">, </w:t>
      </w:r>
      <w:r>
        <w:rPr>
          <w:rtl w:val="true"/>
        </w:rPr>
        <w:t>המשקפת את דמותה של ח</w:t>
      </w:r>
      <w:r>
        <w:rPr>
          <w:rtl w:val="true"/>
        </w:rPr>
        <w:t xml:space="preserve">', </w:t>
      </w:r>
      <w:r>
        <w:rPr>
          <w:rtl w:val="true"/>
        </w:rPr>
        <w:t>כצעירה נאיבית</w:t>
      </w:r>
      <w:r>
        <w:rPr>
          <w:rtl w:val="true"/>
        </w:rPr>
        <w:t xml:space="preserve">, </w:t>
      </w:r>
      <w:r>
        <w:rPr>
          <w:rtl w:val="true"/>
        </w:rPr>
        <w:t>לא מתוחכמת</w:t>
      </w:r>
      <w:r>
        <w:rPr>
          <w:rtl w:val="true"/>
        </w:rPr>
        <w:t xml:space="preserve">, </w:t>
      </w:r>
      <w:r>
        <w:rPr>
          <w:rtl w:val="true"/>
        </w:rPr>
        <w:t>שסיפרה את כל אשר על לבה</w:t>
      </w:r>
      <w:r>
        <w:rPr>
          <w:rtl w:val="true"/>
        </w:rPr>
        <w:t xml:space="preserve">, </w:t>
      </w:r>
      <w:r>
        <w:rPr>
          <w:rtl w:val="true"/>
        </w:rPr>
        <w:t>תוך חשיפת חלקים בהתנהלותה שלא החמיאו לה</w:t>
      </w:r>
      <w:r>
        <w:rPr>
          <w:rtl w:val="true"/>
        </w:rPr>
        <w:t xml:space="preserve">, </w:t>
      </w:r>
      <w:r>
        <w:rPr>
          <w:rtl w:val="true"/>
        </w:rPr>
        <w:t>הליכתה עם גבר זר לדירתו</w:t>
      </w:r>
      <w:r>
        <w:rPr>
          <w:rtl w:val="true"/>
        </w:rPr>
        <w:t xml:space="preserve">, </w:t>
      </w:r>
      <w:r>
        <w:rPr>
          <w:rtl w:val="true"/>
        </w:rPr>
        <w:t>הסכמתה להתנשק עמו בסוברה כי המערער יסתפק בכך ויפסיק לחתור למגע מיני עמה</w:t>
      </w:r>
      <w:r>
        <w:rPr>
          <w:rtl w:val="true"/>
        </w:rPr>
        <w:t xml:space="preserve">. </w:t>
      </w:r>
      <w:r>
        <w:rPr>
          <w:rtl w:val="true"/>
        </w:rPr>
        <w:t>הדברים העולים מן השיחה</w:t>
      </w:r>
      <w:r>
        <w:rPr>
          <w:rtl w:val="true"/>
        </w:rPr>
        <w:t xml:space="preserve">, </w:t>
      </w:r>
      <w:r>
        <w:rPr>
          <w:rtl w:val="true"/>
        </w:rPr>
        <w:t>תיאורי ח</w:t>
      </w:r>
      <w:r>
        <w:rPr>
          <w:rtl w:val="true"/>
        </w:rPr>
        <w:t xml:space="preserve">' </w:t>
      </w:r>
      <w:r>
        <w:rPr>
          <w:rtl w:val="true"/>
        </w:rPr>
        <w:t>ותחושותיה הפיזיות</w:t>
      </w:r>
      <w:r>
        <w:rPr>
          <w:rtl w:val="true"/>
        </w:rPr>
        <w:t xml:space="preserve">, </w:t>
      </w:r>
      <w:r>
        <w:rPr>
          <w:rtl w:val="true"/>
        </w:rPr>
        <w:t>עליהן מדווחת בזמן אמת מיד לאחר האונס לחברתה</w:t>
      </w:r>
      <w:r>
        <w:rPr>
          <w:rtl w:val="true"/>
        </w:rPr>
        <w:t xml:space="preserve">, </w:t>
      </w:r>
      <w:r>
        <w:rPr>
          <w:rtl w:val="true"/>
        </w:rPr>
        <w:t xml:space="preserve">ומצבה הנפשי הנסער </w:t>
      </w:r>
      <w:r>
        <w:rPr>
          <w:rtl w:val="true"/>
        </w:rPr>
        <w:t>(</w:t>
      </w:r>
      <w:r>
        <w:rPr>
          <w:rtl w:val="true"/>
        </w:rPr>
        <w:t xml:space="preserve">היכולים לעלות לכדי אמרה של קורבן אלימות לפי </w:t>
      </w:r>
      <w:hyperlink r:id="rId2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9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הראיות</w:t>
        </w:r>
      </w:hyperlink>
      <w:r>
        <w:rPr>
          <w:rtl w:val="true"/>
        </w:rPr>
        <w:t xml:space="preserve">), </w:t>
      </w:r>
      <w:r>
        <w:rPr>
          <w:rtl w:val="true"/>
        </w:rPr>
        <w:t>אינם מתיישבים עם טענת המערער כי יחסי המין בינו לבין ח</w:t>
      </w:r>
      <w:r>
        <w:rPr>
          <w:rtl w:val="true"/>
        </w:rPr>
        <w:t xml:space="preserve">' </w:t>
      </w:r>
      <w:r>
        <w:rPr>
          <w:rtl w:val="true"/>
        </w:rPr>
        <w:t>היו פרי הסכמה ורצון משותפים של שניהם</w:t>
      </w:r>
      <w:r>
        <w:rPr>
          <w:rtl w:val="true"/>
        </w:rPr>
        <w:t xml:space="preserve">. </w:t>
      </w:r>
      <w:r>
        <w:rPr>
          <w:rtl w:val="true"/>
        </w:rPr>
        <w:t>כך גם מתוך השיחה לא עולה כל רצון של ח</w:t>
      </w:r>
      <w:r>
        <w:rPr>
          <w:rtl w:val="true"/>
        </w:rPr>
        <w:t xml:space="preserve">' </w:t>
      </w:r>
      <w:r>
        <w:rPr>
          <w:rtl w:val="true"/>
        </w:rPr>
        <w:t>להתלונן על שנעשה לה</w:t>
      </w:r>
      <w:r>
        <w:rPr>
          <w:rtl w:val="true"/>
        </w:rPr>
        <w:t xml:space="preserve">, </w:t>
      </w:r>
      <w:r>
        <w:rPr>
          <w:rtl w:val="true"/>
        </w:rPr>
        <w:t>ואלמלא התעקשותה של חברתה מ</w:t>
      </w:r>
      <w:r>
        <w:rPr>
          <w:rtl w:val="true"/>
        </w:rPr>
        <w:t xml:space="preserve">' </w:t>
      </w:r>
      <w:r>
        <w:rPr>
          <w:rtl w:val="true"/>
        </w:rPr>
        <w:t>כי תיגש להתלונן</w:t>
      </w:r>
      <w:r>
        <w:rPr>
          <w:rtl w:val="true"/>
        </w:rPr>
        <w:t xml:space="preserve">, </w:t>
      </w:r>
      <w:r>
        <w:rPr>
          <w:rtl w:val="true"/>
        </w:rPr>
        <w:t>ספק אם ח</w:t>
      </w:r>
      <w:r>
        <w:rPr>
          <w:rtl w:val="true"/>
        </w:rPr>
        <w:t xml:space="preserve">' </w:t>
      </w:r>
      <w:r>
        <w:rPr>
          <w:rtl w:val="true"/>
        </w:rPr>
        <w:t>היתה מגיעה מיוזמתה לתחנת משטרה ומתלוננת</w:t>
      </w:r>
      <w:r>
        <w:rPr>
          <w:rtl w:val="true"/>
        </w:rPr>
        <w:t xml:space="preserve">. </w:t>
      </w:r>
      <w:r>
        <w:rPr>
          <w:rtl w:val="true"/>
        </w:rPr>
        <w:t>התנהלות זו איננה יכולה להלום התנהלות של מי שמבקשת לנקום במערער או להעליל עליו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יוער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לחיזוק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המשמעותי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לגרסתה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</w:t>
      </w:r>
      <w:r>
        <w:rPr>
          <w:rtl w:val="true"/>
        </w:rPr>
        <w:t xml:space="preserve">' </w:t>
      </w:r>
      <w:r>
        <w:rPr>
          <w:rtl w:val="true"/>
        </w:rPr>
        <w:t>התווספו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חיזוקים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', </w:t>
      </w:r>
      <w:r>
        <w:rPr>
          <w:rtl w:val="true"/>
        </w:rPr>
        <w:t>חברתה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ושותפתה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</w:t>
      </w:r>
      <w:r>
        <w:rPr>
          <w:rtl w:val="true"/>
        </w:rPr>
        <w:t xml:space="preserve">', </w:t>
      </w:r>
      <w:r>
        <w:rPr>
          <w:rtl w:val="true"/>
        </w:rPr>
        <w:t>ועדות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</w:t>
      </w:r>
      <w:r>
        <w:rPr>
          <w:rtl w:val="true"/>
        </w:rPr>
        <w:t xml:space="preserve">', </w:t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למצבה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האונס</w:t>
      </w:r>
      <w:r>
        <w:rPr>
          <w:rtl w:val="true"/>
        </w:rPr>
        <w:t xml:space="preserve">. </w:t>
      </w:r>
      <w:r>
        <w:rPr>
          <w:rtl w:val="true"/>
        </w:rPr>
        <w:t>לטעמי</w:t>
      </w:r>
      <w:r>
        <w:rPr>
          <w:rtl w:val="true"/>
        </w:rPr>
        <w:t xml:space="preserve">, </w:t>
      </w:r>
      <w:r>
        <w:rPr>
          <w:rtl w:val="true"/>
        </w:rPr>
        <w:t>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באלה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להיזקק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לשיחותיו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והודעותיו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התכופות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</w:t>
      </w:r>
      <w:r>
        <w:rPr>
          <w:rtl w:val="true"/>
        </w:rPr>
        <w:t xml:space="preserve">'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האונס</w:t>
      </w:r>
      <w:r>
        <w:rPr>
          <w:rtl w:val="true"/>
        </w:rPr>
        <w:t xml:space="preserve">, </w:t>
      </w:r>
      <w:r>
        <w:rPr>
          <w:rtl w:val="true"/>
        </w:rPr>
        <w:t>המשקפים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תחושת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שקיננה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לבסס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טעות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במצב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דברים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tl w:val="true"/>
        </w:rPr>
        <w:t>גרסתו של המערער היתה כי מהתנהגותה של ח</w:t>
      </w:r>
      <w:r>
        <w:rPr>
          <w:rtl w:val="true"/>
        </w:rPr>
        <w:t xml:space="preserve">' </w:t>
      </w:r>
      <w:r>
        <w:rPr>
          <w:rtl w:val="true"/>
        </w:rPr>
        <w:t>עד לאחר מספר דקות מחדירתו אליה</w:t>
      </w:r>
      <w:r>
        <w:rPr>
          <w:rtl w:val="true"/>
        </w:rPr>
        <w:t xml:space="preserve">, </w:t>
      </w:r>
      <w:r>
        <w:rPr>
          <w:rtl w:val="true"/>
        </w:rPr>
        <w:t>לא ניתן היה ללמוד על אי הסכמה או התנגדות למעשיו</w:t>
      </w:r>
      <w:r>
        <w:rPr>
          <w:rtl w:val="true"/>
        </w:rPr>
        <w:t xml:space="preserve">, </w:t>
      </w:r>
      <w:r>
        <w:rPr>
          <w:rtl w:val="true"/>
        </w:rPr>
        <w:t>וכפי שעולה מדבריו  בעמ</w:t>
      </w:r>
      <w:r>
        <w:rPr>
          <w:rtl w:val="true"/>
        </w:rPr>
        <w:t xml:space="preserve">' </w:t>
      </w:r>
      <w:r>
        <w:rPr/>
        <w:t>288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>, "</w:t>
      </w:r>
      <w:r>
        <w:rPr>
          <w:rtl w:val="true"/>
        </w:rPr>
        <w:t xml:space="preserve">נגעתי לה באיבר המין היא נהנתה </w:t>
      </w:r>
      <w:r>
        <w:rPr>
          <w:rtl w:val="true"/>
        </w:rPr>
        <w:t xml:space="preserve">..., </w:t>
      </w:r>
      <w:r>
        <w:rPr>
          <w:rtl w:val="true"/>
        </w:rPr>
        <w:t>היא זרמה עם זה</w:t>
      </w:r>
      <w:r>
        <w:rPr>
          <w:rtl w:val="true"/>
        </w:rPr>
        <w:t xml:space="preserve">, </w:t>
      </w:r>
      <w:r>
        <w:rPr>
          <w:rtl w:val="true"/>
        </w:rPr>
        <w:t>היא לא הראתה לי שום דבר שהיא לא רוצה</w:t>
      </w:r>
      <w:r>
        <w:rPr>
          <w:rtl w:val="true"/>
        </w:rPr>
        <w:t xml:space="preserve">... </w:t>
      </w:r>
      <w:r>
        <w:rPr>
          <w:rFonts w:ascii="Century" w:hAnsi="Century" w:cs="Century"/>
          <w:sz w:val="22"/>
          <w:sz w:val="22"/>
          <w:rtl w:val="true"/>
        </w:rPr>
        <w:t>היא לא הביעה התנגדות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לא הרגשתי שום דבר </w:t>
      </w:r>
      <w:r>
        <w:rPr>
          <w:rFonts w:cs="Century" w:ascii="Century" w:hAnsi="Century"/>
          <w:sz w:val="22"/>
          <w:rtl w:val="true"/>
        </w:rPr>
        <w:t>["</w:t>
      </w:r>
      <w:r>
        <w:rPr>
          <w:rFonts w:ascii="Century" w:hAnsi="Century" w:cs="Century"/>
          <w:sz w:val="22"/>
          <w:sz w:val="22"/>
          <w:rtl w:val="true"/>
        </w:rPr>
        <w:t>אי הסכמה</w:t>
      </w:r>
      <w:r>
        <w:rPr>
          <w:rFonts w:cs="Century" w:ascii="Century" w:hAnsi="Century"/>
          <w:sz w:val="22"/>
          <w:rtl w:val="true"/>
        </w:rPr>
        <w:t xml:space="preserve">" </w:t>
      </w:r>
      <w:r>
        <w:rPr>
          <w:rFonts w:ascii="Century" w:hAnsi="Century" w:cs="Century"/>
          <w:sz w:val="22"/>
          <w:sz w:val="22"/>
          <w:rtl w:val="true"/>
        </w:rPr>
        <w:t xml:space="preserve">או 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התנגדות</w:t>
      </w:r>
      <w:r>
        <w:rPr>
          <w:rFonts w:cs="Century" w:ascii="Century" w:hAnsi="Century"/>
          <w:sz w:val="22"/>
          <w:rtl w:val="true"/>
        </w:rPr>
        <w:t xml:space="preserve">" </w:t>
      </w:r>
      <w:r>
        <w:rPr>
          <w:rFonts w:cs="Century" w:ascii="Century" w:hAnsi="Century"/>
          <w:sz w:val="22"/>
          <w:rtl w:val="true"/>
        </w:rPr>
        <w:t>–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ג</w:t>
      </w:r>
      <w:r>
        <w:rPr>
          <w:rFonts w:cs="Century" w:ascii="Century" w:hAnsi="Century"/>
          <w:sz w:val="22"/>
          <w:rtl w:val="true"/>
        </w:rPr>
        <w:t>'.</w:t>
      </w:r>
      <w:r>
        <w:rPr>
          <w:rFonts w:ascii="Century" w:hAnsi="Century" w:cs="Century"/>
          <w:sz w:val="22"/>
          <w:sz w:val="22"/>
          <w:rtl w:val="true"/>
        </w:rPr>
        <w:t>ק</w:t>
      </w:r>
      <w:r>
        <w:rPr>
          <w:rFonts w:cs="Century" w:ascii="Century" w:hAnsi="Century"/>
          <w:sz w:val="22"/>
          <w:rtl w:val="true"/>
        </w:rPr>
        <w:t xml:space="preserve">]. </w:t>
      </w:r>
      <w:r>
        <w:rPr>
          <w:rFonts w:ascii="Century" w:hAnsi="Century" w:cs="Century"/>
          <w:sz w:val="22"/>
          <w:sz w:val="22"/>
          <w:rtl w:val="true"/>
        </w:rPr>
        <w:t>אם כן הייתי מרגיש יותר מוקדם שהייתי פוסק ועוזב ועוצר את כל האינטראקציה את כל האקט הרבה לפני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זה פשוט הלך והתקדם</w:t>
      </w:r>
      <w:r>
        <w:rPr>
          <w:rFonts w:cs="Century" w:ascii="Century" w:hAnsi="Century"/>
          <w:sz w:val="22"/>
          <w:rtl w:val="true"/>
        </w:rPr>
        <w:t xml:space="preserve">... </w:t>
      </w:r>
      <w:r>
        <w:rPr>
          <w:rFonts w:ascii="Century" w:hAnsi="Century" w:cs="Century"/>
          <w:sz w:val="22"/>
          <w:sz w:val="22"/>
          <w:rtl w:val="true"/>
        </w:rPr>
        <w:t>החוסר רצון שלה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הבהלה הזו הגיעה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בשלב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מאוחר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</w:t>
      </w:r>
      <w:r>
        <w:rPr>
          <w:rFonts w:ascii="Century" w:hAnsi="Century" w:cs="Century"/>
          <w:sz w:val="22"/>
          <w:sz w:val="22"/>
          <w:rtl w:val="true"/>
        </w:rPr>
        <w:t xml:space="preserve"> אני הייתי מאד שמח אם זה היה מגיע הרבה יותר מוקדם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פתאום אחרי שלוש או ארבע דקות היא השתתקה ולא הגיבה</w:t>
      </w:r>
      <w:r>
        <w:rPr>
          <w:rFonts w:cs="Century" w:ascii="Century" w:hAnsi="Century"/>
          <w:sz w:val="22"/>
          <w:rtl w:val="true"/>
        </w:rPr>
        <w:t xml:space="preserve">". </w:t>
      </w:r>
      <w:r>
        <w:rPr>
          <w:rFonts w:ascii="Century" w:hAnsi="Century" w:cs="Century"/>
          <w:sz w:val="22"/>
          <w:sz w:val="22"/>
          <w:rtl w:val="true"/>
        </w:rPr>
        <w:t>תיאור דברים דומה מסר המערער גם במהלך חקירתו הנגדית</w:t>
      </w:r>
      <w:r>
        <w:rPr>
          <w:rFonts w:cs="Century" w:ascii="Century" w:hAnsi="Century"/>
          <w:sz w:val="22"/>
          <w:rtl w:val="true"/>
        </w:rPr>
        <w:t>: "</w:t>
      </w:r>
      <w:r>
        <w:rPr>
          <w:rFonts w:ascii="Century" w:hAnsi="Century" w:cs="Century"/>
          <w:sz w:val="22"/>
          <w:sz w:val="22"/>
          <w:rtl w:val="true"/>
        </w:rPr>
        <w:t>בהתחלה היא זרמה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גנחה</w:t>
      </w:r>
      <w:r>
        <w:rPr>
          <w:rFonts w:cs="Century" w:ascii="Century" w:hAnsi="Century"/>
          <w:sz w:val="22"/>
          <w:rtl w:val="true"/>
        </w:rPr>
        <w:t xml:space="preserve">... </w:t>
      </w:r>
      <w:r>
        <w:rPr>
          <w:rFonts w:ascii="Century" w:hAnsi="Century" w:cs="Century"/>
          <w:sz w:val="22"/>
          <w:sz w:val="22"/>
          <w:rtl w:val="true"/>
        </w:rPr>
        <w:t>אתה שומע קול</w:t>
      </w:r>
      <w:r>
        <w:rPr>
          <w:rFonts w:cs="Century" w:ascii="Century" w:hAnsi="Century"/>
          <w:sz w:val="22"/>
          <w:rtl w:val="true"/>
        </w:rPr>
        <w:t xml:space="preserve">... </w:t>
      </w:r>
      <w:r>
        <w:rPr>
          <w:rFonts w:ascii="Century" w:hAnsi="Century" w:cs="Century"/>
          <w:sz w:val="22"/>
          <w:sz w:val="22"/>
          <w:rtl w:val="true"/>
        </w:rPr>
        <w:t>שומע נשיפות</w:t>
      </w:r>
      <w:r>
        <w:rPr>
          <w:rFonts w:cs="Century" w:ascii="Century" w:hAnsi="Century"/>
          <w:sz w:val="22"/>
          <w:rtl w:val="true"/>
        </w:rPr>
        <w:t xml:space="preserve">... </w:t>
      </w:r>
      <w:r>
        <w:rPr>
          <w:rFonts w:ascii="Century" w:hAnsi="Century" w:cs="Century"/>
          <w:sz w:val="22"/>
          <w:sz w:val="22"/>
          <w:rtl w:val="true"/>
        </w:rPr>
        <w:t xml:space="preserve">פתאום </w:t>
      </w:r>
      <w:r>
        <w:rPr>
          <w:rFonts w:cs="Century" w:ascii="Century" w:hAnsi="Century"/>
          <w:sz w:val="22"/>
          <w:rtl w:val="true"/>
        </w:rPr>
        <w:t>'</w:t>
      </w:r>
      <w:r>
        <w:rPr>
          <w:rFonts w:ascii="Century" w:hAnsi="Century" w:cs="Century"/>
          <w:sz w:val="22"/>
          <w:sz w:val="22"/>
          <w:rtl w:val="true"/>
        </w:rPr>
        <w:t>טאק</w:t>
      </w:r>
      <w:r>
        <w:rPr>
          <w:rFonts w:cs="Century" w:ascii="Century" w:hAnsi="Century"/>
          <w:sz w:val="22"/>
          <w:rtl w:val="true"/>
        </w:rPr>
        <w:t xml:space="preserve">' </w:t>
      </w:r>
      <w:r>
        <w:rPr>
          <w:rFonts w:ascii="Century" w:hAnsi="Century" w:cs="Century"/>
          <w:sz w:val="22"/>
          <w:sz w:val="22"/>
          <w:rtl w:val="true"/>
        </w:rPr>
        <w:t xml:space="preserve">זה כמו שאני אכבה לכם את </w:t>
      </w:r>
      <w:r>
        <w:rPr>
          <w:rFonts w:cs="Century" w:ascii="Century" w:hAnsi="Century"/>
          <w:sz w:val="22"/>
          <w:rtl w:val="true"/>
        </w:rPr>
        <w:t>'</w:t>
      </w:r>
      <w:r>
        <w:rPr>
          <w:rFonts w:ascii="Century" w:hAnsi="Century" w:cs="Century"/>
          <w:sz w:val="22"/>
          <w:sz w:val="22"/>
          <w:rtl w:val="true"/>
        </w:rPr>
        <w:t>השאלטר</w:t>
      </w:r>
      <w:r>
        <w:rPr>
          <w:rFonts w:cs="Century" w:ascii="Century" w:hAnsi="Century"/>
          <w:sz w:val="22"/>
          <w:rtl w:val="true"/>
        </w:rPr>
        <w:t xml:space="preserve">' </w:t>
      </w:r>
      <w:r>
        <w:rPr>
          <w:rFonts w:ascii="Century" w:hAnsi="Century" w:cs="Century"/>
          <w:sz w:val="22"/>
          <w:sz w:val="22"/>
          <w:rtl w:val="true"/>
        </w:rPr>
        <w:t>של האור</w:t>
      </w:r>
      <w:r>
        <w:rPr>
          <w:rFonts w:cs="Century" w:ascii="Century" w:hAnsi="Century"/>
          <w:sz w:val="22"/>
          <w:rtl w:val="true"/>
        </w:rPr>
        <w:t>" (</w:t>
      </w:r>
      <w:r>
        <w:rPr>
          <w:rFonts w:ascii="Century" w:hAnsi="Century" w:cs="Century"/>
          <w:sz w:val="22"/>
          <w:sz w:val="22"/>
          <w:rtl w:val="true"/>
        </w:rPr>
        <w:t>עמ</w:t>
      </w:r>
      <w:r>
        <w:rPr>
          <w:rFonts w:cs="Century" w:ascii="Century" w:hAnsi="Century"/>
          <w:sz w:val="22"/>
          <w:rtl w:val="true"/>
        </w:rPr>
        <w:t xml:space="preserve">' </w:t>
      </w:r>
      <w:r>
        <w:rPr>
          <w:rFonts w:cs="Century" w:ascii="Century" w:hAnsi="Century"/>
          <w:sz w:val="22"/>
        </w:rPr>
        <w:t>340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 xml:space="preserve">שורות </w:t>
      </w:r>
      <w:r>
        <w:rPr>
          <w:rFonts w:cs="Century" w:ascii="Century" w:hAnsi="Century"/>
          <w:sz w:val="22"/>
        </w:rPr>
        <w:t>16-11</w:t>
      </w:r>
      <w:r>
        <w:rPr>
          <w:rFonts w:cs="Century" w:ascii="Century" w:hAnsi="Century"/>
          <w:sz w:val="22"/>
          <w:rtl w:val="true"/>
        </w:rPr>
        <w:t>).</w:t>
      </w:r>
    </w:p>
    <w:p>
      <w:pPr>
        <w:pStyle w:val="Ruller41"/>
        <w:ind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תיאור מצב דברים זה</w:t>
      </w:r>
      <w:r>
        <w:rPr>
          <w:rtl w:val="true"/>
        </w:rPr>
        <w:t xml:space="preserve">, </w:t>
      </w:r>
      <w:r>
        <w:rPr>
          <w:rtl w:val="true"/>
        </w:rPr>
        <w:t>העולה מגרסתו של המערער</w:t>
      </w:r>
      <w:r>
        <w:rPr>
          <w:rtl w:val="true"/>
        </w:rPr>
        <w:t xml:space="preserve">, </w:t>
      </w:r>
      <w:r>
        <w:rPr>
          <w:rtl w:val="true"/>
        </w:rPr>
        <w:t>איננו מתיישב עם טענתו  לטעות במצב דברים משלגרסת המערער השינוי בהתנהגותה ובמצבה של ח</w:t>
      </w:r>
      <w:r>
        <w:rPr>
          <w:rtl w:val="true"/>
        </w:rPr>
        <w:t xml:space="preserve">' </w:t>
      </w:r>
      <w:r>
        <w:rPr>
          <w:rtl w:val="true"/>
        </w:rPr>
        <w:t xml:space="preserve">התרחש באופן מפתיע ולא צפוי רק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לאחר</w:t>
      </w:r>
      <w:r>
        <w:rPr>
          <w:rtl w:val="true"/>
        </w:rPr>
        <w:t xml:space="preserve"> שחדר אליה והיה בעיצומו של מעשה הבעילה</w:t>
      </w:r>
      <w:r>
        <w:rPr>
          <w:rtl w:val="true"/>
        </w:rPr>
        <w:t xml:space="preserve">. </w:t>
      </w:r>
      <w:r>
        <w:rPr>
          <w:rtl w:val="true"/>
        </w:rPr>
        <w:t>זיכוך גרסתו של המערער מוביל למסקנה כי אין מדובר בטענה לקיומה של טעות במצב דברים</w:t>
      </w:r>
      <w:r>
        <w:rPr>
          <w:rtl w:val="true"/>
        </w:rPr>
        <w:t xml:space="preserve">, </w:t>
      </w:r>
      <w:r>
        <w:rPr>
          <w:rtl w:val="true"/>
        </w:rPr>
        <w:t>כי אם בהעמדת גרסה נוגדת לגרסתה של ח</w:t>
      </w:r>
      <w:r>
        <w:rPr>
          <w:rtl w:val="true"/>
        </w:rPr>
        <w:t xml:space="preserve">', </w:t>
      </w:r>
      <w:r>
        <w:rPr>
          <w:rtl w:val="true"/>
        </w:rPr>
        <w:t>כאשר ח</w:t>
      </w:r>
      <w:r>
        <w:rPr>
          <w:rtl w:val="true"/>
        </w:rPr>
        <w:t xml:space="preserve">' </w:t>
      </w:r>
      <w:r>
        <w:rPr>
          <w:rtl w:val="true"/>
        </w:rPr>
        <w:t>טוענת לאי הסכמה ואילו המערער טוען כי היתה הסכמה ואף שיתוף פעולה עמו</w:t>
      </w:r>
      <w:r>
        <w:rPr>
          <w:rtl w:val="true"/>
        </w:rPr>
        <w:t xml:space="preserve">. </w:t>
      </w:r>
      <w:r>
        <w:rPr>
          <w:rtl w:val="true"/>
        </w:rPr>
        <w:t>בסופו של יום קבע בית המשפט כי יש להעדיף את גרסתה של ח</w:t>
      </w:r>
      <w:r>
        <w:rPr>
          <w:rtl w:val="true"/>
        </w:rPr>
        <w:t xml:space="preserve">' </w:t>
      </w:r>
      <w:r>
        <w:rPr>
          <w:rtl w:val="true"/>
        </w:rPr>
        <w:t>על פני גרסתו של המערער</w:t>
      </w:r>
      <w:r>
        <w:rPr>
          <w:rtl w:val="true"/>
        </w:rPr>
        <w:t xml:space="preserve">. </w:t>
      </w:r>
      <w:r>
        <w:rPr>
          <w:rtl w:val="true"/>
        </w:rPr>
        <w:t>קביעה זו היא קביעת מהימנות</w:t>
      </w:r>
      <w:r>
        <w:rPr>
          <w:rtl w:val="true"/>
        </w:rPr>
        <w:t xml:space="preserve">, </w:t>
      </w:r>
      <w:r>
        <w:rPr>
          <w:rtl w:val="true"/>
        </w:rPr>
        <w:t>שנעשתה על ידי הערכאה הדיונית ששמעה את המערער וח</w:t>
      </w:r>
      <w:r>
        <w:rPr>
          <w:rtl w:val="true"/>
        </w:rPr>
        <w:t xml:space="preserve">', </w:t>
      </w:r>
      <w:r>
        <w:rPr>
          <w:rtl w:val="true"/>
        </w:rPr>
        <w:t>והתרשמה מהמהימנות גרסתה של ח</w:t>
      </w:r>
      <w:r>
        <w:rPr>
          <w:rtl w:val="true"/>
        </w:rPr>
        <w:t xml:space="preserve">' </w:t>
      </w:r>
      <w:r>
        <w:rPr>
          <w:rtl w:val="true"/>
        </w:rPr>
        <w:t>והעדר אמינות גרסתו של המערער</w:t>
      </w:r>
      <w:r>
        <w:rPr>
          <w:rtl w:val="true"/>
        </w:rPr>
        <w:t xml:space="preserve">. </w:t>
      </w:r>
      <w:r>
        <w:rPr>
          <w:rtl w:val="true"/>
        </w:rPr>
        <w:t>לא מצאתי בטיעוני המערער והצבעתו על סתירות ותמיהות לכאורה</w:t>
      </w:r>
      <w:r>
        <w:rPr>
          <w:rtl w:val="true"/>
        </w:rPr>
        <w:t xml:space="preserve">, </w:t>
      </w:r>
      <w:r>
        <w:rPr>
          <w:rtl w:val="true"/>
        </w:rPr>
        <w:t>שאינן מצויות בליבת המחלוקת</w:t>
      </w:r>
      <w:r>
        <w:rPr>
          <w:rtl w:val="true"/>
        </w:rPr>
        <w:t xml:space="preserve">, </w:t>
      </w:r>
      <w:r>
        <w:rPr>
          <w:rtl w:val="true"/>
        </w:rPr>
        <w:t>נימוק ראוי המצדיק התערבות בקביעה זו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גם אם סבר המערער</w:t>
      </w:r>
      <w:r>
        <w:rPr>
          <w:rtl w:val="true"/>
        </w:rPr>
        <w:t xml:space="preserve">, </w:t>
      </w:r>
      <w:r>
        <w:rPr>
          <w:rtl w:val="true"/>
        </w:rPr>
        <w:t>בטעות</w:t>
      </w:r>
      <w:r>
        <w:rPr>
          <w:rtl w:val="true"/>
        </w:rPr>
        <w:t xml:space="preserve">, </w:t>
      </w:r>
      <w:r>
        <w:rPr>
          <w:rtl w:val="true"/>
        </w:rPr>
        <w:t>שהסכמתה של ח</w:t>
      </w:r>
      <w:r>
        <w:rPr>
          <w:rtl w:val="true"/>
        </w:rPr>
        <w:t xml:space="preserve">' </w:t>
      </w:r>
      <w:r>
        <w:rPr>
          <w:rtl w:val="true"/>
        </w:rPr>
        <w:t>לבוא עמו לדירתו לשתות בירה ולשמוע מוסיקה משמעה גם הסכמה לקיים עמו יחסי מין</w:t>
      </w:r>
      <w:r>
        <w:rPr>
          <w:rtl w:val="true"/>
        </w:rPr>
        <w:t xml:space="preserve">, </w:t>
      </w:r>
      <w:r>
        <w:rPr>
          <w:rtl w:val="true"/>
        </w:rPr>
        <w:t>הרי לאור ביטוי אי ההסכמה שהביעה ח</w:t>
      </w:r>
      <w:r>
        <w:rPr>
          <w:rtl w:val="true"/>
        </w:rPr>
        <w:t xml:space="preserve">' </w:t>
      </w:r>
      <w:r>
        <w:rPr>
          <w:rtl w:val="true"/>
        </w:rPr>
        <w:t>בפניו בדירה</w:t>
      </w:r>
      <w:r>
        <w:rPr>
          <w:rtl w:val="true"/>
        </w:rPr>
        <w:t xml:space="preserve">, </w:t>
      </w:r>
      <w:r>
        <w:rPr>
          <w:rtl w:val="true"/>
        </w:rPr>
        <w:t>הן מילולית והן פיזית</w:t>
      </w:r>
      <w:r>
        <w:rPr>
          <w:rtl w:val="true"/>
        </w:rPr>
        <w:t xml:space="preserve">, </w:t>
      </w:r>
      <w:r>
        <w:rPr>
          <w:rtl w:val="true"/>
        </w:rPr>
        <w:t>כשהזיזה את ידיו מאבריה המוצנעים וחזרה על דבריה כי אין היא מעוניינת במגע מיני עמו</w:t>
      </w:r>
      <w:r>
        <w:rPr>
          <w:rtl w:val="true"/>
        </w:rPr>
        <w:t xml:space="preserve">, </w:t>
      </w:r>
      <w:r>
        <w:rPr>
          <w:rtl w:val="true"/>
        </w:rPr>
        <w:t>וכי לא לשם כך היא הסכימה לבוא עמו לדירה</w:t>
      </w:r>
      <w:r>
        <w:rPr>
          <w:rtl w:val="true"/>
        </w:rPr>
        <w:t xml:space="preserve">, </w:t>
      </w:r>
      <w:r>
        <w:rPr>
          <w:rtl w:val="true"/>
        </w:rPr>
        <w:t>לא היה עוד מקום ל</w:t>
      </w:r>
      <w:r>
        <w:rPr>
          <w:rtl w:val="true"/>
        </w:rPr>
        <w:t>"</w:t>
      </w:r>
      <w:r>
        <w:rPr>
          <w:rtl w:val="true"/>
        </w:rPr>
        <w:t>טעות</w:t>
      </w:r>
      <w:r>
        <w:rPr>
          <w:rtl w:val="true"/>
        </w:rPr>
        <w:t xml:space="preserve">" </w:t>
      </w:r>
      <w:r>
        <w:rPr>
          <w:rtl w:val="true"/>
        </w:rPr>
        <w:t>מצדו של המערער בהבנת הסיטואציה</w:t>
      </w:r>
      <w:r>
        <w:rPr>
          <w:rtl w:val="true"/>
        </w:rPr>
        <w:t xml:space="preserve">. </w:t>
      </w:r>
      <w:r>
        <w:rPr>
          <w:rtl w:val="true"/>
        </w:rPr>
        <w:t>כך גם אם הסכימה ח</w:t>
      </w:r>
      <w:r>
        <w:rPr>
          <w:rtl w:val="true"/>
        </w:rPr>
        <w:t xml:space="preserve">' </w:t>
      </w:r>
      <w:r>
        <w:rPr>
          <w:rtl w:val="true"/>
        </w:rPr>
        <w:t>להתנשק עמו בסוברה כי בכך הוא יסתפק וייוותר על רעיון קיום מגע מיני עמה</w:t>
      </w:r>
      <w:r>
        <w:rPr>
          <w:rtl w:val="true"/>
        </w:rPr>
        <w:t xml:space="preserve">, </w:t>
      </w:r>
      <w:r>
        <w:rPr>
          <w:rtl w:val="true"/>
        </w:rPr>
        <w:t>כשהיא ממשיכה להביע אי הסכמה מילולית ואף התנגדות פיזית לנגיעותיו של המערער</w:t>
      </w:r>
      <w:r>
        <w:rPr>
          <w:rtl w:val="true"/>
        </w:rPr>
        <w:t xml:space="preserve">, </w:t>
      </w:r>
      <w:r>
        <w:rPr>
          <w:rtl w:val="true"/>
        </w:rPr>
        <w:t xml:space="preserve">דבריה ומעשיה מאיינים איפוא כל אפשרות </w:t>
      </w:r>
      <w:r>
        <w:rPr>
          <w:rtl w:val="true"/>
        </w:rPr>
        <w:t>"</w:t>
      </w:r>
      <w:r>
        <w:rPr>
          <w:rtl w:val="true"/>
        </w:rPr>
        <w:t>לטעות</w:t>
      </w:r>
      <w:r>
        <w:rPr>
          <w:rtl w:val="true"/>
        </w:rPr>
        <w:t xml:space="preserve">" </w:t>
      </w:r>
      <w:r>
        <w:rPr>
          <w:rtl w:val="true"/>
        </w:rPr>
        <w:t>מצדו של המערער באשר לכוונותיה ולרצונותיה של ח</w:t>
      </w:r>
      <w:r>
        <w:rPr>
          <w:rtl w:val="true"/>
        </w:rPr>
        <w:t xml:space="preserve">'. </w:t>
      </w:r>
      <w:r>
        <w:rPr>
          <w:rtl w:val="true"/>
        </w:rPr>
        <w:t>כאן המקום לשוב ולהזכיר</w:t>
      </w:r>
      <w:r>
        <w:rPr>
          <w:rtl w:val="true"/>
        </w:rPr>
        <w:t xml:space="preserve">, </w:t>
      </w:r>
      <w:r>
        <w:rPr>
          <w:rtl w:val="true"/>
        </w:rPr>
        <w:t>כי די בהבעת אי הסכמה מילולית כדי ללמד על אי הסכמה למגע מיני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כיום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מוסכם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מילולית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גרידא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</w:t>
      </w:r>
      <w:r>
        <w:rPr>
          <w:rtl w:val="true"/>
        </w:rPr>
        <w:t>-</w:t>
      </w:r>
      <w:r>
        <w:rPr>
          <w:rtl w:val="true"/>
        </w:rPr>
        <w:t>הסכמת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[...]. </w:t>
      </w:r>
    </w:p>
    <w:p>
      <w:pPr>
        <w:pStyle w:val="Ruller5"/>
        <w:ind w:end="1282"/>
        <w:jc w:val="both"/>
        <w:rPr/>
      </w:pPr>
      <w:r>
        <w:rPr>
          <w:rtl w:val="true"/>
        </w:rPr>
        <w:t>יתרה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מזאת</w:t>
      </w:r>
      <w:r>
        <w:rPr>
          <w:rtl w:val="true"/>
        </w:rPr>
        <w:t xml:space="preserve">, </w:t>
      </w:r>
      <w:r>
        <w:rPr>
          <w:rtl w:val="true"/>
        </w:rPr>
        <w:t>במקרים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מסוימים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בהתנהגותה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הפסיבית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להצביע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היעדר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המיני</w:t>
      </w:r>
      <w:r>
        <w:rPr>
          <w:rtl w:val="true"/>
        </w:rPr>
        <w:t xml:space="preserve">, </w:t>
      </w:r>
      <w:r>
        <w:rPr>
          <w:rtl w:val="true"/>
        </w:rPr>
        <w:t>והכול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בהתחשב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[...] </w:t>
      </w:r>
    </w:p>
    <w:p>
      <w:pPr>
        <w:pStyle w:val="Ruller5"/>
        <w:ind w:end="1282"/>
        <w:jc w:val="both"/>
        <w:rPr/>
      </w:pPr>
      <w:r>
        <w:rPr>
          <w:rtl w:val="true"/>
        </w:rPr>
        <w:t>חופש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הבחירה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ושליטתה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מחייבים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בהסכמתה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אינוס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</w:t>
      </w:r>
      <w:r>
        <w:rPr>
          <w:position w:val="4"/>
          <w:sz w:val="18"/>
          <w:rtl w:val="true"/>
        </w:rPr>
        <w:t>-</w:t>
      </w:r>
      <w:r>
        <w:rPr>
          <w:rtl w:val="true"/>
        </w:rPr>
        <w:t>הסכמתה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position w:val="4"/>
          <w:sz w:val="18"/>
          <w:sz w:val="18"/>
          <w:rtl w:val="true"/>
        </w:rPr>
        <w:t xml:space="preserve"> </w:t>
      </w:r>
      <w:r>
        <w:rPr>
          <w:rtl w:val="true"/>
        </w:rPr>
        <w:t>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התנגדות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פיזית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דווקא</w:t>
      </w:r>
      <w:r>
        <w:rPr>
          <w:rtl w:val="true"/>
        </w:rPr>
        <w:t>" [</w:t>
      </w:r>
      <w:r>
        <w:rPr>
          <w:rStyle w:val="Ruller4"/>
          <w:rFonts w:ascii="Century" w:hAnsi="Century" w:cs="Century"/>
          <w:rtl w:val="true"/>
        </w:rPr>
        <w:t>ראו</w:t>
      </w:r>
      <w:r>
        <w:rPr>
          <w:rStyle w:val="Ruller4"/>
          <w:rFonts w:cs="Century" w:ascii="Century" w:hAnsi="Century"/>
          <w:rtl w:val="true"/>
        </w:rPr>
        <w:t xml:space="preserve">: </w:t>
      </w:r>
      <w:hyperlink r:id="rId30">
        <w:r>
          <w:rPr>
            <w:rStyle w:val="Hyperlink"/>
            <w:rFonts w:cs="FrankRuehl" w:ascii="Century" w:hAnsi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ascii="Arial TUR;Arial" w:hAnsi="Arial TUR;Arial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;Arial" w:hAnsi="Arial TUR;Arial" w:cs="Century"/>
            <w:color w:val="0000FF"/>
            <w:spacing w:val="10"/>
            <w:sz w:val="22"/>
            <w:sz w:val="22"/>
            <w:szCs w:val="28"/>
            <w:u w:val="single"/>
          </w:rPr>
          <w:t>5938/00</w:t>
        </w:r>
        <w:r>
          <w:rPr>
            <w:rStyle w:val="Hyperlink"/>
            <w:rFonts w:ascii="Arial TUR;Arial" w:hAnsi="Arial TUR;Arial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>אזולאי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>נ</w:t>
        </w:r>
        <w:r>
          <w:rPr>
            <w:rStyle w:val="Hyperlink"/>
            <w:rFonts w:ascii="Arial TUR;Arial" w:hAnsi="Arial TUR;Arial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>מדינת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>ישראל</w:t>
        </w:r>
        <w:r>
          <w:rPr>
            <w:rStyle w:val="Hyperlink"/>
            <w:rFonts w:ascii="Arial TUR;Arial" w:hAnsi="Arial TUR;Arial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;Arial" w:hAnsi="Arial TUR;Arial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>ד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>נה</w:t>
        </w:r>
      </w:hyperlink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3</w:t>
      </w:r>
      <w:r>
        <w:rPr>
          <w:rFonts w:cs="Century" w:ascii="Century" w:hAnsi="Century"/>
          <w:rtl w:val="true"/>
        </w:rPr>
        <w:t xml:space="preserve">) </w:t>
      </w:r>
      <w:r>
        <w:rPr>
          <w:rFonts w:cs="Century" w:ascii="Century" w:hAnsi="Century"/>
        </w:rPr>
        <w:t>873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Century" w:ascii="Century" w:hAnsi="Century"/>
        </w:rPr>
        <w:t>888-887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2001</w:t>
      </w:r>
      <w:r>
        <w:rPr>
          <w:rFonts w:cs="Century" w:ascii="Century" w:hAnsi="Century"/>
          <w:rtl w:val="true"/>
        </w:rPr>
        <w:t xml:space="preserve">)]. </w:t>
      </w:r>
      <w:r>
        <w:rPr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רוצה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לומר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בהבנת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הסיטואציה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לטעות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ביטויי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ההסכמה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הברורים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והמפורשים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כשח</w:t>
      </w:r>
      <w:r>
        <w:rPr>
          <w:rtl w:val="true"/>
        </w:rPr>
        <w:t xml:space="preserve">' </w:t>
      </w:r>
      <w:r>
        <w:rPr>
          <w:rtl w:val="true"/>
        </w:rPr>
        <w:t>נואשה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מלהניאו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מכוונתו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יחסי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ובהזזת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ידיו</w:t>
      </w:r>
      <w:r>
        <w:rPr>
          <w:rtl w:val="true"/>
        </w:rPr>
        <w:t xml:space="preserve">. </w:t>
      </w:r>
      <w:r>
        <w:rPr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רטובה</w:t>
      </w:r>
      <w:r>
        <w:rPr>
          <w:rtl w:val="true"/>
        </w:rPr>
        <w:t xml:space="preserve">"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חוששת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יחסי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מוגנים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קונדום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ותחת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להניח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החדיר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אצבעותיו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מינה</w:t>
      </w:r>
      <w:r>
        <w:rPr>
          <w:rtl w:val="true"/>
        </w:rPr>
        <w:t xml:space="preserve">, </w:t>
      </w:r>
      <w:r>
        <w:rPr>
          <w:rtl w:val="true"/>
        </w:rPr>
        <w:t>שוב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רצונה</w:t>
      </w:r>
      <w:r>
        <w:rPr>
          <w:rtl w:val="true"/>
        </w:rPr>
        <w:t xml:space="preserve">, </w:t>
      </w:r>
      <w:r>
        <w:rPr>
          <w:rtl w:val="true"/>
        </w:rPr>
        <w:t>והתעלם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מדבריה</w:t>
      </w:r>
      <w:r>
        <w:rPr>
          <w:rtl w:val="true"/>
        </w:rPr>
        <w:t xml:space="preserve">. </w:t>
      </w:r>
      <w:r>
        <w:rPr>
          <w:rtl w:val="true"/>
        </w:rPr>
        <w:t>משכלו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הקיצים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</w:t>
      </w:r>
      <w:r>
        <w:rPr>
          <w:rtl w:val="true"/>
        </w:rPr>
        <w:t xml:space="preserve">' </w:t>
      </w:r>
      <w:r>
        <w:rPr>
          <w:rtl w:val="true"/>
        </w:rPr>
        <w:t>ביקשה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וללכת</w:t>
      </w:r>
      <w:r>
        <w:rPr>
          <w:rtl w:val="true"/>
        </w:rPr>
        <w:t xml:space="preserve">, </w:t>
      </w:r>
      <w:r>
        <w:rPr>
          <w:rtl w:val="true"/>
        </w:rPr>
        <w:t>הפך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והחדיר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מינה</w:t>
      </w:r>
      <w:r>
        <w:rPr>
          <w:rtl w:val="true"/>
        </w:rPr>
        <w:t xml:space="preserve">.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שליווה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טעות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קהות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והתעלמות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מוחלטת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מרצונותיה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</w:t>
      </w:r>
      <w:r>
        <w:rPr>
          <w:rtl w:val="true"/>
        </w:rPr>
        <w:t xml:space="preserve">', </w:t>
      </w:r>
      <w:r>
        <w:rPr>
          <w:rtl w:val="true"/>
        </w:rPr>
        <w:t>שמא</w:t>
      </w:r>
      <w:r>
        <w:rPr>
          <w:rtl w:val="true"/>
        </w:rPr>
        <w:t xml:space="preserve">, </w:t>
      </w:r>
      <w:r>
        <w:rPr>
          <w:rtl w:val="true"/>
        </w:rPr>
        <w:t>חרף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סירובה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המילולי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והפיזי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תתרצה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וכדבריו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עדותו</w:t>
      </w:r>
      <w:r>
        <w:rPr>
          <w:rtl w:val="true"/>
        </w:rPr>
        <w:t>: "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הבחורה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יחסי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...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קונדום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הסכימו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קונדום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כפייה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...". </w:t>
      </w:r>
      <w:r>
        <w:rPr>
          <w:rtl w:val="true"/>
        </w:rPr>
        <w:t>כאן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ולהשמיע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חשין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hyperlink r:id="rId3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5612/92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בארי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9.12.1993</w:t>
      </w:r>
      <w:r>
        <w:rPr>
          <w:rtl w:val="true"/>
        </w:rPr>
        <w:t>):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גבר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היוזם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אישה</w:t>
      </w:r>
      <w:r>
        <w:rPr>
          <w:rtl w:val="true"/>
        </w:rPr>
        <w:t xml:space="preserve">,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הסכמתה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האישה</w:t>
      </w:r>
      <w:r>
        <w:rPr>
          <w:rtl w:val="true"/>
        </w:rPr>
        <w:t xml:space="preserve">, </w:t>
      </w:r>
      <w:r>
        <w:rPr>
          <w:rtl w:val="true"/>
        </w:rPr>
        <w:t>ועליו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הסכמתה</w:t>
      </w:r>
      <w:r>
        <w:rPr>
          <w:rtl w:val="true"/>
        </w:rPr>
        <w:t xml:space="preserve">. </w:t>
      </w:r>
      <w:r>
        <w:rPr>
          <w:rtl w:val="true"/>
        </w:rPr>
        <w:t>ורק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מדרכי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ההסכמה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המקובלות</w:t>
      </w:r>
      <w:r>
        <w:rPr>
          <w:rtl w:val="true"/>
        </w:rPr>
        <w:t xml:space="preserve">: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מקובלות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</w:t>
      </w:r>
      <w:r>
        <w:rPr>
          <w:rtl w:val="true"/>
        </w:rPr>
        <w:t>-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מקובלות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והאישה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המיוחדים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בהסכמתה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האישה</w:t>
      </w:r>
      <w:r>
        <w:rPr>
          <w:rtl w:val="true"/>
        </w:rPr>
        <w:t xml:space="preserve">. </w:t>
      </w:r>
      <w:r>
        <w:rPr>
          <w:rtl w:val="true"/>
        </w:rPr>
        <w:t>ואם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הסכמתה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מפורשת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במשתמע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בהסכמה</w:t>
      </w:r>
      <w:r>
        <w:rPr>
          <w:rtl w:val="true"/>
        </w:rPr>
        <w:t xml:space="preserve">. </w:t>
      </w:r>
      <w:r>
        <w:rPr>
          <w:rtl w:val="true"/>
        </w:rPr>
        <w:t>במקום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המסקנה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בהסכמה</w:t>
      </w:r>
      <w:r>
        <w:rPr>
          <w:rtl w:val="true"/>
        </w:rPr>
        <w:t xml:space="preserve">, </w:t>
      </w:r>
      <w:r>
        <w:rPr>
          <w:rtl w:val="true"/>
        </w:rPr>
        <w:t>וממילא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בהסכמתה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החופשית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ההדגשה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 xml:space="preserve">' </w:t>
      </w:r>
      <w:r>
        <w:rPr>
          <w:rtl w:val="true"/>
        </w:rPr>
        <w:t>ח</w:t>
      </w:r>
      <w:r>
        <w:rPr>
          <w:rtl w:val="true"/>
        </w:rPr>
        <w:t>')"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מחדלי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חקירה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לאור יריעת המחלוקת הצרה</w:t>
      </w:r>
      <w:r>
        <w:rPr>
          <w:rtl w:val="true"/>
        </w:rPr>
        <w:t xml:space="preserve">, </w:t>
      </w:r>
      <w:r>
        <w:rPr>
          <w:rtl w:val="true"/>
        </w:rPr>
        <w:t>הנוגעת לרכיב קיום ההסכמה או העדרה</w:t>
      </w:r>
      <w:r>
        <w:rPr>
          <w:rtl w:val="true"/>
        </w:rPr>
        <w:t xml:space="preserve">, </w:t>
      </w:r>
      <w:r>
        <w:rPr>
          <w:rtl w:val="true"/>
        </w:rPr>
        <w:t>ליחסי המין בין המערער לח</w:t>
      </w:r>
      <w:r>
        <w:rPr>
          <w:rtl w:val="true"/>
        </w:rPr>
        <w:t xml:space="preserve">', </w:t>
      </w:r>
      <w:r>
        <w:rPr>
          <w:rtl w:val="true"/>
        </w:rPr>
        <w:t>שהתקיימה בד</w:t>
      </w:r>
      <w:r>
        <w:rPr>
          <w:rtl w:val="true"/>
        </w:rPr>
        <w:t xml:space="preserve">' </w:t>
      </w:r>
      <w:r>
        <w:rPr>
          <w:rtl w:val="true"/>
        </w:rPr>
        <w:t>אמות ביתו של המערער בנוכחות המערער וח</w:t>
      </w:r>
      <w:r>
        <w:rPr>
          <w:rtl w:val="true"/>
        </w:rPr>
        <w:t xml:space="preserve">'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לא מצאתי ממש בטענות המערער לקיום מחדל חקירה שהתבטא לטענתו באי חקירת שכניו</w:t>
      </w:r>
      <w:r>
        <w:rPr>
          <w:rtl w:val="true"/>
        </w:rPr>
        <w:t xml:space="preserve">, </w:t>
      </w:r>
      <w:r>
        <w:rPr>
          <w:rtl w:val="true"/>
        </w:rPr>
        <w:t>אשר ראו אותו יחד עם ח</w:t>
      </w:r>
      <w:r>
        <w:rPr>
          <w:rtl w:val="true"/>
        </w:rPr>
        <w:t xml:space="preserve">' </w:t>
      </w:r>
      <w:r>
        <w:rPr>
          <w:rtl w:val="true"/>
        </w:rPr>
        <w:t>נכנסים לדירתו באותו יום ויוצאים ממנה אחרי האונס</w:t>
      </w:r>
      <w:r>
        <w:rPr>
          <w:rtl w:val="true"/>
        </w:rPr>
        <w:t xml:space="preserve">. </w:t>
      </w:r>
      <w:r>
        <w:rPr>
          <w:rtl w:val="true"/>
        </w:rPr>
        <w:t>כנ</w:t>
      </w:r>
      <w:r>
        <w:rPr>
          <w:rtl w:val="true"/>
        </w:rPr>
        <w:t>"</w:t>
      </w:r>
      <w:r>
        <w:rPr>
          <w:rtl w:val="true"/>
        </w:rPr>
        <w:t>ל דברים אמורים בהתייחס לטענתו של המערער באשר לאי זימונם לחקירה של עובדי המספרה</w:t>
      </w:r>
      <w:r>
        <w:rPr>
          <w:rtl w:val="true"/>
        </w:rPr>
        <w:t xml:space="preserve">, </w:t>
      </w:r>
      <w:r>
        <w:rPr>
          <w:rtl w:val="true"/>
        </w:rPr>
        <w:t xml:space="preserve">משאף אחד מעדים אלה אינו יכול להאיר את יריעת המחלוקת </w:t>
      </w:r>
      <w:r>
        <w:rPr>
          <w:rtl w:val="true"/>
        </w:rPr>
        <w:t>–</w:t>
      </w:r>
      <w:r>
        <w:rPr>
          <w:rtl w:val="true"/>
        </w:rPr>
        <w:t xml:space="preserve"> קיום ההסכמה או העדרה</w:t>
      </w:r>
      <w:r>
        <w:rPr>
          <w:rtl w:val="true"/>
        </w:rPr>
        <w:t xml:space="preserve">. </w:t>
      </w:r>
      <w:r>
        <w:rPr>
          <w:rtl w:val="true"/>
        </w:rPr>
        <w:t>מה גם</w:t>
      </w:r>
      <w:r>
        <w:rPr>
          <w:rtl w:val="true"/>
        </w:rPr>
        <w:t xml:space="preserve">, </w:t>
      </w:r>
      <w:r>
        <w:rPr>
          <w:rtl w:val="true"/>
        </w:rPr>
        <w:t>שח</w:t>
      </w:r>
      <w:r>
        <w:rPr>
          <w:rtl w:val="true"/>
        </w:rPr>
        <w:t xml:space="preserve">' </w:t>
      </w:r>
      <w:r>
        <w:rPr>
          <w:rtl w:val="true"/>
        </w:rPr>
        <w:t>העידה כי הגיעה מרצונה לדירתו של המערער</w:t>
      </w:r>
      <w:r>
        <w:rPr>
          <w:rtl w:val="true"/>
        </w:rPr>
        <w:t xml:space="preserve">, </w:t>
      </w:r>
      <w:r>
        <w:rPr>
          <w:rtl w:val="true"/>
        </w:rPr>
        <w:t xml:space="preserve">כאשר גם יציאתה עם המערער מן הדירה לא היתה מלווה </w:t>
      </w:r>
      <w:r>
        <w:rPr>
          <w:rtl w:val="true"/>
        </w:rPr>
        <w:t>"</w:t>
      </w:r>
      <w:r>
        <w:rPr>
          <w:rtl w:val="true"/>
        </w:rPr>
        <w:t>ברוח סערה</w:t>
      </w:r>
      <w:r>
        <w:rPr>
          <w:rtl w:val="true"/>
        </w:rPr>
        <w:t xml:space="preserve">". </w:t>
      </w:r>
      <w:r>
        <w:rPr>
          <w:rtl w:val="true"/>
        </w:rPr>
        <w:t>בנסיבות אלה  תוהה אני</w:t>
      </w:r>
      <w:r>
        <w:rPr>
          <w:rtl w:val="true"/>
        </w:rPr>
        <w:t xml:space="preserve">, </w:t>
      </w:r>
      <w:r>
        <w:rPr>
          <w:rtl w:val="true"/>
        </w:rPr>
        <w:t>במה עדותם של אלה היתה תורמת להגנתו של המערער</w:t>
      </w:r>
      <w:r>
        <w:rPr>
          <w:rtl w:val="true"/>
        </w:rPr>
        <w:t xml:space="preserve">. </w:t>
      </w:r>
      <w:r>
        <w:rPr>
          <w:rtl w:val="true"/>
        </w:rPr>
        <w:t>בהקשר זה אומר</w:t>
      </w:r>
      <w:r>
        <w:rPr>
          <w:rtl w:val="true"/>
        </w:rPr>
        <w:t xml:space="preserve">, </w:t>
      </w:r>
      <w:r>
        <w:rPr>
          <w:rtl w:val="true"/>
        </w:rPr>
        <w:t xml:space="preserve">כי לא מצאתי ממש בטרוניית בא כוח המערער לפיה בית המשפט לא התייחס לעדותם של כל עדי ההגנה שהעידו ודי אם אפנה לפסקה </w:t>
      </w:r>
      <w:r>
        <w:rPr/>
        <w:t>55</w:t>
      </w:r>
      <w:r>
        <w:rPr>
          <w:rtl w:val="true"/>
        </w:rPr>
        <w:t xml:space="preserve"> </w:t>
      </w:r>
      <w:r>
        <w:rPr>
          <w:rtl w:val="true"/>
        </w:rPr>
        <w:t>בהכרעת הדין</w:t>
      </w:r>
      <w:r>
        <w:rPr>
          <w:rtl w:val="true"/>
        </w:rPr>
        <w:t xml:space="preserve">, </w:t>
      </w:r>
      <w:r>
        <w:rPr>
          <w:rtl w:val="true"/>
        </w:rPr>
        <w:t>שם הסביר בית המשפט באריכות</w:t>
      </w:r>
      <w:r>
        <w:rPr>
          <w:rtl w:val="true"/>
        </w:rPr>
        <w:t xml:space="preserve">, </w:t>
      </w:r>
      <w:r>
        <w:rPr>
          <w:rtl w:val="true"/>
        </w:rPr>
        <w:t>כי עדותם של עדי ההגנה שהעידו כי המערער מצא חן בעיני ח</w:t>
      </w:r>
      <w:r>
        <w:rPr>
          <w:rtl w:val="true"/>
        </w:rPr>
        <w:t xml:space="preserve">' </w:t>
      </w:r>
      <w:r>
        <w:rPr>
          <w:rtl w:val="true"/>
        </w:rPr>
        <w:t xml:space="preserve">וזו </w:t>
      </w:r>
      <w:r>
        <w:rPr>
          <w:rtl w:val="true"/>
        </w:rPr>
        <w:t>"</w:t>
      </w:r>
      <w:r>
        <w:rPr>
          <w:rtl w:val="true"/>
        </w:rPr>
        <w:t>כרכרה סביבו</w:t>
      </w:r>
      <w:r>
        <w:rPr>
          <w:rtl w:val="true"/>
        </w:rPr>
        <w:t xml:space="preserve">" </w:t>
      </w:r>
      <w:r>
        <w:rPr>
          <w:rtl w:val="true"/>
        </w:rPr>
        <w:t>והלכה עימו מרצונה לדירתו</w:t>
      </w:r>
      <w:r>
        <w:rPr>
          <w:rtl w:val="true"/>
        </w:rPr>
        <w:t xml:space="preserve">, </w:t>
      </w:r>
      <w:r>
        <w:rPr>
          <w:rtl w:val="true"/>
        </w:rPr>
        <w:t xml:space="preserve">אין בהם כדי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להעיד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אשר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התחולל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בדירה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פנימה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שכן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מחלוקת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נעשה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שימוש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באלימות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ואף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המתלוננת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העידה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פרצה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מהדירה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כרוח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סערה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עזבה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הנאשם</w:t>
      </w:r>
      <w:r>
        <w:rPr>
          <w:rtl w:val="true"/>
        </w:rPr>
        <w:t>".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אציע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לחבריי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הרשעת המערער באישום השני בנויה על התרשמותו של בית המשפט קמא ממהימנות גרסתם של ב</w:t>
      </w:r>
      <w:r>
        <w:rPr>
          <w:rtl w:val="true"/>
        </w:rPr>
        <w:t>': "</w:t>
      </w:r>
      <w:r>
        <w:rPr>
          <w:rtl w:val="true"/>
        </w:rPr>
        <w:t>שהותירה רושם כן</w:t>
      </w:r>
      <w:r>
        <w:rPr>
          <w:rtl w:val="true"/>
        </w:rPr>
        <w:t xml:space="preserve">, </w:t>
      </w:r>
      <w:r>
        <w:rPr>
          <w:rtl w:val="true"/>
        </w:rPr>
        <w:t xml:space="preserve">אמיתי ושברירי כמי שרחוקה מאד מלהעליל עליו עלילה </w:t>
      </w:r>
      <w:r>
        <w:rPr>
          <w:rtl w:val="true"/>
        </w:rPr>
        <w:t xml:space="preserve">... </w:t>
      </w:r>
      <w:r>
        <w:rPr>
          <w:rtl w:val="true"/>
        </w:rPr>
        <w:t>עדותה באשר לאירועים בחדר הפנימי מקובלת עלי</w:t>
      </w:r>
      <w:r>
        <w:rPr>
          <w:rtl w:val="true"/>
        </w:rPr>
        <w:t xml:space="preserve">, </w:t>
      </w:r>
      <w:r>
        <w:rPr>
          <w:rtl w:val="true"/>
        </w:rPr>
        <w:t xml:space="preserve">תיאוריה את המקרים לא היו מוגזמים והיא תיארה את המצב לאשורו </w:t>
      </w:r>
      <w:r>
        <w:rPr>
          <w:rtl w:val="true"/>
        </w:rPr>
        <w:t xml:space="preserve">... </w:t>
      </w:r>
      <w:r>
        <w:rPr>
          <w:rtl w:val="true"/>
        </w:rPr>
        <w:t>עדותה של ב</w:t>
      </w:r>
      <w:r>
        <w:rPr>
          <w:rtl w:val="true"/>
        </w:rPr>
        <w:t xml:space="preserve">' </w:t>
      </w:r>
      <w:r>
        <w:rPr>
          <w:rtl w:val="true"/>
        </w:rPr>
        <w:t xml:space="preserve">באשר לכך שנותרה במקום ולאחר מכן הנאשם כלא אותה במספרה </w:t>
      </w:r>
      <w:r>
        <w:rPr>
          <w:rtl w:val="true"/>
        </w:rPr>
        <w:t xml:space="preserve">... </w:t>
      </w:r>
      <w:r>
        <w:rPr>
          <w:rtl w:val="true"/>
        </w:rPr>
        <w:t>וביצע מעשים בגופה כפי שהעידה</w:t>
      </w:r>
      <w:r>
        <w:rPr>
          <w:rtl w:val="true"/>
        </w:rPr>
        <w:t xml:space="preserve">, </w:t>
      </w:r>
      <w:r>
        <w:rPr>
          <w:rtl w:val="true"/>
        </w:rPr>
        <w:t>עדיפה בעיני כמהימנה על עדות ו</w:t>
      </w:r>
      <w:r>
        <w:rPr>
          <w:rtl w:val="true"/>
        </w:rPr>
        <w:t>' (</w:t>
      </w:r>
      <w:r>
        <w:rPr>
          <w:rtl w:val="true"/>
        </w:rPr>
        <w:t xml:space="preserve">עד ההגנה </w:t>
      </w:r>
      <w:r>
        <w:rPr>
          <w:rtl w:val="true"/>
        </w:rPr>
        <w:t>–</w:t>
      </w:r>
      <w:r>
        <w:rPr>
          <w:rtl w:val="true"/>
        </w:rPr>
        <w:t xml:space="preserve"> ג</w:t>
      </w:r>
      <w:r>
        <w:rPr>
          <w:rtl w:val="true"/>
        </w:rPr>
        <w:t>'.</w:t>
      </w:r>
      <w:r>
        <w:rPr>
          <w:rtl w:val="true"/>
        </w:rPr>
        <w:t>ק</w:t>
      </w:r>
      <w:r>
        <w:rPr>
          <w:rtl w:val="true"/>
        </w:rPr>
        <w:t xml:space="preserve">) </w:t>
      </w:r>
      <w:r>
        <w:rPr>
          <w:rtl w:val="true"/>
        </w:rPr>
        <w:t>ועל עדות הנאשם</w:t>
      </w:r>
      <w:r>
        <w:rPr>
          <w:rtl w:val="true"/>
        </w:rPr>
        <w:t xml:space="preserve">".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סיכם בית המשפט את הנמקתו להרשעת המערער באישום זה</w:t>
      </w:r>
      <w:r>
        <w:rPr>
          <w:rtl w:val="true"/>
        </w:rPr>
        <w:t xml:space="preserve">. </w:t>
      </w:r>
      <w:r>
        <w:rPr>
          <w:rtl w:val="true"/>
        </w:rPr>
        <w:t>המערער תוקף את קביעת המהימנות של בית המשפט קמא ותוהה מדוע בית המשפט העדיף את גרסתה של ב</w:t>
      </w:r>
      <w:r>
        <w:rPr>
          <w:rtl w:val="true"/>
        </w:rPr>
        <w:t xml:space="preserve">' </w:t>
      </w:r>
      <w:r>
        <w:rPr>
          <w:rtl w:val="true"/>
        </w:rPr>
        <w:t>על פני גרסתו שלו</w:t>
      </w:r>
      <w:r>
        <w:rPr>
          <w:rtl w:val="true"/>
        </w:rPr>
        <w:t xml:space="preserve">, </w:t>
      </w:r>
      <w:r>
        <w:rPr>
          <w:rtl w:val="true"/>
        </w:rPr>
        <w:t xml:space="preserve">שנתמכה בעדותו של עד הגנה אובייקטיבי </w:t>
      </w:r>
      <w:r>
        <w:rPr>
          <w:rtl w:val="true"/>
        </w:rPr>
        <w:t>–</w:t>
      </w:r>
      <w:r>
        <w:rPr>
          <w:rtl w:val="true"/>
        </w:rPr>
        <w:t xml:space="preserve"> מר ו</w:t>
      </w:r>
      <w:r>
        <w:rPr>
          <w:rtl w:val="true"/>
        </w:rPr>
        <w:t xml:space="preserve">', </w:t>
      </w:r>
      <w:r>
        <w:rPr>
          <w:rtl w:val="true"/>
        </w:rPr>
        <w:t>שהעיד כי הוא והמערער עזבו ביחד את המספרה לאחר שהמערער נעל אותה</w:t>
      </w:r>
      <w:r>
        <w:rPr>
          <w:rtl w:val="true"/>
        </w:rPr>
        <w:t xml:space="preserve">, </w:t>
      </w:r>
      <w:r>
        <w:rPr>
          <w:rtl w:val="true"/>
        </w:rPr>
        <w:t>כאשר גרסה זו העמידה בספק את עצם התרחשותו של האירוע עליו העידה ב</w:t>
      </w:r>
      <w:r>
        <w:rPr>
          <w:rtl w:val="true"/>
        </w:rPr>
        <w:t xml:space="preserve">'.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אף שבית המשפט קמא קימץ במילים</w:t>
      </w:r>
      <w:r>
        <w:rPr>
          <w:rtl w:val="true"/>
        </w:rPr>
        <w:t xml:space="preserve">, </w:t>
      </w:r>
      <w:r>
        <w:rPr>
          <w:rtl w:val="true"/>
        </w:rPr>
        <w:t>הוא הסביר את סיבת העדפת גרסתה של ב</w:t>
      </w:r>
      <w:r>
        <w:rPr>
          <w:rtl w:val="true"/>
        </w:rPr>
        <w:t xml:space="preserve">' </w:t>
      </w:r>
      <w:r>
        <w:rPr>
          <w:rtl w:val="true"/>
        </w:rPr>
        <w:t>על פני גרסת ההגנה</w:t>
      </w:r>
      <w:r>
        <w:rPr>
          <w:rtl w:val="true"/>
        </w:rPr>
        <w:t xml:space="preserve">, </w:t>
      </w:r>
      <w:r>
        <w:rPr>
          <w:rtl w:val="true"/>
        </w:rPr>
        <w:t>בנוסף להתרשמותו החיובית מעדותה של ב</w:t>
      </w:r>
      <w:r>
        <w:rPr>
          <w:rtl w:val="true"/>
        </w:rPr>
        <w:t xml:space="preserve">', </w:t>
      </w:r>
      <w:r>
        <w:rPr>
          <w:rtl w:val="true"/>
        </w:rPr>
        <w:t>בכך שהמערער שנחקר על האירוע שבאישום זה בסמוך להתרחשותו</w:t>
      </w:r>
      <w:r>
        <w:rPr>
          <w:rtl w:val="true"/>
        </w:rPr>
        <w:t xml:space="preserve">, </w:t>
      </w:r>
      <w:r>
        <w:rPr>
          <w:rtl w:val="true"/>
        </w:rPr>
        <w:t>לא מצא להזכיר את נוכחותו של עד ההגנה ו</w:t>
      </w:r>
      <w:r>
        <w:rPr>
          <w:rtl w:val="true"/>
        </w:rPr>
        <w:t xml:space="preserve">', </w:t>
      </w:r>
      <w:r>
        <w:rPr>
          <w:rtl w:val="true"/>
        </w:rPr>
        <w:t>כמי שנכח באירוע</w:t>
      </w:r>
      <w:r>
        <w:rPr>
          <w:rtl w:val="true"/>
        </w:rPr>
        <w:t xml:space="preserve">. </w:t>
      </w:r>
      <w:r>
        <w:rPr>
          <w:rtl w:val="true"/>
        </w:rPr>
        <w:t>בנסיבות אלה אאמץ את הלשון המאופקת בה נקט בית משפט קמא בתארו את סיבת העדפת גירסת ב</w:t>
      </w:r>
      <w:r>
        <w:rPr>
          <w:rtl w:val="true"/>
        </w:rPr>
        <w:t xml:space="preserve">' </w:t>
      </w:r>
      <w:r>
        <w:rPr>
          <w:rtl w:val="true"/>
        </w:rPr>
        <w:t>על פני גירסת המערער ועד ההגנה מטעמו ולא אוסיף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באשר לטענת המערער לקיום מחדל חקירה הנובע מאי תיעוד חזותי של העימות בינו לבין ב</w:t>
      </w:r>
      <w:r>
        <w:rPr>
          <w:rtl w:val="true"/>
        </w:rPr>
        <w:t xml:space="preserve">' </w:t>
      </w:r>
      <w:r>
        <w:rPr>
          <w:rtl w:val="true"/>
        </w:rPr>
        <w:t>ייאמר</w:t>
      </w:r>
      <w:r>
        <w:rPr>
          <w:rtl w:val="true"/>
        </w:rPr>
        <w:t xml:space="preserve">, </w:t>
      </w:r>
      <w:r>
        <w:rPr>
          <w:rtl w:val="true"/>
        </w:rPr>
        <w:t xml:space="preserve">כי חרף העדרו של תיעוד כאמור לא היתה מחלוקת על כך כי העימות תועד בכתב </w:t>
      </w:r>
      <w:r>
        <w:rPr>
          <w:rtl w:val="true"/>
        </w:rPr>
        <w:t>(</w:t>
      </w:r>
      <w:r>
        <w:rPr>
          <w:rtl w:val="true"/>
        </w:rPr>
        <w:t>דו</w:t>
      </w:r>
      <w:r>
        <w:rPr>
          <w:rtl w:val="true"/>
        </w:rPr>
        <w:t>"</w:t>
      </w:r>
      <w:r>
        <w:rPr>
          <w:rtl w:val="true"/>
        </w:rPr>
        <w:t>ח עימות</w:t>
      </w:r>
      <w:r>
        <w:rPr>
          <w:rtl w:val="true"/>
        </w:rPr>
        <w:t xml:space="preserve">) </w:t>
      </w:r>
      <w:r>
        <w:rPr>
          <w:rtl w:val="true"/>
        </w:rPr>
        <w:t>ולא הועלו טענות כנגד נכונות האמור בדו</w:t>
      </w:r>
      <w:r>
        <w:rPr>
          <w:rtl w:val="true"/>
        </w:rPr>
        <w:t>"</w:t>
      </w:r>
      <w:r>
        <w:rPr>
          <w:rtl w:val="true"/>
        </w:rPr>
        <w:t>ח העימות או השגות על מהלך העימות</w:t>
      </w:r>
      <w:r>
        <w:rPr>
          <w:rtl w:val="true"/>
        </w:rPr>
        <w:t xml:space="preserve">. </w:t>
      </w:r>
      <w:r>
        <w:rPr>
          <w:rtl w:val="true"/>
        </w:rPr>
        <w:t>משלא שוכנעתי כי העדרו של התיעוד החזותי פגע בהגנת המערער</w:t>
      </w:r>
      <w:r>
        <w:rPr>
          <w:rtl w:val="true"/>
        </w:rPr>
        <w:t xml:space="preserve">, </w:t>
      </w:r>
      <w:r>
        <w:rPr>
          <w:rtl w:val="true"/>
        </w:rPr>
        <w:t>לא מצאתי ליתן למחדל זה משקל כלשהו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בקביעות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המהימנות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, </w:t>
      </w:r>
      <w:r>
        <w:rPr>
          <w:rtl w:val="true"/>
        </w:rPr>
        <w:t>לענין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אציע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לחבריי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יידחה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הערעור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העונש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בגין הרשעת המערער בשני אישומים הטיל עליו בית המשפט קמא עונש מאסר לתקופה של </w:t>
      </w:r>
      <w:r>
        <w:rPr/>
        <w:t>50</w:t>
      </w:r>
      <w:r>
        <w:rPr>
          <w:rtl w:val="true"/>
        </w:rPr>
        <w:t xml:space="preserve"> </w:t>
      </w:r>
      <w:r>
        <w:rPr>
          <w:rtl w:val="true"/>
        </w:rPr>
        <w:t>חודשים וחייב אותו בתשלום פיצויים לשתי המתלוננות</w:t>
      </w:r>
      <w:r>
        <w:rPr>
          <w:rtl w:val="true"/>
        </w:rPr>
        <w:t xml:space="preserve">. </w:t>
      </w:r>
      <w:r>
        <w:rPr>
          <w:rtl w:val="true"/>
        </w:rPr>
        <w:t>המערער מלין על חומרת העונש</w:t>
      </w:r>
      <w:r>
        <w:rPr>
          <w:rtl w:val="true"/>
        </w:rPr>
        <w:t xml:space="preserve">. </w:t>
      </w:r>
      <w:r>
        <w:rPr>
          <w:rtl w:val="true"/>
        </w:rPr>
        <w:t>לאחר עיון בגזר דינו של בית המשפט קמא</w:t>
      </w:r>
      <w:r>
        <w:rPr>
          <w:rtl w:val="true"/>
        </w:rPr>
        <w:t xml:space="preserve">, </w:t>
      </w:r>
      <w:r>
        <w:rPr>
          <w:rtl w:val="true"/>
        </w:rPr>
        <w:t>העונש הקבוע בצדה של העבירה שבאישום הראשון</w:t>
      </w:r>
      <w:r>
        <w:rPr>
          <w:rtl w:val="true"/>
        </w:rPr>
        <w:t xml:space="preserve">, </w:t>
      </w:r>
      <w:r>
        <w:rPr>
          <w:rtl w:val="true"/>
        </w:rPr>
        <w:t>עונש המינימום</w:t>
      </w:r>
      <w:r>
        <w:rPr>
          <w:rtl w:val="true"/>
        </w:rPr>
        <w:t xml:space="preserve">, </w:t>
      </w:r>
      <w:r>
        <w:rPr>
          <w:rtl w:val="true"/>
        </w:rPr>
        <w:t>תסקירי נפגעות העבירה שהוגשו בעניינן של שתי המתלוננות</w:t>
      </w:r>
      <w:r>
        <w:rPr>
          <w:rtl w:val="true"/>
        </w:rPr>
        <w:t xml:space="preserve">, </w:t>
      </w:r>
      <w:r>
        <w:rPr>
          <w:rtl w:val="true"/>
        </w:rPr>
        <w:t>תמונת הנזק שנגרם להן העולה מהתסקירים</w:t>
      </w:r>
      <w:r>
        <w:rPr>
          <w:rtl w:val="true"/>
        </w:rPr>
        <w:t xml:space="preserve">, </w:t>
      </w:r>
      <w:r>
        <w:rPr>
          <w:rtl w:val="true"/>
        </w:rPr>
        <w:t>מדיניות הענישה הנוהגת</w:t>
      </w:r>
      <w:r>
        <w:rPr>
          <w:rtl w:val="true"/>
        </w:rPr>
        <w:t xml:space="preserve">, </w:t>
      </w:r>
      <w:r>
        <w:rPr>
          <w:rtl w:val="true"/>
        </w:rPr>
        <w:t>לא מצאתי כי העונש שהוטל על המערער חמור יתר על המידה</w:t>
      </w:r>
      <w:r>
        <w:rPr>
          <w:rtl w:val="true"/>
        </w:rPr>
        <w:t xml:space="preserve">, </w:t>
      </w:r>
      <w:r>
        <w:rPr>
          <w:rtl w:val="true"/>
        </w:rPr>
        <w:t>ולטעמי הוא אף נוטה לקולה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לאור האמור אציע לחבריי</w:t>
      </w:r>
      <w:r>
        <w:rPr>
          <w:rtl w:val="true"/>
        </w:rPr>
        <w:t xml:space="preserve">, </w:t>
      </w:r>
      <w:r>
        <w:rPr>
          <w:rtl w:val="true"/>
        </w:rPr>
        <w:t>כי נדחה את ערעורו של המערער הן על ההרשעה והן על העונש</w:t>
      </w:r>
      <w:r>
        <w:rPr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cs="Miriam"/>
          <w:sz w:val="24"/>
          <w:u w:val="single"/>
        </w:rPr>
      </w:pPr>
      <w:r>
        <w:rPr>
          <w:rFonts w:cs="Miriam"/>
          <w:sz w:val="24"/>
          <w:u w:val="single"/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;Arial" w:hAnsi="Arial TUR;Arial" w:cs="Arial TUR;Arial"/>
          <w:sz w:val="22"/>
        </w:rPr>
      </w:pPr>
      <w:r>
        <w:rPr>
          <w:rFonts w:cs="Arial TUR;Arial" w:ascii="Arial TUR;Arial" w:hAnsi="Arial TUR;Arial"/>
          <w:sz w:val="22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;Arial" w:hAnsi="Arial TUR;Arial" w:cs="Arial TUR;Arial"/>
          <w:sz w:val="22"/>
        </w:rPr>
      </w:pPr>
      <w:r>
        <w:rPr>
          <w:rFonts w:cs="Arial TUR;Arial" w:ascii="Arial TUR;Arial" w:hAnsi="Arial TUR;Arial"/>
          <w:sz w:val="22"/>
          <w:rtl w:val="true"/>
        </w:rPr>
        <w:tab/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cs="Miriam"/>
        </w:rPr>
      </w:pPr>
      <w:r>
        <w:rPr>
          <w:rFonts w:cs="Miriam"/>
          <w:u w:val="single"/>
          <w:rtl w:val="true"/>
        </w:rPr>
        <w:t>השופט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נ</w:t>
      </w:r>
      <w:r>
        <w:rPr>
          <w:rFonts w:cs="Miriam"/>
          <w:u w:val="single"/>
          <w:rtl w:val="true"/>
        </w:rPr>
        <w:t xml:space="preserve">' </w:t>
      </w:r>
      <w:r>
        <w:rPr>
          <w:rFonts w:cs="Miriam"/>
          <w:u w:val="single"/>
          <w:rtl w:val="true"/>
        </w:rPr>
        <w:t>הנדל</w:t>
      </w:r>
      <w:r>
        <w:rPr>
          <w:rFonts w:cs="Miriam"/>
          <w:rtl w:val="true"/>
        </w:rPr>
        <w:t>: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אני מסכים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eastAsia="Century" w:cs="Century"/>
        </w:rPr>
      </w:pPr>
      <w:r>
        <w:rPr>
          <w:rFonts w:eastAsia="Century" w:cs="Century" w:ascii="Century" w:hAnsi="Century"/>
          <w:rtl w:val="true"/>
        </w:rPr>
        <w:t xml:space="preserve"> </w:t>
      </w:r>
    </w:p>
    <w:tbl>
      <w:tblPr>
        <w:bidiVisual w:val="true"/>
        <w:tblW w:w="831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69"/>
        <w:gridCol w:w="2769"/>
        <w:gridCol w:w="2774"/>
      </w:tblGrid>
      <w:tr>
        <w:trPr/>
        <w:tc>
          <w:tcPr>
            <w:tcW w:w="2769" w:type="dxa"/>
            <w:tcBorders/>
          </w:tcPr>
          <w:p>
            <w:pPr>
              <w:pStyle w:val="Ruller4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769" w:type="dxa"/>
            <w:tcBorders/>
          </w:tcPr>
          <w:p>
            <w:pPr>
              <w:pStyle w:val="Ruller4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774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;Arial" w:hAnsi="Arial TUR;Arial" w:cs="Arial TUR;Arial"/>
          <w:sz w:val="22"/>
        </w:rPr>
      </w:pPr>
      <w:r>
        <w:rPr>
          <w:rFonts w:cs="Arial TUR;Arial" w:ascii="Arial TUR;Arial" w:hAnsi="Arial TUR;Arial"/>
          <w:sz w:val="22"/>
          <w:rtl w:val="true"/>
        </w:rPr>
      </w:r>
    </w:p>
    <w:p>
      <w:pPr>
        <w:pStyle w:val="Normal"/>
        <w:overflowPunct w:val="true"/>
        <w:autoSpaceDE w:val="true"/>
        <w:bidi w:val="0"/>
        <w:jc w:val="start"/>
        <w:textAlignment w:val="auto"/>
        <w:rPr>
          <w:rFonts w:ascii="Arial TUR;Arial" w:hAnsi="Arial TUR;Arial" w:cs="Miriam"/>
          <w:sz w:val="22"/>
          <w:u w:val="single"/>
        </w:rPr>
      </w:pPr>
      <w:r>
        <w:rPr>
          <w:rFonts w:cs="Miriam" w:ascii="Arial TUR;Arial" w:hAnsi="Arial TUR;Arial"/>
          <w:sz w:val="22"/>
          <w:u w:val="single"/>
        </w:rPr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cs="Miriam"/>
        </w:rPr>
      </w:pPr>
      <w:r>
        <w:rPr>
          <w:rFonts w:cs="Miriam"/>
          <w:u w:val="single"/>
          <w:rtl w:val="true"/>
        </w:rPr>
        <w:t>השופט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ע</w:t>
      </w:r>
      <w:r>
        <w:rPr>
          <w:rFonts w:cs="Miriam"/>
          <w:u w:val="single"/>
          <w:rtl w:val="true"/>
        </w:rPr>
        <w:t xml:space="preserve">' </w:t>
      </w:r>
      <w:r>
        <w:rPr>
          <w:rFonts w:cs="Miriam"/>
          <w:u w:val="single"/>
          <w:rtl w:val="true"/>
        </w:rPr>
        <w:t>גרוסקופף</w:t>
      </w:r>
      <w:r>
        <w:rPr>
          <w:rFonts w:cs="Miriam"/>
          <w:rtl w:val="true"/>
        </w:rPr>
        <w:t>: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אני מסכים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tbl>
      <w:tblPr>
        <w:bidiVisual w:val="true"/>
        <w:tblW w:w="831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69"/>
        <w:gridCol w:w="2769"/>
        <w:gridCol w:w="2774"/>
      </w:tblGrid>
      <w:tr>
        <w:trPr/>
        <w:tc>
          <w:tcPr>
            <w:tcW w:w="2769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rFonts w:eastAsia="Century" w:cs="Century" w:ascii="Century" w:hAnsi="Century"/>
                <w:rtl w:val="true"/>
              </w:rPr>
              <w:t xml:space="preserve">   </w:t>
            </w:r>
          </w:p>
        </w:tc>
        <w:tc>
          <w:tcPr>
            <w:tcW w:w="2769" w:type="dxa"/>
            <w:tcBorders/>
          </w:tcPr>
          <w:p>
            <w:pPr>
              <w:pStyle w:val="Ruller4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774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;Arial" w:hAnsi="Arial TUR;Arial" w:cs="Arial TUR;Arial"/>
          <w:sz w:val="22"/>
        </w:rPr>
      </w:pPr>
      <w:r>
        <w:rPr>
          <w:rFonts w:cs="Arial TUR;Arial" w:ascii="Arial TUR;Arial" w:hAnsi="Arial TUR;Arial"/>
          <w:sz w:val="22"/>
          <w:rtl w:val="true"/>
        </w:rPr>
        <w:tab/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Arial TUR;Arial" w:ascii="Arial TUR;Arial" w:hAnsi="Arial TUR;Arial"/>
          <w:sz w:val="22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לפיכך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הוחלט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כאמור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בפסק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השופט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קרא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;Arial" w:hAnsi="Arial TUR;Arial" w:cs="Arial TUR;Arial"/>
          <w:spacing w:val="10"/>
          <w:sz w:val="22"/>
          <w:szCs w:val="28"/>
        </w:rPr>
      </w:pPr>
      <w:r>
        <w:rPr>
          <w:rFonts w:cs="Arial TUR;Arial" w:ascii="Arial TUR;Arial" w:hAnsi="Arial TUR;Arial"/>
          <w:spacing w:val="10"/>
          <w:sz w:val="22"/>
          <w:szCs w:val="28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יתייצב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בימ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ניצן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25.2.2020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לשעה</w:t>
      </w:r>
      <w:r>
        <w:rPr>
          <w:rFonts w:eastAsia="Arial TUR;Arial" w:cs="Arial TUR;Arial"/>
          <w:rtl w:val="true"/>
        </w:rPr>
        <w:t xml:space="preserve"> </w:t>
      </w:r>
      <w:r>
        <w:rPr/>
        <w:t>10:00</w:t>
      </w:r>
      <w:r>
        <w:rPr>
          <w:rtl w:val="true"/>
        </w:rPr>
        <w:t xml:space="preserve">, </w:t>
      </w:r>
      <w:r>
        <w:rPr>
          <w:rtl w:val="true"/>
        </w:rPr>
        <w:t>שברשותו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תעודת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זהות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הכניסה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למאסר</w:t>
      </w:r>
      <w:r>
        <w:rPr>
          <w:rtl w:val="true"/>
        </w:rPr>
        <w:t xml:space="preserve">, </w:t>
      </w:r>
      <w:r>
        <w:rPr>
          <w:rtl w:val="true"/>
        </w:rPr>
        <w:t>כולל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מוקדם</w:t>
      </w:r>
      <w:r>
        <w:rPr>
          <w:rtl w:val="true"/>
        </w:rPr>
        <w:t xml:space="preserve">,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אבחון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 xml:space="preserve">, </w:t>
      </w:r>
      <w:r>
        <w:rPr>
          <w:rtl w:val="true"/>
        </w:rPr>
        <w:t>טלפונים</w:t>
      </w:r>
      <w:r>
        <w:rPr>
          <w:rFonts w:eastAsia="Arial TUR;Arial" w:cs="Arial TUR;Arial"/>
          <w:rtl w:val="true"/>
        </w:rPr>
        <w:t xml:space="preserve"> </w:t>
      </w:r>
      <w:r>
        <w:rPr/>
        <w:t>08-9787377</w:t>
      </w:r>
      <w:r>
        <w:rPr>
          <w:rtl w:val="true"/>
        </w:rPr>
        <w:t xml:space="preserve">, </w:t>
      </w:r>
      <w:r>
        <w:rPr/>
        <w:t>08-9787336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bookmarkStart w:id="16" w:name="Nitan"/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19.1.2020</w:t>
      </w:r>
      <w:r>
        <w:rPr>
          <w:rtl w:val="true"/>
        </w:rPr>
        <w:t xml:space="preserve">). </w:t>
      </w:r>
      <w:bookmarkEnd w:id="16"/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;Arial" w:hAnsi="Arial TUR;Arial" w:cs="Arial TUR;Arial"/>
          <w:sz w:val="22"/>
        </w:rPr>
      </w:pPr>
      <w:r>
        <w:rPr>
          <w:rFonts w:cs="Arial TUR;Arial" w:ascii="Arial TUR;Arial" w:hAnsi="Arial TUR;Arial"/>
          <w:sz w:val="22"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7"/>
        <w:gridCol w:w="2788"/>
        <w:gridCol w:w="2788"/>
      </w:tblGrid>
      <w:tr>
        <w:trPr/>
        <w:tc>
          <w:tcPr>
            <w:tcW w:w="2787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8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8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18077610</w:t>
      </w:r>
      <w:r>
        <w:rPr>
          <w:sz w:val="16"/>
          <w:rtl w:val="true"/>
        </w:rPr>
        <w:t>_</w:t>
      </w:r>
      <w:r>
        <w:rPr>
          <w:sz w:val="16"/>
        </w:rPr>
        <w:t>Q08.docx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סח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32">
        <w:r>
          <w:rPr>
            <w:rStyle w:val="Hyperlink"/>
            <w:sz w:val="16"/>
          </w:rPr>
          <w:t>http://supreme.court.gov.i</w:t>
        </w:r>
      </w:hyperlink>
      <w:r>
        <w:rPr>
          <w:sz w:val="16"/>
        </w:rPr>
        <w:t>l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נ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הנדל </w:t>
      </w:r>
      <w:r>
        <w:rPr>
          <w:rFonts w:cs="David" w:ascii="David" w:hAnsi="David"/>
          <w:color w:val="000000"/>
          <w:szCs w:val="22"/>
        </w:rPr>
        <w:t>54678313-7761/18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33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34"/>
      <w:footerReference w:type="default" r:id="rId35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Garamond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17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7761/18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פלוני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>
        <w:sz w:val="24"/>
        <w:szCs w:val="24"/>
      </w:rPr>
    </w:lvl>
  </w:abstractNum>
  <w:abstractNum w:abstractNumId="2">
    <w:lvl w:ilvl="0">
      <w:start w:val="7"/>
      <w:numFmt w:val="decimal"/>
      <w:lvlText w:val="%1."/>
      <w:lvlJc w:val="end"/>
      <w:pPr>
        <w:tabs>
          <w:tab w:val="num" w:pos="907"/>
        </w:tabs>
        <w:ind w:start="0" w:hanging="0"/>
      </w:pPr>
      <w:rPr>
        <w:sz w:val="24"/>
        <w:szCs w:val="24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>
      <w:sz w:val="24"/>
      <w:szCs w:val="24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"/>
    </w:rPr>
  </w:style>
  <w:style w:type="character" w:styleId="CharChar1">
    <w:name w:val=" Char Char1"/>
    <w:qFormat/>
    <w:rPr>
      <w:rFonts w:cs="David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character" w:styleId="Ruller4">
    <w:name w:val="Ruller4 תו"/>
    <w:qFormat/>
    <w:rPr>
      <w:rFonts w:ascii="Arial TUR;Arial" w:hAnsi="Arial TUR;Arial" w:cs="FrankRuehl"/>
      <w:spacing w:val="10"/>
      <w:sz w:val="22"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1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2">
    <w:name w:val="Ruller 4 ממוספר"/>
    <w:basedOn w:val="Ruller41"/>
    <w:next w:val="Ruller41"/>
    <w:qFormat/>
    <w:pPr>
      <w:numPr>
        <w:ilvl w:val="0"/>
        <w:numId w:val="1"/>
      </w:numPr>
    </w:pPr>
    <w:rPr>
      <w:rFonts w:ascii="Garamond" w:hAnsi="Garamond" w:cs="Garamond"/>
      <w:sz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345.a.1" TargetMode="External"/><Relationship Id="rId4" Type="http://schemas.openxmlformats.org/officeDocument/2006/relationships/hyperlink" Target="http://www.nevo.co.il/law/70301/345.b.3" TargetMode="External"/><Relationship Id="rId5" Type="http://schemas.openxmlformats.org/officeDocument/2006/relationships/hyperlink" Target="http://www.nevo.co.il/law/70301/347.b" TargetMode="External"/><Relationship Id="rId6" Type="http://schemas.openxmlformats.org/officeDocument/2006/relationships/hyperlink" Target="http://www.nevo.co.il/law/70301/348.b" TargetMode="External"/><Relationship Id="rId7" Type="http://schemas.openxmlformats.org/officeDocument/2006/relationships/hyperlink" Target="http://www.nevo.co.il/law/70301/34jh" TargetMode="External"/><Relationship Id="rId8" Type="http://schemas.openxmlformats.org/officeDocument/2006/relationships/hyperlink" Target="http://www.nevo.co.il/law/70301/377" TargetMode="External"/><Relationship Id="rId9" Type="http://schemas.openxmlformats.org/officeDocument/2006/relationships/hyperlink" Target="http://www.nevo.co.il/law/98569" TargetMode="External"/><Relationship Id="rId10" Type="http://schemas.openxmlformats.org/officeDocument/2006/relationships/hyperlink" Target="http://www.nevo.co.il/law/98569/10" TargetMode="External"/><Relationship Id="rId11" Type="http://schemas.openxmlformats.org/officeDocument/2006/relationships/hyperlink" Target="http://www.nevo.co.il/law/70301/345.a.1" TargetMode="External"/><Relationship Id="rId12" Type="http://schemas.openxmlformats.org/officeDocument/2006/relationships/hyperlink" Target="http://www.nevo.co.il/law/70301/345.b.3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law/70301/347.b" TargetMode="External"/><Relationship Id="rId15" Type="http://schemas.openxmlformats.org/officeDocument/2006/relationships/hyperlink" Target="http://www.nevo.co.il/law/70301/345.a.1" TargetMode="External"/><Relationship Id="rId16" Type="http://schemas.openxmlformats.org/officeDocument/2006/relationships/hyperlink" Target="http://www.nevo.co.il/law/70301/377" TargetMode="External"/><Relationship Id="rId17" Type="http://schemas.openxmlformats.org/officeDocument/2006/relationships/hyperlink" Target="http://www.nevo.co.il/law/70301/348.b" TargetMode="External"/><Relationship Id="rId18" Type="http://schemas.openxmlformats.org/officeDocument/2006/relationships/hyperlink" Target="http://www.nevo.co.il/law/70301/345.b.3" TargetMode="External"/><Relationship Id="rId19" Type="http://schemas.openxmlformats.org/officeDocument/2006/relationships/hyperlink" Target="http://www.nevo.co.il/law/70301/377" TargetMode="External"/><Relationship Id="rId20" Type="http://schemas.openxmlformats.org/officeDocument/2006/relationships/hyperlink" Target="http://www.nevo.co.il/law/70301/34jh" TargetMode="External"/><Relationship Id="rId21" Type="http://schemas.openxmlformats.org/officeDocument/2006/relationships/hyperlink" Target="http://www.nevo.co.il/law/70301" TargetMode="External"/><Relationship Id="rId22" Type="http://schemas.openxmlformats.org/officeDocument/2006/relationships/hyperlink" Target="http://www.nevo.co.il/law/98569" TargetMode="External"/><Relationship Id="rId23" Type="http://schemas.openxmlformats.org/officeDocument/2006/relationships/hyperlink" Target="http://www.nevo.co.il/case/6151033" TargetMode="External"/><Relationship Id="rId24" Type="http://schemas.openxmlformats.org/officeDocument/2006/relationships/hyperlink" Target="http://www.nevo.co.il/case/6153255" TargetMode="External"/><Relationship Id="rId25" Type="http://schemas.openxmlformats.org/officeDocument/2006/relationships/hyperlink" Target="http://www.nevo.co.il/case/17920941" TargetMode="External"/><Relationship Id="rId26" Type="http://schemas.openxmlformats.org/officeDocument/2006/relationships/hyperlink" Target="http://www.nevo.co.il/case/6058753" TargetMode="External"/><Relationship Id="rId27" Type="http://schemas.openxmlformats.org/officeDocument/2006/relationships/hyperlink" Target="http://www.nevo.co.il/case/20982179" TargetMode="External"/><Relationship Id="rId28" Type="http://schemas.openxmlformats.org/officeDocument/2006/relationships/hyperlink" Target="http://www.nevo.co.il/law/98569/10" TargetMode="External"/><Relationship Id="rId29" Type="http://schemas.openxmlformats.org/officeDocument/2006/relationships/hyperlink" Target="http://www.nevo.co.il/law/98569" TargetMode="External"/><Relationship Id="rId30" Type="http://schemas.openxmlformats.org/officeDocument/2006/relationships/hyperlink" Target="http://www.nevo.co.il/case/6041035" TargetMode="External"/><Relationship Id="rId31" Type="http://schemas.openxmlformats.org/officeDocument/2006/relationships/hyperlink" Target="http://www.nevo.co.il/case/6024185" TargetMode="External"/><Relationship Id="rId32" Type="http://schemas.openxmlformats.org/officeDocument/2006/relationships/hyperlink" Target="http://supreme.court.gov.il/" TargetMode="External"/><Relationship Id="rId33" Type="http://schemas.openxmlformats.org/officeDocument/2006/relationships/hyperlink" Target="http://www.nevo.co.il/advertisements/nevo-100.doc" TargetMode="External"/><Relationship Id="rId34" Type="http://schemas.openxmlformats.org/officeDocument/2006/relationships/header" Target="header1.xml"/><Relationship Id="rId35" Type="http://schemas.openxmlformats.org/officeDocument/2006/relationships/footer" Target="footer1.xml"/><Relationship Id="rId36" Type="http://schemas.openxmlformats.org/officeDocument/2006/relationships/numbering" Target="numbering.xml"/><Relationship Id="rId37" Type="http://schemas.openxmlformats.org/officeDocument/2006/relationships/fontTable" Target="fontTable.xml"/><Relationship Id="rId38" Type="http://schemas.openxmlformats.org/officeDocument/2006/relationships/settings" Target="settings.xml"/><Relationship Id="rId3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2020-01-22T11:40:00Z</dcterms:created>
  <dc:creator>h4</dc:creator>
  <dc:description/>
  <cp:keywords/>
  <dc:language>en-IL</dc:language>
  <cp:lastModifiedBy>orly</cp:lastModifiedBy>
  <cp:lastPrinted>2020-01-21T12:36:00Z</cp:lastPrinted>
  <dcterms:modified xsi:type="dcterms:W3CDTF">2020-01-22T11:40:00Z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פלוני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ישראל;פלונית;פלונית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ProcID=213&amp;PartA=16&amp;PartC=11</vt:lpwstr>
  </property>
  <property fmtid="{D5CDD505-2E9C-101B-9397-08002B2CF9AE}" pid="9" name="CASESLISTTMP1">
    <vt:lpwstr>20594942:2;6151033;6153255;17920941;6058753;20982179;6041035;6024185</vt:lpwstr>
  </property>
  <property fmtid="{D5CDD505-2E9C-101B-9397-08002B2CF9AE}" pid="10" name="CITY">
    <vt:lpwstr/>
  </property>
  <property fmtid="{D5CDD505-2E9C-101B-9397-08002B2CF9AE}" pid="11" name="DATE">
    <vt:lpwstr>20200119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נ' הנדל;ג' קרא;ע' גרוסקופף</vt:lpwstr>
  </property>
  <property fmtid="{D5CDD505-2E9C-101B-9397-08002B2CF9AE}" pid="15" name="LAWLISTTMP1">
    <vt:lpwstr>70301/345.a.1:2;345.b.3:2;347.b;377:2;348.b;34jh</vt:lpwstr>
  </property>
  <property fmtid="{D5CDD505-2E9C-101B-9397-08002B2CF9AE}" pid="16" name="LAWLISTTMP2">
    <vt:lpwstr>98569/010</vt:lpwstr>
  </property>
  <property fmtid="{D5CDD505-2E9C-101B-9397-08002B2CF9AE}" pid="17" name="LAWYER">
    <vt:lpwstr>יעל שרף;מיכאל עירוני;מעיין נופר עמון;ברכה וייס</vt:lpwstr>
  </property>
  <property fmtid="{D5CDD505-2E9C-101B-9397-08002B2CF9AE}" pid="18" name="LINKK1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METAKZER">
    <vt:lpwstr>פאני</vt:lpwstr>
  </property>
  <property fmtid="{D5CDD505-2E9C-101B-9397-08002B2CF9AE}" pid="24" name="NEWPARTA">
    <vt:lpwstr/>
  </property>
  <property fmtid="{D5CDD505-2E9C-101B-9397-08002B2CF9AE}" pid="25" name="NEWPARTB">
    <vt:lpwstr/>
  </property>
  <property fmtid="{D5CDD505-2E9C-101B-9397-08002B2CF9AE}" pid="26" name="NEWPARTC">
    <vt:lpwstr/>
  </property>
  <property fmtid="{D5CDD505-2E9C-101B-9397-08002B2CF9AE}" pid="27" name="NEWPROC">
    <vt:lpwstr/>
  </property>
  <property fmtid="{D5CDD505-2E9C-101B-9397-08002B2CF9AE}" pid="28" name="NOSE11">
    <vt:lpwstr>דיון פלילי</vt:lpwstr>
  </property>
  <property fmtid="{D5CDD505-2E9C-101B-9397-08002B2CF9AE}" pid="29" name="NOSE110">
    <vt:lpwstr/>
  </property>
  <property fmtid="{D5CDD505-2E9C-101B-9397-08002B2CF9AE}" pid="30" name="NOSE12">
    <vt:lpwstr>דיון פלילי</vt:lpwstr>
  </property>
  <property fmtid="{D5CDD505-2E9C-101B-9397-08002B2CF9AE}" pid="31" name="NOSE13">
    <vt:lpwstr>דיון פלילי</vt:lpwstr>
  </property>
  <property fmtid="{D5CDD505-2E9C-101B-9397-08002B2CF9AE}" pid="32" name="NOSE14">
    <vt:lpwstr>עונשין</vt:lpwstr>
  </property>
  <property fmtid="{D5CDD505-2E9C-101B-9397-08002B2CF9AE}" pid="33" name="NOSE15">
    <vt:lpwstr>עונשין</vt:lpwstr>
  </property>
  <property fmtid="{D5CDD505-2E9C-101B-9397-08002B2CF9AE}" pid="34" name="NOSE16">
    <vt:lpwstr/>
  </property>
  <property fmtid="{D5CDD505-2E9C-101B-9397-08002B2CF9AE}" pid="35" name="NOSE17">
    <vt:lpwstr/>
  </property>
  <property fmtid="{D5CDD505-2E9C-101B-9397-08002B2CF9AE}" pid="36" name="NOSE18">
    <vt:lpwstr/>
  </property>
  <property fmtid="{D5CDD505-2E9C-101B-9397-08002B2CF9AE}" pid="37" name="NOSE19">
    <vt:lpwstr/>
  </property>
  <property fmtid="{D5CDD505-2E9C-101B-9397-08002B2CF9AE}" pid="38" name="NOSE1ID">
    <vt:lpwstr>18;18;18;77;77</vt:lpwstr>
  </property>
  <property fmtid="{D5CDD505-2E9C-101B-9397-08002B2CF9AE}" pid="39" name="NOSE21">
    <vt:lpwstr>ערעור</vt:lpwstr>
  </property>
  <property fmtid="{D5CDD505-2E9C-101B-9397-08002B2CF9AE}" pid="40" name="NOSE210">
    <vt:lpwstr/>
  </property>
  <property fmtid="{D5CDD505-2E9C-101B-9397-08002B2CF9AE}" pid="41" name="NOSE22">
    <vt:lpwstr>ערעור</vt:lpwstr>
  </property>
  <property fmtid="{D5CDD505-2E9C-101B-9397-08002B2CF9AE}" pid="42" name="NOSE23">
    <vt:lpwstr>חקירה במשטרה</vt:lpwstr>
  </property>
  <property fmtid="{D5CDD505-2E9C-101B-9397-08002B2CF9AE}" pid="43" name="NOSE24">
    <vt:lpwstr>הגנות</vt:lpwstr>
  </property>
  <property fmtid="{D5CDD505-2E9C-101B-9397-08002B2CF9AE}" pid="44" name="NOSE25">
    <vt:lpwstr>ענישה</vt:lpwstr>
  </property>
  <property fmtid="{D5CDD505-2E9C-101B-9397-08002B2CF9AE}" pid="45" name="NOSE26">
    <vt:lpwstr/>
  </property>
  <property fmtid="{D5CDD505-2E9C-101B-9397-08002B2CF9AE}" pid="46" name="NOSE27">
    <vt:lpwstr/>
  </property>
  <property fmtid="{D5CDD505-2E9C-101B-9397-08002B2CF9AE}" pid="47" name="NOSE28">
    <vt:lpwstr/>
  </property>
  <property fmtid="{D5CDD505-2E9C-101B-9397-08002B2CF9AE}" pid="48" name="NOSE29">
    <vt:lpwstr/>
  </property>
  <property fmtid="{D5CDD505-2E9C-101B-9397-08002B2CF9AE}" pid="49" name="NOSE2ID">
    <vt:lpwstr>504;504;475;1431;1446</vt:lpwstr>
  </property>
  <property fmtid="{D5CDD505-2E9C-101B-9397-08002B2CF9AE}" pid="50" name="NOSE31">
    <vt:lpwstr>אי-התערבות בממצאים עובדתיים</vt:lpwstr>
  </property>
  <property fmtid="{D5CDD505-2E9C-101B-9397-08002B2CF9AE}" pid="51" name="NOSE310">
    <vt:lpwstr/>
  </property>
  <property fmtid="{D5CDD505-2E9C-101B-9397-08002B2CF9AE}" pid="52" name="NOSE32">
    <vt:lpwstr>הרשעה</vt:lpwstr>
  </property>
  <property fmtid="{D5CDD505-2E9C-101B-9397-08002B2CF9AE}" pid="53" name="NOSE33">
    <vt:lpwstr>מחדלי חקירה</vt:lpwstr>
  </property>
  <property fmtid="{D5CDD505-2E9C-101B-9397-08002B2CF9AE}" pid="54" name="NOSE34">
    <vt:lpwstr>טעות במצב הדברים</vt:lpwstr>
  </property>
  <property fmtid="{D5CDD505-2E9C-101B-9397-08002B2CF9AE}" pid="55" name="NOSE35">
    <vt:lpwstr>מדיניות ענישה: עבירות מין</vt:lpwstr>
  </property>
  <property fmtid="{D5CDD505-2E9C-101B-9397-08002B2CF9AE}" pid="56" name="NOSE36">
    <vt:lpwstr/>
  </property>
  <property fmtid="{D5CDD505-2E9C-101B-9397-08002B2CF9AE}" pid="57" name="NOSE37">
    <vt:lpwstr/>
  </property>
  <property fmtid="{D5CDD505-2E9C-101B-9397-08002B2CF9AE}" pid="58" name="NOSE38">
    <vt:lpwstr/>
  </property>
  <property fmtid="{D5CDD505-2E9C-101B-9397-08002B2CF9AE}" pid="59" name="NOSE39">
    <vt:lpwstr/>
  </property>
  <property fmtid="{D5CDD505-2E9C-101B-9397-08002B2CF9AE}" pid="60" name="NOSE3ID">
    <vt:lpwstr>3849;16185;3672;8683;8988</vt:lpwstr>
  </property>
  <property fmtid="{D5CDD505-2E9C-101B-9397-08002B2CF9AE}" pid="61" name="PADIDATE">
    <vt:lpwstr>20200122</vt:lpwstr>
  </property>
  <property fmtid="{D5CDD505-2E9C-101B-9397-08002B2CF9AE}" pid="62" name="PADIMAIL">
    <vt:lpwstr>YES</vt:lpwstr>
  </property>
  <property fmtid="{D5CDD505-2E9C-101B-9397-08002B2CF9AE}" pid="63" name="PAGE">
    <vt:lpwstr/>
  </property>
  <property fmtid="{D5CDD505-2E9C-101B-9397-08002B2CF9AE}" pid="64" name="PART">
    <vt:lpwstr/>
  </property>
  <property fmtid="{D5CDD505-2E9C-101B-9397-08002B2CF9AE}" pid="65" name="PROCESS">
    <vt:lpwstr>עפ</vt:lpwstr>
  </property>
  <property fmtid="{D5CDD505-2E9C-101B-9397-08002B2CF9AE}" pid="66" name="PROCNUM">
    <vt:lpwstr>7761</vt:lpwstr>
  </property>
  <property fmtid="{D5CDD505-2E9C-101B-9397-08002B2CF9AE}" pid="67" name="PROCYEAR">
    <vt:lpwstr>18</vt:lpwstr>
  </property>
  <property fmtid="{D5CDD505-2E9C-101B-9397-08002B2CF9AE}" pid="68" name="PSAKDIN">
    <vt:lpwstr>פסק-דין</vt:lpwstr>
  </property>
  <property fmtid="{D5CDD505-2E9C-101B-9397-08002B2CF9AE}" pid="69" name="TYPE">
    <vt:lpwstr>1</vt:lpwstr>
  </property>
  <property fmtid="{D5CDD505-2E9C-101B-9397-08002B2CF9AE}" pid="70" name="TYPE_ABS_DATE">
    <vt:lpwstr>410120200119</vt:lpwstr>
  </property>
  <property fmtid="{D5CDD505-2E9C-101B-9397-08002B2CF9AE}" pid="71" name="TYPE_N_DATE">
    <vt:lpwstr>41020200119</vt:lpwstr>
  </property>
  <property fmtid="{D5CDD505-2E9C-101B-9397-08002B2CF9AE}" pid="72" name="VOLUME">
    <vt:lpwstr/>
  </property>
  <property fmtid="{D5CDD505-2E9C-101B-9397-08002B2CF9AE}" pid="73" name="WORDNUMPAGES">
    <vt:lpwstr>15</vt:lpwstr>
  </property>
</Properties>
</file>