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781/19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001876-10-15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בוסתן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אמיר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07.01.2021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ברגמן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יולנדה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טולדנו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בובליל</w:t>
            </w:r>
          </w:p>
        </w:tc>
      </w:tr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ג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1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351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ד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368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11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10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א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 דחה ערעור על הכרעת דין וגז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שהגיש אב שהורשע בביצוע עבירות מין בביתו בהיותה קטינה כבת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ובמשך למעלה משנתיים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עבירות מין בקטין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התערבות ערכאת 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הורשע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לאחר שמיעת ראיות בביצוע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שורה של 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לרבות אינוס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בדרך של החדרת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אצבעותיו לאיבר מינה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בבתו בהיותה 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במשך למעלה משנתיים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החל משנת </w:t>
      </w:r>
      <w:r>
        <w:rPr>
          <w:rFonts w:cs="Times New Roman" w:ascii="Times New Roman" w:hAnsi="Times New Roman"/>
          <w:spacing w:val="0"/>
          <w:sz w:val="24"/>
          <w:szCs w:val="26"/>
        </w:rPr>
        <w:t>2013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כבת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ולמדה 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כיתה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ועד סמוך לאחר סיום כתה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 ובטרם מלאו לה </w:t>
      </w:r>
      <w:r>
        <w:rPr>
          <w:rFonts w:cs="Times New Roman" w:ascii="Times New Roman" w:hAnsi="Times New Roman"/>
          <w:spacing w:val="0"/>
          <w:sz w:val="24"/>
          <w:szCs w:val="26"/>
        </w:rPr>
        <w:t>18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ד הוטל על המערער עונש הכולל </w:t>
      </w:r>
      <w:r>
        <w:rPr>
          <w:rFonts w:cs="Times New Roman" w:ascii="Times New Roman" w:hAnsi="Times New Roman"/>
          <w:spacing w:val="0"/>
          <w:sz w:val="24"/>
          <w:szCs w:val="26"/>
        </w:rPr>
        <w:t>17.5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שנות מאסר בפועל ופיצוי המתלוננת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200,000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נסב על ההרשעה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ולחלופין על רכיבי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מפי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בהסכמת השופטים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מינץ וד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ברק ארז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התיק שבפנינו קשה מבחינת המעשים שביצע המערער בבתו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בהיבט המשפטי לפנינו תיק קל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במובן זה שאין מדובר בסיטואציה שכיחה בעבירות מין במשפחה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מילה כנגד מילה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מלבד המהימנות המלאה שרחש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בעוד המערער נמצא כבלתי מהימן ונתפס בשקריו כאשר הכחיש אפילו את אירוע הבריחה של המתלוננת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שורה של ראיות מחזקות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שתחילתן באירוע המכונן של בריחת המתלוננת מביתה באישון לילה וחשיפת המעשים בפני מספר אנשים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ממצאי המהימנות ועל רקע העדויות של אותם אנשים שנחשפו למעשים כפי שסיפרה להם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להתערב בהכרעת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ab/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במאמר מוסגר צוין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התלבט אם ועד כמה ניתן לראות בעדויות של העדים הנ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ראיה מחזקת לגרסתה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עדותם מתבססת למעשה על דברים ששמעו מפיה של 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 עמית אינו רואה מניעה בתיקים מעין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לחרוג מהכללים הנוקשים של עדות שמיעה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במסגרת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המובלעת הראייתית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הייחודית לעבירות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שנפסק בעבר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 הדברים הרגיל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 המשפט נוהגים לשמור על הכלל האוסר עדויות מפי השמועה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חזון נפרץ הוא שהתביעה מעידה עדים ששמעו מקורבן העבירה את שנעשה בו – גם אם הדברים אינם בגדר החריג של רס גסטה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res gesta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כראיה לא רק לעצם אמירת הדברים אלא גם כראיה מסייעת לתוכן עדותו של קורבן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לא נמצא להתערב בעונש שנגזר על המערער נוכח חומרת המעשים והמחיר הכבד ששילמה ומשלמת המתלוננת עד עצם היום הזה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שהרהיבה עוז וחשפה את מעלליו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 נודתה על ידי בני משפחתה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שאיימו עליה באולם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והכחישו כי סיפרה להם על מעשי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למעשה עד עצם היום הזה המתלוננת מתנהלת כמי שנרדפת על ידי בני משפחתה וכמי שחוששת לחייה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 נותקה מכל משפחתה ומסביבתה הטבעית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נותרה בודדה בעולם ללא תמיכה משפחתית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וזאת בנוסף לפגיעה הנפשית הקשה שנגרמה לה ושמשפיעה על כל אורחות חייה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השופטת ברק ארז מוצאת להוסיף ולהדגיש את האחריות המיוחדת שחלה על כל הסובבים קטינים וקטינות שהם קרבנות לעבירות מין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להושיט להם יד ומותחת ביקורת על התנהלות המשטרה על כך שכאשר המתלוננת הגיעה בפעם הראשונה לתחנת המשטרה להגיש תלונה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הופנתה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לתחנת משטרה אחרת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אמנם נמסר שהדבר נעשה בהתאם לחלוקת העבודה בין התחנות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ועם זאת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הנחת ברורה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קטינה פונה לתחנת משטרה לצורך הגשת תלונה ומופנית הלאה מבלי לוודא במה מדובר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 הם בדיוק המצבים שבהם קיים חשש שהמתלוננת לא תאזור אומץ נוסף לחזור ולגשת למשטרה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לא די בכך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נועצה ביועצת בבית הספר היא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הופנתה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הלאה לגורמי הרווחה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ליווי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ללא 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הדעת נותנת שגורם חינוכי שאליו פונה בחורה במצוקה בנסיבות אלה לא ישיא עצה לפנות הלאה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ילווה אותה אל הגורמים הרלוונטיים על מנת לוודא שאכן תקבל את הסיוע שלו היא משוועת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מתשובות המדינה בדיון לא התקבל הרושם כי נעשה חידוד נהלים בעקבות המקרה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הגם שהצורך בכך זועק וממשי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ראוי כי הלקחים המתאימים יופקו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6" w:name="Start_Write"/>
      <w:bookmarkEnd w:id="16"/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המערער הורשע </w:t>
      </w:r>
      <w:r>
        <w:rPr>
          <w:rFonts w:ascii="Century" w:hAnsi="Century" w:cs="Century"/>
          <w:rtl w:val="true"/>
        </w:rPr>
        <w:t xml:space="preserve">לאחר שמיעת ראיות בביצוע </w:t>
      </w:r>
      <w:r>
        <w:rPr>
          <w:rFonts w:ascii="Century" w:hAnsi="Century" w:cs="Century"/>
          <w:rtl w:val="true"/>
        </w:rPr>
        <w:t xml:space="preserve">שורה של עבירות מין בבתו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b/>
          <w:b/>
          <w:spacing w:val="0"/>
          <w:rtl w:val="true"/>
        </w:rPr>
        <w:t>המתלוננת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בהיותה קטינה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במשך למעלה משנתיים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החל משנת </w:t>
      </w:r>
      <w:r>
        <w:rPr>
          <w:rFonts w:cs="Century" w:ascii="Century" w:hAnsi="Century"/>
        </w:rPr>
        <w:t>2013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כשהייתה</w:t>
      </w:r>
      <w:r>
        <w:rPr>
          <w:rFonts w:ascii="Century" w:hAnsi="Century" w:cs="Century"/>
          <w:rtl w:val="true"/>
        </w:rPr>
        <w:t xml:space="preserve"> כבת 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ולמדה ב</w:t>
      </w:r>
      <w:r>
        <w:rPr>
          <w:rFonts w:ascii="Century" w:hAnsi="Century" w:cs="Century"/>
          <w:rtl w:val="true"/>
        </w:rPr>
        <w:t>כיתה י</w:t>
      </w:r>
      <w:r>
        <w:rPr>
          <w:rFonts w:cs="Century" w:ascii="Century" w:hAnsi="Century"/>
          <w:rtl w:val="true"/>
        </w:rPr>
        <w:t>'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ועד סמוך לאחר סיום כתה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 ובטרם מלאו לה </w:t>
      </w:r>
      <w:r>
        <w:rPr>
          <w:rFonts w:cs="Century" w:ascii="Century" w:hAnsi="Century"/>
        </w:rPr>
        <w:t>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שנים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עבירות המין שבהן הורשע ה</w:t>
      </w:r>
      <w:r>
        <w:rPr>
          <w:rFonts w:ascii="Century" w:hAnsi="Century" w:cs="Century"/>
          <w:rtl w:val="true"/>
        </w:rPr>
        <w:t xml:space="preserve">מערער כללו אינוס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בדרך של החדרת </w:t>
      </w:r>
      <w:r>
        <w:rPr>
          <w:rFonts w:ascii="Century" w:hAnsi="Century" w:cs="Century"/>
          <w:rtl w:val="true"/>
        </w:rPr>
        <w:t>אצבעותיו לאיבר מינה של המתלוננת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מעשי סדום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החדרת </w:t>
      </w:r>
      <w:r>
        <w:rPr>
          <w:rFonts w:ascii="Century" w:hAnsi="Century" w:cs="Century"/>
          <w:rtl w:val="true"/>
        </w:rPr>
        <w:t xml:space="preserve">איבר מינו לפיה של המתלוננת </w:t>
      </w:r>
      <w:r>
        <w:rPr>
          <w:rFonts w:ascii="Century" w:hAnsi="Century" w:cs="Century"/>
          <w:rtl w:val="true"/>
        </w:rPr>
        <w:t xml:space="preserve">תוך שהוא מכריח </w:t>
      </w:r>
      <w:r>
        <w:rPr>
          <w:rFonts w:ascii="Century" w:hAnsi="Century" w:cs="Century"/>
          <w:rtl w:val="true"/>
        </w:rPr>
        <w:t>אותה למצוץ את איבר מינו עד ששפך את זרעו בפיה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שורה של ניסיונות למעשי סדום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המערער </w:t>
      </w:r>
      <w:r>
        <w:rPr>
          <w:rFonts w:ascii="Century" w:hAnsi="Century" w:cs="Century"/>
          <w:rtl w:val="true"/>
        </w:rPr>
        <w:t>ניסה להכניס את איבר מינו לפי הטבעת של המתלוננת</w:t>
      </w:r>
      <w:r>
        <w:rPr>
          <w:rFonts w:cs="Century" w:ascii="Century" w:hAnsi="Century"/>
          <w:rtl w:val="true"/>
        </w:rPr>
        <w:t>;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מעשים מגונים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המערער </w:t>
      </w:r>
      <w:r>
        <w:rPr>
          <w:rFonts w:ascii="Century" w:hAnsi="Century" w:cs="Century"/>
          <w:rtl w:val="true"/>
        </w:rPr>
        <w:t>נגע בחלקי גופה השונים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ליקק את איבר מינה ואת פי הטבעת שלה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וחיכך את איבר מינו בחלקי גופה השונים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ומעשה מגונה בפני קטינה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המערער </w:t>
      </w:r>
      <w:r>
        <w:rPr>
          <w:rFonts w:ascii="Century" w:hAnsi="Century" w:cs="Century"/>
          <w:rtl w:val="true"/>
        </w:rPr>
        <w:t>חשף את איבר מינו בפני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כן ניסה ה</w:t>
      </w:r>
      <w:r>
        <w:rPr>
          <w:rFonts w:ascii="Century" w:hAnsi="Century" w:cs="Century"/>
          <w:rtl w:val="true"/>
        </w:rPr>
        <w:t xml:space="preserve">מערער </w:t>
      </w:r>
      <w:r>
        <w:rPr>
          <w:rFonts w:ascii="Century" w:hAnsi="Century" w:cs="Century"/>
          <w:rtl w:val="true"/>
        </w:rPr>
        <w:t>לבצע במתלוננת מעשים מגונים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תקף אותה וגרם לה לחבלות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בגין כל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הורשע המערער בשורה של עבירות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אינוס קטין בן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לפי </w:t>
      </w:r>
      <w:hyperlink r:id="rId1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+</w:t>
      </w:r>
      <w:r>
        <w:rPr>
          <w:rFonts w:cs="Century" w:ascii="Century" w:hAnsi="Century"/>
          <w:rtl w:val="true"/>
        </w:rPr>
        <w:t xml:space="preserve"> </w:t>
      </w:r>
      <w:hyperlink r:id="rId1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ל</w:t>
      </w:r>
      <w:r>
        <w:rPr>
          <w:rFonts w:ascii="Century" w:hAnsi="Century" w:cs="Century"/>
          <w:rtl w:val="true"/>
        </w:rPr>
        <w:t>הלן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מעשה סדום בקטין בן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לפי </w:t>
      </w:r>
      <w:hyperlink r:id="rId1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347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בנסיבות </w:t>
      </w:r>
      <w:hyperlink r:id="rId1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+ </w:t>
      </w:r>
      <w:hyperlink r:id="rId1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ריבוי מעשים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ניסיון למעשה סדום בקטין בן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לפי </w:t>
      </w:r>
      <w:hyperlink r:id="rId1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347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בנסיבות </w:t>
      </w:r>
      <w:hyperlink r:id="rId20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345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+ </w:t>
      </w:r>
      <w:hyperlink r:id="rId21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+</w:t>
      </w:r>
      <w:r>
        <w:rPr>
          <w:rFonts w:cs="Century" w:ascii="Century" w:hAnsi="Century"/>
          <w:rtl w:val="true"/>
        </w:rPr>
        <w:t xml:space="preserve"> </w:t>
      </w:r>
      <w:hyperlink r:id="rId22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ריבוי מעשים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מעשים מגונים בקטין בן משפחה תוך שימוש בכוח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לפי </w:t>
      </w:r>
      <w:hyperlink r:id="rId23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+</w:t>
      </w:r>
      <w:r>
        <w:rPr>
          <w:rFonts w:cs="Century" w:ascii="Century" w:hAnsi="Century"/>
          <w:rtl w:val="true"/>
        </w:rPr>
        <w:t xml:space="preserve"> </w:t>
      </w:r>
      <w:hyperlink r:id="rId24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ריבוי מעשים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ניסיון למעשים מגונים בקטין בן משפחה תוך שימוש בכוח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לפי </w:t>
      </w:r>
      <w:hyperlink r:id="rId25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348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+</w:t>
      </w:r>
      <w:r>
        <w:rPr>
          <w:rFonts w:cs="Century" w:ascii="Century" w:hAnsi="Century"/>
          <w:rtl w:val="true"/>
        </w:rPr>
        <w:t xml:space="preserve"> </w:t>
      </w:r>
      <w:hyperlink r:id="rId26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ג</w:t>
        </w:r>
        <w:r>
          <w:rPr>
            <w:rStyle w:val="Hyperlink"/>
            <w:rFonts w:cs="Century" w:ascii="Century" w:hAnsi="Century"/>
            <w:rtl w:val="true"/>
          </w:rPr>
          <w:t>)(</w:t>
        </w:r>
        <w:r>
          <w:rPr>
            <w:rStyle w:val="Hyperlink"/>
            <w:rFonts w:cs="Century" w:ascii="Century" w:hAnsi="Century"/>
          </w:rPr>
          <w:t>1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+</w:t>
      </w:r>
      <w:r>
        <w:rPr>
          <w:rFonts w:cs="Century" w:ascii="Century" w:hAnsi="Century"/>
          <w:rtl w:val="true"/>
        </w:rPr>
        <w:t xml:space="preserve"> </w:t>
      </w:r>
      <w:hyperlink r:id="rId2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שני מקרים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מעשה מגונה בפני קטין בן 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לפי </w:t>
      </w:r>
      <w:hyperlink r:id="rId28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351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ד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לחוק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תקיפת קטין על ידי אחראי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עבירה לפי </w:t>
      </w:r>
      <w:hyperlink r:id="rId29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368</w:t>
        </w:r>
        <w:r>
          <w:rPr>
            <w:rStyle w:val="Hyperlink"/>
            <w:rFonts w:ascii="Century" w:hAnsi="Century" w:cs="Century"/>
            <w:rtl w:val="true"/>
          </w:rPr>
          <w:t>ב</w:t>
        </w:r>
        <w:r>
          <w:rPr>
            <w:rStyle w:val="Hyperlink"/>
            <w:rFonts w:cs="Century" w:ascii="Century" w:hAnsi="Century"/>
            <w:rtl w:val="true"/>
          </w:rPr>
          <w:t>(</w:t>
        </w:r>
        <w:r>
          <w:rPr>
            <w:rStyle w:val="Hyperlink"/>
            <w:rFonts w:ascii="Century" w:hAnsi="Century" w:cs="Century"/>
            <w:rtl w:val="true"/>
          </w:rPr>
          <w:t>א</w:t>
        </w:r>
        <w:r>
          <w:rPr>
            <w:rStyle w:val="Hyperlink"/>
            <w:rFonts w:cs="Century" w:ascii="Century" w:hAnsi="Century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סיפא לחוק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ריבוי מעשים</w:t>
      </w:r>
      <w:r>
        <w:rPr>
          <w:rFonts w:cs="Century" w:ascii="Century" w:hAnsi="Century"/>
          <w:rtl w:val="true"/>
        </w:rPr>
        <w:t>).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משפט קמא גזר על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בין היתר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מאסר בפועל של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שנים וחצי וחייב את המערער בפיצוי המתלוננת בסך של </w:t>
      </w:r>
      <w:r>
        <w:rPr>
          <w:rFonts w:cs="Century" w:ascii="Century" w:hAnsi="Century"/>
        </w:rPr>
        <w:t>200,000</w:t>
      </w:r>
      <w:r>
        <w:rPr>
          <w:rFonts w:cs="Century" w:ascii="Century" w:hAnsi="Century"/>
          <w:rtl w:val="true"/>
        </w:rPr>
        <w:t xml:space="preserve"> ₪.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הערעור שלפנינו נסב על ההרשעה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ולחלופין על רכיבי גזר הדין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על מנת לקצר בדברים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נקדים ונספר לקורא כיצד הלכו ונחשפו מעשיו של המערער בבתו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 ברחה מביתה באישון לילה במהלך החופש הגדול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בסוף חודש אוגוסט </w:t>
      </w:r>
      <w:r>
        <w:rPr>
          <w:rFonts w:cs="Century" w:ascii="Century" w:hAnsi="Century"/>
        </w:rPr>
        <w:t>2014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שלאחר כיתה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אדם בשם עלאא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אסף את המתלוננת שהסתובבה בשעת לילה ברחוב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וזו סיפרה לו בבכי שאביה עושה לה דברים לא טובים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עלאא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הביא את המתלוננת לביתו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שם סיפרה המתלוננת בבכי לוופא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אחותו של עלאא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ולכרמלה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אמו של עלאא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שאביה מבצע בה מעשים מיניים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עלאא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יצר קשר עם קרוב משפחתה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אדם בשם איימן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וסיפר לו את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אז הזמין איימן את המערער לביתו והלה הבטיח לו שהמתלוננת תוכל לחזור הביתה וכי לא יפגע בה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 לסיכום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עלאא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הביא את המתלוננת לביתו של איימן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ולשם הגיעו אמה של המתלוננת ואחיה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ששמו נוּר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והחזירו אותה לביתה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חשפה בפני אמה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בפני אחיה נוּר ובפני שניים מדודיה ששמם חנא ומאהר את המעשים שביצע בה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 למותר לציין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למרות הבטחתו המשיך המערער במעלליו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ובכיתה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 חשפה המתלוננת את המעשים בפני חבר בשם מוחמד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שאיתו יצרה קשר באמצעות הפייסבוק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לאחר שסיימה את לימודיה פנתה המתלוננת ליועצת בית הספר בו למדה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וזו הפנתה אותה לגורמי הרווחה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משם הופנתה המתלוננת למשטרה וכך התגלגלו הדברים לכדי הגשת כתב אישום כנגד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בית משפט קמא הרשיע את המערער לאחר שניתח בזהירות את הראיות שהובאו בפניו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ואף מצא לזכות את המערער משני אישומים מחמת הספק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ביחס לנגיעות מתחת לבגדים בכיתה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 וביחס לנגיעות באיבר המין בכיתות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סעיפים </w:t>
      </w:r>
      <w:r>
        <w:rPr>
          <w:rFonts w:cs="Century" w:ascii="Century" w:hAnsi="Century"/>
        </w:rPr>
        <w:t>12-11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לכתב האישום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הדגיש כי מדובר בהסתייגויות נקודתיות שאינן מעיבות על התמונה הכללית ואינן גורעות כלל ממהימנותה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נציין כי </w:t>
      </w:r>
      <w:r>
        <w:rPr>
          <w:rFonts w:ascii="Century" w:hAnsi="Century" w:cs="Century"/>
          <w:rtl w:val="true"/>
        </w:rPr>
        <w:t>המעשים החמורים ביותר</w:t>
      </w:r>
      <w:r>
        <w:rPr>
          <w:rFonts w:ascii="Century" w:hAnsi="Century" w:cs="Century"/>
          <w:rtl w:val="true"/>
        </w:rPr>
        <w:t xml:space="preserve"> בהם הורשע המערער</w:t>
      </w:r>
      <w:r>
        <w:rPr>
          <w:rFonts w:ascii="Century" w:hAnsi="Century" w:cs="Century"/>
          <w:rtl w:val="true"/>
        </w:rPr>
        <w:t xml:space="preserve"> – מעשה האינוס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מעשי הסדום והניסיונות למעשי סדום – בוצעו כאשר המתלוננת למדה בכתה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בחודשים </w:t>
      </w:r>
      <w:r>
        <w:rPr>
          <w:rFonts w:ascii="Century" w:hAnsi="Century" w:cs="Century"/>
          <w:rtl w:val="true"/>
        </w:rPr>
        <w:t>האחרונים לשנת הלימודים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שאר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ברף חומרה נמוך יותר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בוצעו כאשר למדה המתלוננת בכתות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 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טען בערעורו לאי דיוקים ולסתירות כאלה ואחרות בעדותה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והתמקד בכך שהמתלוננת ייחסה את מועד תחילת האירועים לכיתה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שאז לדבריה נפגע המערער בתאונת עבודה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העלה המערער טענות הנוגעות למצבה הנפשי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ולמניע שלה להעליל עליו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בכדי הקדמנו ותארנו את השתלשלות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התיק שבפנינו קשה מבחינת המעשים שביצע המערער בבתו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בהיבט המשפטי לפנינו תיק קל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במובן זה שאין מדובר בסיטואציה שכיחה בעבירות מין במשפחה של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מילה כנגד מילה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שכן יש שורה של ראיות מחזקות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שתחילתן באירוע המכונן של בריחת המתלוננת מביתה באישון לילה וחשיפת המעשים בפני מספר אנשים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עודנו באים להצביע על שורת הראיות המחזקות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נקדים ונזכיר כי אין דרכה של ערכאת הערעור להתערב בממצאי עובדה ומהימנות שנקבעו על ידי הערכאה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יש הגורסים כי כלל אי ההתערבות חזק במיוחד לגבי מהימנות קרבן בעבירות מין 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ועבירות מין במשפחה בפרט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מבין רבים</w:t>
      </w:r>
      <w:r>
        <w:rPr>
          <w:rFonts w:cs="Century" w:ascii="Century" w:hAnsi="Century"/>
          <w:rtl w:val="true"/>
        </w:rPr>
        <w:t xml:space="preserve">, </w:t>
      </w:r>
      <w:hyperlink r:id="rId3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9478/11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4.9.2014</w:t>
      </w:r>
      <w:r>
        <w:rPr>
          <w:rFonts w:cs="Century" w:ascii="Century" w:hAnsi="Century"/>
          <w:rtl w:val="true"/>
        </w:rPr>
        <w:t xml:space="preserve">); </w:t>
      </w:r>
      <w:hyperlink r:id="rId3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7590/11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27.11.2013</w:t>
      </w:r>
      <w:r>
        <w:rPr>
          <w:rFonts w:cs="Century" w:ascii="Century" w:hAnsi="Century"/>
          <w:rtl w:val="true"/>
        </w:rPr>
        <w:t xml:space="preserve">); </w:t>
      </w:r>
      <w:hyperlink r:id="rId32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5795/15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3.9.2015</w:t>
      </w:r>
      <w:r>
        <w:rPr>
          <w:rFonts w:cs="Century" w:ascii="Century" w:hAnsi="Century"/>
          <w:rtl w:val="true"/>
        </w:rPr>
        <w:t xml:space="preserve">); </w:t>
      </w:r>
      <w:hyperlink r:id="rId33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2331/15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13.10.2015</w:t>
      </w:r>
      <w:r>
        <w:rPr>
          <w:rFonts w:cs="Century" w:ascii="Century" w:hAnsi="Century"/>
          <w:rtl w:val="true"/>
        </w:rPr>
        <w:t xml:space="preserve">);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1072/15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שייניס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10.11.2015</w:t>
      </w:r>
      <w:r>
        <w:rPr>
          <w:rFonts w:cs="Century" w:ascii="Century" w:hAnsi="Century"/>
          <w:rtl w:val="true"/>
        </w:rPr>
        <w:t xml:space="preserve">); 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7063/14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רבאיעה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19.11.2015</w:t>
      </w:r>
      <w:r>
        <w:rPr>
          <w:rFonts w:cs="Century" w:ascii="Century" w:hAnsi="Century"/>
          <w:rtl w:val="true"/>
        </w:rPr>
        <w:t xml:space="preserve">); 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7211/13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13.12.2015</w:t>
      </w:r>
      <w:r>
        <w:rPr>
          <w:rFonts w:cs="Century" w:ascii="Century" w:hAnsi="Century"/>
          <w:rtl w:val="true"/>
        </w:rPr>
        <w:t xml:space="preserve">); </w:t>
      </w:r>
      <w:hyperlink r:id="rId3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2106/15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אקוע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19.4.2016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הגורסים כי דווקא בעבירות מין על ערכאת הערעור לבחון בקפדנות יתרה את מסקנותיה של הערכאה הדיונית </w:t>
      </w:r>
      <w:r>
        <w:rPr>
          <w:rFonts w:cs="Century" w:ascii="Century" w:hAnsi="Century"/>
          <w:rtl w:val="true"/>
        </w:rPr>
        <w:t>(</w:t>
      </w:r>
      <w:hyperlink r:id="rId3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3250/10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9-8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12.1.2012</w:t>
      </w:r>
      <w:r>
        <w:rPr>
          <w:rFonts w:cs="Century" w:ascii="Century" w:hAnsi="Century"/>
          <w:rtl w:val="true"/>
        </w:rPr>
        <w:t xml:space="preserve">); </w:t>
      </w:r>
      <w:hyperlink r:id="rId3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8279/11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1.7.2013</w:t>
      </w:r>
      <w:r>
        <w:rPr>
          <w:rFonts w:cs="Century" w:ascii="Century" w:hAnsi="Century"/>
          <w:rtl w:val="true"/>
        </w:rPr>
        <w:t xml:space="preserve">); 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5633/12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ניימן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10.7.2013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אני סבור כי אין סתירה בין שתי הגישות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עמדתי על הדברים בהרחבה בפסק דיני ב</w:t>
      </w:r>
      <w:hyperlink r:id="rId4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4487/10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6.11.2012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ואיני רואה לחזור על הדברים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וראו גם </w:t>
      </w:r>
      <w:hyperlink r:id="rId4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5484/11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19.4.2012</w:t>
      </w:r>
      <w:r>
        <w:rPr>
          <w:rFonts w:cs="Century" w:ascii="Century" w:hAnsi="Century"/>
          <w:rtl w:val="true"/>
        </w:rPr>
        <w:t xml:space="preserve">); 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7653/11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26.7.2012</w:t>
      </w:r>
      <w:r>
        <w:rPr>
          <w:rFonts w:cs="Century" w:ascii="Century" w:hAnsi="Century"/>
          <w:rtl w:val="true"/>
        </w:rPr>
        <w:t xml:space="preserve">); </w:t>
      </w:r>
      <w:hyperlink r:id="rId4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5676/10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23.8.2012</w:t>
      </w:r>
      <w:r>
        <w:rPr>
          <w:rFonts w:cs="Century" w:ascii="Century" w:hAnsi="Century"/>
          <w:rtl w:val="true"/>
        </w:rPr>
        <w:t xml:space="preserve">); </w:t>
      </w:r>
      <w:hyperlink r:id="rId45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269/12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18.10.2012</w:t>
      </w:r>
      <w:r>
        <w:rPr>
          <w:rFonts w:cs="Century" w:ascii="Century" w:hAnsi="Century"/>
          <w:rtl w:val="true"/>
        </w:rPr>
        <w:t xml:space="preserve">); </w:t>
      </w:r>
      <w:hyperlink r:id="rId4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4776/10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22.10.2012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המחוזי רכש אמון מלא לעדותה של המתלוננת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>" (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tl w:val="true"/>
        </w:rPr>
        <w:t>[...]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מלאות</w:t>
      </w:r>
      <w:r>
        <w:rPr>
          <w:rtl w:val="true"/>
        </w:rPr>
        <w:t xml:space="preserve">, </w:t>
      </w:r>
      <w:r>
        <w:rPr>
          <w:rtl w:val="true"/>
        </w:rPr>
        <w:t>שהתפרסו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מוצדקים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נוקבות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וקשות</w:t>
      </w:r>
      <w:r>
        <w:rPr>
          <w:rtl w:val="true"/>
        </w:rPr>
        <w:t xml:space="preserve">, </w:t>
      </w:r>
      <w:r>
        <w:rPr>
          <w:rtl w:val="true"/>
        </w:rPr>
        <w:t>והעלו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כואבים</w:t>
      </w:r>
      <w:r>
        <w:rPr>
          <w:rtl w:val="true"/>
        </w:rPr>
        <w:t xml:space="preserve">.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 </w:t>
      </w:r>
      <w:r>
        <w:rPr>
          <w:rtl w:val="true"/>
        </w:rPr>
        <w:t>והתרשמותי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השתדלה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ולדייק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tl w:val="true"/>
        </w:rPr>
        <w:t xml:space="preserve">, </w:t>
      </w:r>
      <w:r>
        <w:rPr>
          <w:rtl w:val="true"/>
        </w:rPr>
        <w:t>ונזהרה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שלם</w:t>
      </w:r>
      <w:r>
        <w:rPr>
          <w:rtl w:val="true"/>
        </w:rPr>
        <w:t>" (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בנוסף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מצא את עדותם של איימן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עלאא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וכרמלה כמהימנות</w:t>
      </w:r>
      <w:r>
        <w:rPr>
          <w:rFonts w:cs="Century" w:ascii="Century" w:hAnsi="Century"/>
          <w:rtl w:val="true"/>
        </w:rPr>
        <w:t xml:space="preserve">: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התרשמתי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מעלאא</w:t>
      </w:r>
      <w:r>
        <w:rPr>
          <w:rtl w:val="true"/>
        </w:rPr>
        <w:t xml:space="preserve">' </w:t>
      </w:r>
      <w:r>
        <w:rPr>
          <w:rtl w:val="true"/>
        </w:rPr>
        <w:t>ומאיימן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ולהפלילו</w:t>
      </w:r>
      <w:r>
        <w:rPr>
          <w:rtl w:val="true"/>
        </w:rPr>
        <w:t xml:space="preserve">.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והאמיצה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סולטן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ברצונה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סולטן</w:t>
      </w:r>
      <w:r>
        <w:rPr>
          <w:rtl w:val="true"/>
        </w:rPr>
        <w:t>" (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91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נספר לקורא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וופא סרבה לחזור בבית המשפט על העדות שמסרה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והודעתה הוגשה על פי </w:t>
      </w:r>
      <w:hyperlink r:id="rId47">
        <w:r>
          <w:rPr>
            <w:rStyle w:val="Hyperlink"/>
            <w:rFonts w:ascii="Century" w:hAnsi="Century" w:cs="Century"/>
            <w:rtl w:val="true"/>
          </w:rPr>
          <w:t>סעיף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10</w:t>
        </w:r>
        <w:r>
          <w:rPr>
            <w:rStyle w:val="Hyperlink"/>
            <w:rFonts w:ascii="Century" w:hAnsi="Century" w:cs="Century"/>
            <w:rtl w:val="true"/>
          </w:rPr>
          <w:t>א</w:t>
        </w:r>
      </w:hyperlink>
      <w:r>
        <w:rPr>
          <w:rFonts w:ascii="Century" w:hAnsi="Century" w:cs="Century"/>
          <w:rtl w:val="true"/>
        </w:rPr>
        <w:t xml:space="preserve"> ל</w:t>
      </w:r>
      <w:hyperlink r:id="rId4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>נוסח חדש</w:t>
      </w:r>
      <w:r>
        <w:rPr>
          <w:rFonts w:cs="Century" w:ascii="Century" w:hAnsi="Century"/>
          <w:rtl w:val="true"/>
        </w:rPr>
        <w:t xml:space="preserve">],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1971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מצא גם את עדותו של מוחמד כמהימנה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וראה את עדותו כחיזוק אותנטי לגרסת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שלפיה החל המערער לבצע את מעשיו כשהייתה בכיתה י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לכל אותן ראיות נוסיף גם את עדותה של חברתה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ששמה אסיל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שגם בפניה חשפה המתלוננת את מעשיו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בהיותה בכיתה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א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69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בעדותה של אסיל היתה גם התייחסות למצבה הנפשי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שסיפרה לאסיל כי היא מרגישה לא טוב ורוצה למות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שהיא מספרת לאסיל את הדברים בקול נמוך ובחשאי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גם את עדותה של אסיל מצא בית המשפט המחוזי כמהימנה</w:t>
      </w:r>
      <w:r>
        <w:rPr>
          <w:rFonts w:cs="Century" w:ascii="Century" w:hAnsi="Century"/>
          <w:rtl w:val="true"/>
        </w:rPr>
        <w:t>: "</w:t>
      </w:r>
      <w:r>
        <w:rPr>
          <w:rFonts w:ascii="Century" w:hAnsi="Century" w:cs="Century"/>
          <w:rtl w:val="true"/>
        </w:rPr>
        <w:t>עדותה של אסיל מהימנה עלי לחלוטין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היה לה כל אינטרס לשקר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לה היום כל קשר עם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כל חשש להשפעה מכיוון זה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משפט קמא מצא כי גם עדותה של המתלוננת בדבר חשיפת הדברים בפני בני משפחתה משתלבת במכלול 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שאותה כאמור מצא מהימנה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הגם שלא ראה בכך תמיכה ראייתית של ממש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78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מצא את המתלוננת ואת העדים כמהימנים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ומנגד קבע באופן נחרץ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בשונה מהתרשמותי מהמתלוננת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התרשמתי מהנאשם באופן שלילי ביותר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אינני רואה בו עד מהימן ואינני נכון לסמוך על דבריו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לא מצאתי ממש בטענת המערער כי גרסתה של המתלוננת נסתרה לאחר שקשרה את האירועים בכתה 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לפציעתו של המערער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משפט קמא התייחס באריכות לטענות המערער בנוגע למועד האירוע הראשון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שלגביו ציינה המתלוננת כי התרחש כשהייתה בכיתה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בתקופה שהמערער נפצע בידו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הפציעה בידו של המערער התרחשה בחודש יולי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סיום כיתה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ובית משפט קמא בחן בדקדקנות את הודעותיה של המתלוננת במשטרה והסביר היטב מדוע הפציעה של המערער נקשרה על ידי המתלוננת למעשים שייחסה לו כשהייתה בכיתה י</w:t>
      </w:r>
      <w:r>
        <w:rPr>
          <w:rFonts w:cs="Century" w:ascii="Century" w:hAnsi="Century"/>
          <w:rtl w:val="true"/>
        </w:rPr>
        <w:t xml:space="preserve">'. </w:t>
      </w:r>
      <w:r>
        <w:rPr>
          <w:rFonts w:ascii="Century" w:hAnsi="Century" w:cs="Century"/>
          <w:rtl w:val="true"/>
        </w:rPr>
        <w:t>בית המשפט שוכנע כי המתלוננת טעתה בכך שקישרה את האירוע הראשון לפציעה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מהקישור של האירוע המיני לכיתה י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אירוע שלגביו התלוננה בעקביות כי אכן אירע כשהייתה בכיתה י</w:t>
      </w:r>
      <w:r>
        <w:rPr>
          <w:rFonts w:cs="Century" w:ascii="Century" w:hAnsi="Century"/>
          <w:rtl w:val="true"/>
        </w:rPr>
        <w:t>' (</w:t>
      </w:r>
      <w:r>
        <w:rPr>
          <w:rFonts w:ascii="Century" w:hAnsi="Century" w:cs="Century"/>
          <w:rtl w:val="true"/>
        </w:rPr>
        <w:t xml:space="preserve">בפסקאות </w:t>
      </w:r>
      <w:r>
        <w:rPr>
          <w:rFonts w:cs="Century" w:ascii="Century" w:hAnsi="Century"/>
        </w:rPr>
        <w:t>61-58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נקבע כי מדובר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טעות סבירה ואפשרית בנסיבות העניין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וכי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מדובר בטעות כנה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שנובעת מלחץ ומניסיון של המתלוננת למקם את האירוע בזמן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ולהסביר לעצמה ולחוקריה את הימצאותו של הפוגע בזירה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וזוהי טעות שניתן לקבלה ולהתעלם ממנה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57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דרך הניתוח של בית משפט קמא מקובלת עלינו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ואיננו רואים לחזור על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וכפי שציין גם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היתה עקבית בעדותה כי האירועים התרחשו במהלך כיתה י</w:t>
      </w:r>
      <w:r>
        <w:rPr>
          <w:rFonts w:cs="Century" w:ascii="Century" w:hAnsi="Century"/>
          <w:rtl w:val="true"/>
        </w:rPr>
        <w:t>'.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טענת המערער כי טרם הפציעה עבד בנגריה מדי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כך שלא היה בבית ולא יכול היה לבצע את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נסתרה ונדחתה על ידי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שמעדויות מעסיקי המערער עלה כי במחצית ימי השבוע הוא היה חופשי בשעות הבוקר המוקדמות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הצביע על אי דיוקים שוליים כאלה ואחרים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שגם עליהם עמד בית משפט קמא בהכרעת דינו ואף אני לא מצאתי בהם ממש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אף לא למותר לציין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המתלוננת לא נחקרה על חלק מאותן סתירות ואי דיוקים שוליים במהלך חקירתה הנגדית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טען כי במחקרי תקשורת שנערכו בנוגע לטלפון של איימן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נמצאו שיחות בין איימן לבין הטלפון של עלאא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בלילה הנדון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לא שיחה בינו לבין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אך כפי שציין 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איימן השיב בבית המשפט בתמיהה  ספונטנית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אם לא הייתה שיחה מוקדמת בינו לבין עלאא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 xml:space="preserve">אז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איך הבן אדם הגיע אלי עם הילדה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זאת ועוד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בביתו של איימן יש גם טלפון קווי שלא נבדק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נבדקו טלפונים נוספים שהופיעו במחקרי התקשורת כשיחות נכנסות ויוצאות מהטלפון של איימן</w:t>
      </w:r>
      <w:r>
        <w:rPr>
          <w:rFonts w:cs="Century" w:ascii="Century" w:hAnsi="Century"/>
          <w:rtl w:val="true"/>
        </w:rPr>
        <w:t xml:space="preserve">.  </w:t>
      </w:r>
      <w:r>
        <w:rPr>
          <w:rFonts w:ascii="Century" w:hAnsi="Century" w:cs="Century"/>
          <w:rtl w:val="true"/>
        </w:rPr>
        <w:t>ובכלל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שעולה ממחקר התקשורת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למחרת היום בו הוחזרה המתלוננת לביתה</w:t>
      </w:r>
      <w:r>
        <w:rPr>
          <w:rFonts w:cs="Century" w:ascii="Century" w:hAnsi="Century"/>
          <w:rtl w:val="true"/>
        </w:rPr>
        <w:t xml:space="preserve">,  </w:t>
      </w:r>
      <w:r>
        <w:rPr>
          <w:rFonts w:ascii="Century" w:hAnsi="Century" w:cs="Century"/>
          <w:rtl w:val="true"/>
        </w:rPr>
        <w:t xml:space="preserve">הייתה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מתקפת טלפונים חריגה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בין המערער לבין איימן ובין אשתו של המערער לבין איימן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תקשורת אינטנסיבית זו מעידה ומחזקת את סיפור המעשה על אודות בריחתה של המתלוננת מביתה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11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המערער טען כי המתלוננת העלילה עליו מאחר שביקשה להתחמק מאירוסיה ומהחתן שהוריה הועידו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מנת להדק את הקשר עם מוחמד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שעמו יצרה קשר באמצעות הפייסבוק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האירוסין נערכו באפריל </w:t>
      </w:r>
      <w:r>
        <w:rPr>
          <w:rFonts w:cs="Century" w:ascii="Century" w:hAnsi="Century"/>
        </w:rPr>
        <w:t>2015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הקשר בין המתלוננת לבין מוחמד נוצר רק לאחר האירוסין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שהמתלוננת החלה להתלונן על מעשיו של המערער עוד לפני אירוסיה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אשר לטענה לגבי ביקורת המציאות של המתלוננת עקב מצבה הנפשי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הרי שבטענה זו אין ממש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ובית משפט קמא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שהתרשם ישירות מהמתלוננת במשך שש ישיבות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 כי היא מערבת בעדותה בין מציאות ודמיון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בסופו של יום אנו נותרים עם הנתונים הבאים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שהביאו את בית משפט קמא להרשיע את המערער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ascii="Century" w:hAnsi="Century" w:cs="Century"/>
          <w:rtl w:val="true"/>
        </w:rPr>
        <w:t>המהימנות המלאה שרחש בית משפט קמא למתלוננת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בהקשר זה נציין כי המתלוננת נזהרה בעדותה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הגזימה ולא הפריזה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ותארה כי רף החומרה של מעשי המערער ירד מעט בכיתות 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לא פנתה ביוזמתה למשטרה אלא לאחר שהיועצת הפנתה אותה לגורמי הרווחה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שהפנו אותה למשטרה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הפנייה של המתלוננת אל היועצת נעשתה לאחר שהמתלוננת הבינה כי ישועתה לא תגיע מאף אחד מבני משפחתה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בעקבות חשיפתה את מעלליו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שילמה המתלוננת מחיר יקר מאוד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בני משפחתה של המתלוננת התכחשו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איימו עליה בבית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כיום היא מנודה על ידי המשפחה ומנותקת לחלוטין מכור מחצבתה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המערער נמצא כבלתי מהימן ונתפס בשקריו כאשר הכחיש אפילו את אירוע הבריחה של המתלוננת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עדותה המחזקת של אסיל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עדותו המחזקת של עלאא</w:t>
      </w:r>
      <w:r>
        <w:rPr>
          <w:rFonts w:cs="Century" w:ascii="Century" w:hAnsi="Century"/>
          <w:rtl w:val="true"/>
        </w:rPr>
        <w:t>'.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עדותו המחזקת של איימן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עדותה המחזקת של כרמלה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הודעתה של וופא במשטרה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(-)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עדותו של מחמד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רקע עדויות וראיות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איננו רואים מקום להתערב בהכרעת הדין</w:t>
      </w:r>
      <w:r>
        <w:rPr>
          <w:rFonts w:cs="Century" w:ascii="Century" w:hAnsi="Century"/>
          <w:rtl w:val="true"/>
        </w:rPr>
        <w:t xml:space="preserve">.  </w:t>
      </w:r>
      <w:r>
        <w:rPr>
          <w:rFonts w:cs="Century" w:ascii="Century" w:hAnsi="Century"/>
          <w:rtl w:val="true"/>
        </w:rPr>
        <w:tab/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במאמר מוסגר אציין כי בית המשפט קמא התלבט אם ועד כמה ניתן לראות בעדויות של העדים הנ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 ראיה מחזקת לגרסתה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עדותם מתבססת למעשה על דברים ששמעו מפיה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כשלעצמי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איני רואה מניעה בתיקים מעין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לחרוג מהכללים הנוקשים של עדות שמיעה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המובלעת הראייתית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הייחודית לעבירות מין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tl w:val="true"/>
        </w:rPr>
        <w:t>"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השמועה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חזון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גסטה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res gesta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 (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5582/09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88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20.9.2010</w:t>
      </w:r>
      <w:r>
        <w:rPr>
          <w:rFonts w:cs="Century" w:ascii="Century" w:hAnsi="Century"/>
          <w:rtl w:val="true"/>
        </w:rPr>
        <w:t>)).</w:t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המערער טען כי העונש שהושת עליו חורג מרף הענישה הנוהג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בהתבסס על מספר פסקי דין שאליהם הפנה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ניתן להצביע על משרעת של ענישה בעבירות מין במשפחה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נוכח החומרה היתרה שבפגיעות מיניות בקטינים בתוך התא המשפחתי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הענישה היא מחמירה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העונש שהושת על המערער הוא כבד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אך אינו חורג באופן קיצוני מרף הענישה הנוהג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לסקירה של מספר פסקי דין בהם נדונו נאשמים שביצעו עבירות מין קשות בבנותיהם למאסרים ממושכים של מעל עשרים שנה ראו </w:t>
      </w:r>
      <w:hyperlink r:id="rId5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1647/17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9.1.2019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מדובר בעבירות שבוצעו לאורך שנים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שימוש בכוח ובאיומים כלפי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מעשים הכוללים גם עבירת אינוס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נסיבה מיוחדת לחומרה היא העובדה שגם לאחר שהמתלוננת ברחה מביתה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והוחזרה לביתה לאחר שהמערער הבטיח כי לא ייגע בה לרעה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לא כבש את יצרו והמשיך לבצע במתלוננת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בתו שורה של מעשים מגונים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כמפורט בכתב האישום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לכך יש להוסיף את המחיר הכבד ששילמה ומשלמת המתלוננת עד עצם היום הזה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שהרהיבה עוז וחשפה את מעלליו 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נודתה על ידי בני משפחתה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שאיימו עליה באולם בית המשפט והכחישו כי סיפרה להם על מעשי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שציין בית המשפט בגזר דינו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המתלוננת הגיעה בכל פעם לבית המשפט כשהיא מלווה בשוטרים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ספגה קללות מבני משפחתה שהמתינו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והתמודדה עם חקירה נגדית לא קלה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בני המשפחה אף ניסו לאתר את המתלוננת במקלט בו שהתה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ולמעשה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 עצם היום הזה המתלוננת מתנהלת כמי שנרדפת על ידי בני משפחתה וכמי שחוששת לחייה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המתלוננת נותקה מכל משפחתה ומסביבתה הטבעית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נותרה בודדה בעולם ללא תמיכה משפחתית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בנוסף לפגיעה הנפשית הקשה שנגרמה לה ושמשפיעה על כל אורחות חייה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פורטו בתסקיר נפגעת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ואיני רואה להאריך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בנסיבות אלה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מקום להקל בעונשו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וברי כי גם אין מקום להפחתת הפיצוי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סוף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שדין הערעור להידחות על כל חלקיו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ארז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תעצומות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והמכשולים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שנדרשו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בציפורניה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tl w:val="true"/>
        </w:rPr>
        <w:t>: 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רעך</w:t>
      </w:r>
      <w:r>
        <w:rPr>
          <w:rtl w:val="true"/>
        </w:rPr>
        <w:t xml:space="preserve">", </w:t>
      </w:r>
      <w:r>
        <w:rPr>
          <w:rtl w:val="true"/>
        </w:rPr>
        <w:t>ובשינויים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>: "</w:t>
      </w:r>
      <w:r>
        <w:rPr>
          <w:rtl w:val="true"/>
        </w:rPr>
        <w:t>מבשרך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תתעלם</w:t>
      </w:r>
      <w:r>
        <w:rPr>
          <w:rtl w:val="true"/>
        </w:rPr>
        <w:t xml:space="preserve">".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למלכודת</w:t>
      </w:r>
      <w:r>
        <w:rPr>
          <w:rtl w:val="true"/>
        </w:rPr>
        <w:t xml:space="preserve">.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ואחיה</w:t>
      </w:r>
      <w:r>
        <w:rPr>
          <w:rtl w:val="true"/>
        </w:rPr>
        <w:t xml:space="preserve">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הופנתה</w:t>
      </w:r>
      <w:r>
        <w:rPr>
          <w:rtl w:val="true"/>
        </w:rPr>
        <w:t xml:space="preserve">"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התחנות</w:t>
      </w:r>
      <w:r>
        <w:rPr>
          <w:rtl w:val="true"/>
        </w:rPr>
        <w:t xml:space="preserve">,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: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.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מתברר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ביועצת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הופנתה</w:t>
      </w:r>
      <w:r>
        <w:rPr>
          <w:rtl w:val="true"/>
        </w:rPr>
        <w:t xml:space="preserve">" </w:t>
      </w:r>
      <w:r>
        <w:rPr>
          <w:rtl w:val="true"/>
        </w:rPr>
        <w:t>הלאה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ליווי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מתלמידיו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חינוכי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משוועת</w:t>
      </w:r>
      <w:r>
        <w:rPr>
          <w:rtl w:val="true"/>
        </w:rPr>
        <w:t xml:space="preserve">. </w:t>
      </w:r>
      <w:r>
        <w:rPr>
          <w:rtl w:val="true"/>
        </w:rPr>
        <w:t>מתשובות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הלקחים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יופקו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end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ש ו פ ט ת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13.1.2021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19007810</w:t>
      </w:r>
      <w:r>
        <w:rPr>
          <w:sz w:val="16"/>
          <w:rtl w:val="true"/>
        </w:rPr>
        <w:t>_</w:t>
      </w:r>
      <w:r>
        <w:rPr>
          <w:sz w:val="16"/>
        </w:rPr>
        <w:t>E12.docx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יע</w:t>
      </w:r>
      <w:r>
        <w:rPr>
          <w:sz w:val="16"/>
          <w:rtl w:val="true"/>
        </w:rPr>
        <w:t>+</w:t>
      </w:r>
      <w:r>
        <w:rPr>
          <w:sz w:val="16"/>
          <w:sz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1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54678313-781/19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781/19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345.a.1" TargetMode="External"/><Relationship Id="rId5" Type="http://schemas.openxmlformats.org/officeDocument/2006/relationships/hyperlink" Target="http://www.nevo.co.il/law/70301/347.b" TargetMode="External"/><Relationship Id="rId6" Type="http://schemas.openxmlformats.org/officeDocument/2006/relationships/hyperlink" Target="http://www.nevo.co.il/law/70301/348.c1" TargetMode="External"/><Relationship Id="rId7" Type="http://schemas.openxmlformats.org/officeDocument/2006/relationships/hyperlink" Target="http://www.nevo.co.il/law/70301/351.a" TargetMode="External"/><Relationship Id="rId8" Type="http://schemas.openxmlformats.org/officeDocument/2006/relationships/hyperlink" Target="http://www.nevo.co.il/law/70301/351.c.1" TargetMode="External"/><Relationship Id="rId9" Type="http://schemas.openxmlformats.org/officeDocument/2006/relationships/hyperlink" Target="http://www.nevo.co.il/law/70301/351.d" TargetMode="External"/><Relationship Id="rId10" Type="http://schemas.openxmlformats.org/officeDocument/2006/relationships/hyperlink" Target="http://www.nevo.co.il/law/70301/368b.a" TargetMode="External"/><Relationship Id="rId11" Type="http://schemas.openxmlformats.org/officeDocument/2006/relationships/hyperlink" Target="http://www.nevo.co.il/law/98569" TargetMode="External"/><Relationship Id="rId12" Type="http://schemas.openxmlformats.org/officeDocument/2006/relationships/hyperlink" Target="http://www.nevo.co.il/law/98569/10a" TargetMode="External"/><Relationship Id="rId13" Type="http://schemas.openxmlformats.org/officeDocument/2006/relationships/hyperlink" Target="http://www.nevo.co.il/law/70301/345.a.1" TargetMode="External"/><Relationship Id="rId14" Type="http://schemas.openxmlformats.org/officeDocument/2006/relationships/hyperlink" Target="http://www.nevo.co.il/law/70301/351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347.b" TargetMode="External"/><Relationship Id="rId17" Type="http://schemas.openxmlformats.org/officeDocument/2006/relationships/hyperlink" Target="http://www.nevo.co.il/law/70301/345.a.1" TargetMode="External"/><Relationship Id="rId18" Type="http://schemas.openxmlformats.org/officeDocument/2006/relationships/hyperlink" Target="http://www.nevo.co.il/law/70301/351.a" TargetMode="External"/><Relationship Id="rId19" Type="http://schemas.openxmlformats.org/officeDocument/2006/relationships/hyperlink" Target="http://www.nevo.co.il/law/70301/347.b" TargetMode="External"/><Relationship Id="rId20" Type="http://schemas.openxmlformats.org/officeDocument/2006/relationships/hyperlink" Target="http://www.nevo.co.il/law/70301/345.a.1" TargetMode="External"/><Relationship Id="rId21" Type="http://schemas.openxmlformats.org/officeDocument/2006/relationships/hyperlink" Target="http://www.nevo.co.il/law/70301/351.a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348.c1" TargetMode="External"/><Relationship Id="rId24" Type="http://schemas.openxmlformats.org/officeDocument/2006/relationships/hyperlink" Target="http://www.nevo.co.il/law/70301/351.c.1" TargetMode="External"/><Relationship Id="rId25" Type="http://schemas.openxmlformats.org/officeDocument/2006/relationships/hyperlink" Target="http://www.nevo.co.il/law/70301/348.c1" TargetMode="External"/><Relationship Id="rId26" Type="http://schemas.openxmlformats.org/officeDocument/2006/relationships/hyperlink" Target="http://www.nevo.co.il/law/70301/351.c.1" TargetMode="External"/><Relationship Id="rId27" Type="http://schemas.openxmlformats.org/officeDocument/2006/relationships/hyperlink" Target="http://www.nevo.co.il/law/70301/25" TargetMode="External"/><Relationship Id="rId28" Type="http://schemas.openxmlformats.org/officeDocument/2006/relationships/hyperlink" Target="http://www.nevo.co.il/law/70301/351.d" TargetMode="External"/><Relationship Id="rId29" Type="http://schemas.openxmlformats.org/officeDocument/2006/relationships/hyperlink" Target="http://www.nevo.co.il/law/70301/368b.a" TargetMode="External"/><Relationship Id="rId30" Type="http://schemas.openxmlformats.org/officeDocument/2006/relationships/hyperlink" Target="http://www.nevo.co.il/case/6249179" TargetMode="External"/><Relationship Id="rId31" Type="http://schemas.openxmlformats.org/officeDocument/2006/relationships/hyperlink" Target="http://www.nevo.co.il/case/5601782" TargetMode="External"/><Relationship Id="rId32" Type="http://schemas.openxmlformats.org/officeDocument/2006/relationships/hyperlink" Target="http://www.nevo.co.il/case/17948149" TargetMode="External"/><Relationship Id="rId33" Type="http://schemas.openxmlformats.org/officeDocument/2006/relationships/hyperlink" Target="http://www.nevo.co.il/case/20028603" TargetMode="External"/><Relationship Id="rId34" Type="http://schemas.openxmlformats.org/officeDocument/2006/relationships/hyperlink" Target="http://www.nevo.co.il/case/20028610" TargetMode="External"/><Relationship Id="rId35" Type="http://schemas.openxmlformats.org/officeDocument/2006/relationships/hyperlink" Target="http://www.nevo.co.il/case/18107513" TargetMode="External"/><Relationship Id="rId36" Type="http://schemas.openxmlformats.org/officeDocument/2006/relationships/hyperlink" Target="http://www.nevo.co.il/case/10442984" TargetMode="External"/><Relationship Id="rId37" Type="http://schemas.openxmlformats.org/officeDocument/2006/relationships/hyperlink" Target="http://www.nevo.co.il/case/20138627" TargetMode="External"/><Relationship Id="rId38" Type="http://schemas.openxmlformats.org/officeDocument/2006/relationships/hyperlink" Target="http://www.nevo.co.il/case/5951406" TargetMode="External"/><Relationship Id="rId39" Type="http://schemas.openxmlformats.org/officeDocument/2006/relationships/hyperlink" Target="http://www.nevo.co.il/case/5606389" TargetMode="External"/><Relationship Id="rId40" Type="http://schemas.openxmlformats.org/officeDocument/2006/relationships/hyperlink" Target="http://www.nevo.co.il/case/6246489" TargetMode="External"/><Relationship Id="rId41" Type="http://schemas.openxmlformats.org/officeDocument/2006/relationships/hyperlink" Target="http://www.nevo.co.il/case/5960048" TargetMode="External"/><Relationship Id="rId42" Type="http://schemas.openxmlformats.org/officeDocument/2006/relationships/hyperlink" Target="http://www.nevo.co.il/case/6246379" TargetMode="External"/><Relationship Id="rId43" Type="http://schemas.openxmlformats.org/officeDocument/2006/relationships/hyperlink" Target="http://www.nevo.co.il/case/5603199" TargetMode="External"/><Relationship Id="rId44" Type="http://schemas.openxmlformats.org/officeDocument/2006/relationships/hyperlink" Target="http://www.nevo.co.il/case/6246519" TargetMode="External"/><Relationship Id="rId45" Type="http://schemas.openxmlformats.org/officeDocument/2006/relationships/hyperlink" Target="http://www.nevo.co.il/case/6244421" TargetMode="External"/><Relationship Id="rId46" Type="http://schemas.openxmlformats.org/officeDocument/2006/relationships/hyperlink" Target="http://www.nevo.co.il/case/5832812" TargetMode="External"/><Relationship Id="rId47" Type="http://schemas.openxmlformats.org/officeDocument/2006/relationships/hyperlink" Target="http://www.nevo.co.il/law/98569/10a" TargetMode="External"/><Relationship Id="rId48" Type="http://schemas.openxmlformats.org/officeDocument/2006/relationships/hyperlink" Target="http://www.nevo.co.il/law/98569" TargetMode="External"/><Relationship Id="rId49" Type="http://schemas.openxmlformats.org/officeDocument/2006/relationships/hyperlink" Target="http://www.nevo.co.il/case/6246452" TargetMode="External"/><Relationship Id="rId50" Type="http://schemas.openxmlformats.org/officeDocument/2006/relationships/hyperlink" Target="http://www.nevo.co.il/case/22261453" TargetMode="External"/><Relationship Id="rId51" Type="http://schemas.openxmlformats.org/officeDocument/2006/relationships/hyperlink" Target="http://supreme.court.gov.il/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2021-01-14T10:44:00Z</dcterms:created>
  <dc:creator>h4</dc:creator>
  <dc:description/>
  <cp:keywords/>
  <dc:language>en-IL</dc:language>
  <cp:lastModifiedBy>orly</cp:lastModifiedBy>
  <cp:lastPrinted>2021-01-13T14:21:00Z</cp:lastPrinted>
  <dcterms:modified xsi:type="dcterms:W3CDTF">2021-01-14T10:44:00Z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6249179;5601782;17948149;20028603;20028610;18107513;10442984;20138627;5951406;5606389;6246489;5960048;6246379;5603199;6246519;6244421;5832812;6246452;22261453</vt:lpwstr>
  </property>
  <property fmtid="{D5CDD505-2E9C-101B-9397-08002B2CF9AE}" pid="9" name="CITY">
    <vt:lpwstr/>
  </property>
  <property fmtid="{D5CDD505-2E9C-101B-9397-08002B2CF9AE}" pid="10" name="DATE">
    <vt:lpwstr>20210113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ברק ארז;ד' מינץ</vt:lpwstr>
  </property>
  <property fmtid="{D5CDD505-2E9C-101B-9397-08002B2CF9AE}" pid="14" name="LAWLISTTMP1">
    <vt:lpwstr>70301/345.a.1:3;351.a:3;347.b:2;025:2;348.c1:2;351.c.1:2;351.d;368b.a</vt:lpwstr>
  </property>
  <property fmtid="{D5CDD505-2E9C-101B-9397-08002B2CF9AE}" pid="15" name="LAWLISTTMP2">
    <vt:lpwstr>98569/010a</vt:lpwstr>
  </property>
  <property fmtid="{D5CDD505-2E9C-101B-9397-08002B2CF9AE}" pid="16" name="LAWYER">
    <vt:lpwstr>עילית מידן;יולנדה טולדנו בובליל;ליאור שני;שירן ברגמן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ראיות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77;77;89;77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מהימנות</vt:lpwstr>
  </property>
  <property fmtid="{D5CDD505-2E9C-101B-9397-08002B2CF9AE}" pid="42" name="NOSE24">
    <vt:lpwstr>עבירות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1443;1443;1635;1443</vt:lpwstr>
  </property>
  <property fmtid="{D5CDD505-2E9C-101B-9397-08002B2CF9AE}" pid="49" name="NOSE31">
    <vt:lpwstr>עבירות מין במשפחה</vt:lpwstr>
  </property>
  <property fmtid="{D5CDD505-2E9C-101B-9397-08002B2CF9AE}" pid="50" name="NOSE310">
    <vt:lpwstr/>
  </property>
  <property fmtid="{D5CDD505-2E9C-101B-9397-08002B2CF9AE}" pid="51" name="NOSE32">
    <vt:lpwstr>עבירות מין בקטין</vt:lpwstr>
  </property>
  <property fmtid="{D5CDD505-2E9C-101B-9397-08002B2CF9AE}" pid="52" name="NOSE33">
    <vt:lpwstr>התערבות ערכאת ערעור</vt:lpwstr>
  </property>
  <property fmtid="{D5CDD505-2E9C-101B-9397-08002B2CF9AE}" pid="53" name="NOSE34">
    <vt:lpwstr>מדיניות ענישה: עבירות מין במשפחה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12407;16634;10199;12874</vt:lpwstr>
  </property>
  <property fmtid="{D5CDD505-2E9C-101B-9397-08002B2CF9AE}" pid="60" name="PADIDATE">
    <vt:lpwstr>20210114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781</vt:lpwstr>
  </property>
  <property fmtid="{D5CDD505-2E9C-101B-9397-08002B2CF9AE}" pid="66" name="PROCYEAR">
    <vt:lpwstr>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410120210113</vt:lpwstr>
  </property>
  <property fmtid="{D5CDD505-2E9C-101B-9397-08002B2CF9AE}" pid="70" name="TYPE_N_DATE">
    <vt:lpwstr>41020210113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