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7835/17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סטפן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אלזרה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עו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החלטת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56517-11-16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04.09.2017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>'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09.10.2018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</w:p>
    <w:tbl>
      <w:tblPr>
        <w:bidiVisual w:val="true"/>
        <w:tblW w:w="8819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529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bookmarkStart w:id="4" w:name="lawyers_a_title"/>
            <w:bookmarkEnd w:id="4"/>
            <w:r>
              <w:rPr>
                <w:szCs w:val="28"/>
                <w:rtl w:val="true"/>
              </w:rPr>
              <w:t>בשם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המערער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529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עזריאל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פרידנברג</w:t>
            </w:r>
            <w:r>
              <w:rPr>
                <w:rFonts w:cs="David"/>
                <w:sz w:val="22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דבורה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אביטבול</w:t>
            </w:r>
            <w:r>
              <w:rPr>
                <w:rFonts w:cs="David"/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Cs w:val="28"/>
                <w:rtl w:val="true"/>
              </w:rPr>
              <w:t>בשם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המשיב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David"/>
                <w:sz w:val="22"/>
                <w:szCs w:val="28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ד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תום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sz w:val="22"/>
          <w:szCs w:val="28"/>
        </w:rPr>
      </w:pPr>
      <w:r>
        <w:rPr>
          <w:sz w:val="22"/>
          <w:szCs w:val="2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המתורגמנית</w:t>
            </w:r>
            <w:r>
              <w:rPr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2"/>
                <w:szCs w:val="28"/>
              </w:rPr>
            </w:pPr>
            <w:r>
              <w:rPr>
                <w:rFonts w:cs="David"/>
                <w:sz w:val="22"/>
                <w:sz w:val="22"/>
                <w:szCs w:val="28"/>
                <w:rtl w:val="true"/>
              </w:rPr>
              <w:t>גב</w:t>
            </w:r>
            <w:r>
              <w:rPr>
                <w:rFonts w:cs="David"/>
                <w:sz w:val="22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חיה</w:t>
            </w:r>
            <w:r>
              <w:rPr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8"/>
                <w:rtl w:val="true"/>
              </w:rPr>
              <w:t>פיקרד</w:t>
            </w:r>
            <w:r>
              <w:rPr>
                <w:rFonts w:cs="David"/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BODYPROTOCOL"/>
        <w:ind w:end="0"/>
        <w:jc w:val="both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  <w:bookmarkStart w:id="7" w:name="Links_Kitvei_Start"/>
      <w:bookmarkStart w:id="8" w:name="Links_Kitvei_Start"/>
      <w:bookmarkEnd w:id="8"/>
    </w:p>
    <w:p>
      <w:pPr>
        <w:pStyle w:val="BODYPROTOCO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עירית קאהן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דיני הסגרה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משפט בינלאומי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 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רוֹבּי סֵיבּל ויעל רונן עורכים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מהדורה שלישית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2016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495</w:t>
        </w:r>
      </w:hyperlink>
      <w:bookmarkStart w:id="10" w:name="LawTable"/>
      <w:bookmarkEnd w:id="10"/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1954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ההסגרה המנויים 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ההסגרה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מתקיימים בענייננו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וענייננו אינו נופל בגדר הסייגים להסגרה המנויים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ובפרט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כנטען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הסגרה – תנאים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הסגרה – סייגים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 – תנאי הסגרה – סייגים להסגרה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 – סייגים להסגרה – תקנת הציבור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 – הכרזה כבר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 – עקרון ההדדיות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בינלאומי פומבי – הסגרה – הדדיות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ההסגרה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התשי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1954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וצרפתית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ממשמורת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המשנה לנשיאה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מלצר והשופט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קובע שני תנאים מצטברים לצורך הכרזה על אדם כבר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של הסכם הסגרה בין ישראל לבין המדינה המבקשת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המבוקש להיות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חייב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במדינה המבקשת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בגין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שהעונש בגינה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 בוצעה בישראל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 על שנת מאסר או חמור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קובע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מדינת ישראל תנהג הדדיות ביחסי ההסגרה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החליט שר המשפטים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בהתקיים תנאי </w:t>
      </w: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22"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 מונים שורה של סייגים להסגרה אשר בהתקיימם לא יוסגר אדם למדינה המבקשת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סבור כי מתקיימים התנאים המנויים 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 לצורך הכרזה על המערער כבר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עניינו של המערער אינו נופל בגדר הסייגים להסגרה המנויים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ובפרט 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כנטען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בשני פסקי דין חלוטים בשורת עבירות כלכליות ובעבירת ניסיון למרמה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המהוות עבירות 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מואשם בבריחה ממשמורת חוקית שאף היא מהווה עבירת 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ומתקיימים יחסי הסגרה הדדיים בין ישראל לצרפת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אחרון זה צוין בין היתר כי בעניין למפל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8304/17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רשויות אכיפת החוק בצרפת לא נוהגות להסגיר מבוקשים לישראל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מעמידות אותם לדין בתחומיה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הרי שנקיטה בדרך של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 או שפיטה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מספיקה לצורך קיום דרישת ההדדיות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הדין גם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כי הסגרתו עלולה לפגוע בתקנת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באינטרס חיוני של מדינת ישראל מאחר ויאלץ לרצות את מאסרו בתנאי בידוד נוכח חשש לחייו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בהתאם להלכה הפסוקה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 סייג זה מצומצמת למצבים קיצוניים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הפגיעה בזכויותיו של המבוקש כתוצאה מהסגרתו הינה בעלת עוצמה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יש בה בכדי להכריע את האינטרס הציבורי הגלום בהסגרתו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מסוימים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הצורך להתנות את ההסגרה בכך שיובטחו למבוקש תנאים בסיסיים לשמירה על זכויותיו על מנת שלא לפגוע בתקנת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צבטקוביץ</w:t>
      </w:r>
      <w:r>
        <w:rPr>
          <w:rFonts w:cs="Times New Roman" w:ascii="Times New Roman" w:hAnsi="Times New Roman"/>
          <w:spacing w:val="0"/>
          <w:szCs w:val="26"/>
          <w:rtl w:val="true"/>
        </w:rPr>
        <w:t>' (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6322/11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התעורר חשש לחייו של המבוקש במסגרת 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הסגרתו הותנתה בהתחייבות כי יוחזק באגף נפרד מכלל האסירים ותחת פיקוח ושמירה צמודה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שאיזן בין הפגיעה האפשרית בזכויותיו של המבוקש לבין האינטרס הגלום בהסגרתו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הנוכחי אינו נמנה עם מקרים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החזקת המערער בתנאי מאסר רגילים בצרפת עלולה לעורר חשש לחייו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שהרשויות בצרפת פעלו לצמצום חשש זה תוך החזקתו בבידוד בהסכמתו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מקום להניח שיימנעו מכך בעתיד אם יתעורר חשש ממשי לחייו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עצם החזקתו בתנאי בידוד לשם הגנה על חייו עלולה לפגוע בתקנת הציבור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מבקש המערער לקבוע למעשה תנאי מחמיר מזה שנקבע בעניין צבטקוביץ</w:t>
      </w:r>
      <w:r>
        <w:rPr>
          <w:rFonts w:cs="Times New Roman" w:ascii="Times New Roman" w:hAnsi="Times New Roman"/>
          <w:spacing w:val="0"/>
          <w:szCs w:val="26"/>
          <w:rtl w:val="true"/>
        </w:rPr>
        <w:t>'.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מאמציו של המערער להימלט מן הדין ולפתוח בחשאי פרק חדש בחייו תוך שימוש בישראל כמקלט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שהאינטרס הגלום בהסגרתו גובר על הפגיעה האפשרית שתגרם לו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המשמעויות הקשות שעשויות להיות להחזקתו בתנאי בידוד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תקנת הציבור אינם מונעים את הסגרת המערער לצרפת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ליתרת 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מוטב כי סוגיה זו תתברר בפני הרשויות בצרפת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בכך כדי לשנות את ההחלטה להכריז על המערער כבר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הסגרה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BODYPROTOCO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2" w:name="ABSTRACT_END"/>
      <w:bookmarkStart w:id="13" w:name="ABSTRACT_END"/>
      <w:bookmarkEnd w:id="13"/>
    </w:p>
    <w:p>
      <w:pPr>
        <w:pStyle w:val="BODYPROTOCOL"/>
        <w:ind w:end="0"/>
        <w:jc w:val="both"/>
        <w:rPr>
          <w:rFonts w:ascii="FrankRuehl" w:hAnsi="FrankRuehl" w:cs="David"/>
          <w:spacing w:val="0"/>
          <w:sz w:val="24"/>
          <w:szCs w:val="24"/>
        </w:rPr>
      </w:pPr>
      <w:r>
        <w:rPr>
          <w:rFonts w:cs="David" w:ascii="FrankRuehl" w:hAnsi="FrankRuehl"/>
          <w:spacing w:val="0"/>
          <w:sz w:val="24"/>
          <w:szCs w:val="24"/>
          <w:rtl w:val="true"/>
        </w:rPr>
      </w:r>
      <w:bookmarkStart w:id="14" w:name="Links_Kitvei_End"/>
      <w:bookmarkStart w:id="15" w:name="LawTable_End"/>
      <w:bookmarkStart w:id="16" w:name="Links_Kitvei_End"/>
      <w:bookmarkStart w:id="17" w:name="LawTable_End"/>
      <w:bookmarkEnd w:id="16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r>
        <w:rPr>
          <w:rFonts w:cs="Miriam"/>
          <w:sz w:val="24"/>
          <w:szCs w:val="24"/>
          <w:rtl w:val="true"/>
        </w:rPr>
        <w:br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22" w:name="Start_Write"/>
      <w:bookmarkEnd w:id="22"/>
      <w:r>
        <w:rPr>
          <w:rtl w:val="true"/>
        </w:rPr>
        <w:t xml:space="preserve">ערעור על החלטת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56517-11-16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4.9.2017</w:t>
      </w:r>
      <w:r>
        <w:rPr>
          <w:rtl w:val="true"/>
        </w:rPr>
        <w:t xml:space="preserve">, </w:t>
      </w:r>
      <w:r>
        <w:rPr>
          <w:rtl w:val="true"/>
        </w:rPr>
        <w:t>בגדרה הוכרז המערער כבר</w:t>
      </w:r>
      <w:r>
        <w:rPr>
          <w:rtl w:val="true"/>
        </w:rPr>
        <w:t>-</w:t>
      </w:r>
      <w:r>
        <w:rPr>
          <w:rtl w:val="true"/>
        </w:rPr>
        <w:t xml:space="preserve">הסגרה לצרפת מכוח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כיום בעל אזרחות ישראלית וצרפתית</w:t>
      </w:r>
      <w:r>
        <w:rPr>
          <w:rtl w:val="true"/>
        </w:rPr>
        <w:t xml:space="preserve">, </w:t>
      </w:r>
      <w:r>
        <w:rPr>
          <w:rtl w:val="true"/>
        </w:rPr>
        <w:t>נמלט לישראל במהלך חופשה ממאסרו בצרפת אותו הוא מרצה לאחר שהורשע בשורה של עבירות כלכליות בגינן נדון 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ובעבירת ניסיון למרמה בה הורשע במהלך מאסרו בגינה נדון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עד למועד בריחתו לישראל</w:t>
      </w:r>
      <w:r>
        <w:rPr>
          <w:rtl w:val="true"/>
        </w:rPr>
        <w:t xml:space="preserve">, </w:t>
      </w:r>
      <w:r>
        <w:rPr>
          <w:rtl w:val="true"/>
        </w:rPr>
        <w:t xml:space="preserve">ריצה המערער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בצרפת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רשויות אכיפת החוק בצרפת הגישו לישראל בקשה להסגרת המערער לצורך ריצוי יתרת עונשי המאסר שנגזרו עליו</w:t>
      </w:r>
      <w:r>
        <w:rPr>
          <w:rtl w:val="true"/>
        </w:rPr>
        <w:t xml:space="preserve">, </w:t>
      </w:r>
      <w:r>
        <w:rPr>
          <w:rtl w:val="true"/>
        </w:rPr>
        <w:t>וכן על מנת להעמידו לדין בגין עבירת בריחה ממשמורת חוקית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משהתקבלה בקשת ההסגרה</w:t>
      </w:r>
      <w:r>
        <w:rPr>
          <w:rtl w:val="true"/>
        </w:rPr>
        <w:t xml:space="preserve">, </w:t>
      </w:r>
      <w:r>
        <w:rPr>
          <w:rtl w:val="true"/>
        </w:rPr>
        <w:t>הגיש המשיב לבית המשפט המחוזי בירושלים בקשה להכריז על המערער כבר</w:t>
      </w:r>
      <w:r>
        <w:rPr>
          <w:rtl w:val="true"/>
        </w:rPr>
        <w:t>-</w:t>
      </w:r>
      <w:r>
        <w:rPr>
          <w:rtl w:val="true"/>
        </w:rPr>
        <w:t>הסגרה לצרפת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הכריז על המערער כבר</w:t>
      </w:r>
      <w:r>
        <w:rPr>
          <w:rtl w:val="true"/>
        </w:rPr>
        <w:t>-</w:t>
      </w:r>
      <w:r>
        <w:rPr>
          <w:rtl w:val="true"/>
        </w:rPr>
        <w:t xml:space="preserve">הסגרה לאחר שקבע כי תנאי ההסגרה המנויים </w:t>
      </w:r>
      <w:hyperlink r:id="rId3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התקיימו</w:t>
      </w:r>
      <w:r>
        <w:rPr>
          <w:rtl w:val="true"/>
        </w:rPr>
        <w:t xml:space="preserve">, </w:t>
      </w:r>
      <w:r>
        <w:rPr>
          <w:rtl w:val="true"/>
        </w:rPr>
        <w:t>וכי לא חלים בעניינו של המערער סייגים להסגרתו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נקבע כי בהתאם </w:t>
      </w:r>
      <w:hyperlink r:id="rId3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בין מדינת ישראל לבין צרפת קיים הסכם להסגרת עבריינים מכוח האמנה האירופית בענייני הסגרה </w:t>
      </w:r>
      <w:r>
        <w:rPr>
          <w:rtl w:val="true"/>
        </w:rPr>
        <w:t>(</w:t>
      </w:r>
      <w:r>
        <w:rPr>
          <w:rtl w:val="true"/>
        </w:rPr>
        <w:t xml:space="preserve">כתבי אמנה </w:t>
      </w:r>
      <w:r>
        <w:rPr/>
        <w:t>647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, </w:t>
      </w:r>
      <w:r>
        <w:rPr/>
        <w:t>87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ההסגרה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האירופית</w:t>
      </w:r>
      <w:r>
        <w:rPr>
          <w:rtl w:val="true"/>
        </w:rPr>
        <w:t xml:space="preserve">); </w:t>
      </w:r>
      <w:r>
        <w:rPr>
          <w:rtl w:val="true"/>
        </w:rPr>
        <w:t>המערער הורשע בשני פסקי דין חלוטים בשורת עבירות כלכליות ובעבירת ניסיון למרמה</w:t>
      </w:r>
      <w:r>
        <w:rPr>
          <w:rtl w:val="true"/>
        </w:rPr>
        <w:t xml:space="preserve">, </w:t>
      </w:r>
      <w:r>
        <w:rPr>
          <w:rtl w:val="true"/>
        </w:rPr>
        <w:t>המהוות עבירות הסגרה</w:t>
      </w:r>
      <w:r>
        <w:rPr>
          <w:rtl w:val="true"/>
        </w:rPr>
        <w:t xml:space="preserve">; </w:t>
      </w:r>
      <w:r>
        <w:rPr>
          <w:rtl w:val="true"/>
        </w:rPr>
        <w:t>המערער מואשם בבריחה ממשמורת חוקית שאף היא מהווה עבירת הסגרה</w:t>
      </w:r>
      <w:r>
        <w:rPr>
          <w:rtl w:val="true"/>
        </w:rPr>
        <w:t xml:space="preserve">; </w:t>
      </w:r>
      <w:r>
        <w:rPr>
          <w:rtl w:val="true"/>
        </w:rPr>
        <w:t>ומתקיימים יחסי הסגרה הדדיים בין ישראל לצרפת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מאנטישמיות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החלטה זו הוגש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משפט קמא בקביעתו כי הוא 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טוען כי צרפת איננה מקיימת יחסי הסגרה הדדיים עם ישראל</w:t>
      </w:r>
      <w:r>
        <w:rPr>
          <w:rtl w:val="true"/>
        </w:rPr>
        <w:t xml:space="preserve">, </w:t>
      </w:r>
      <w:r>
        <w:rPr>
          <w:rtl w:val="true"/>
        </w:rPr>
        <w:t xml:space="preserve">כנדרש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ועל כן אין להסגירו לידיה לריצוי יתרת עונשו ויש להעמידו לדין בישראל בגין עבירת הבריחה ממשמורת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צרפת מעולם לא הסגירה אדם לידי ישראל</w:t>
      </w:r>
      <w:r>
        <w:rPr>
          <w:rtl w:val="true"/>
        </w:rPr>
        <w:t xml:space="preserve">, </w:t>
      </w:r>
      <w:r>
        <w:rPr>
          <w:rtl w:val="true"/>
        </w:rPr>
        <w:t>והיא איננה נוהגת להסגיר נאשמים בגין עבירות של בריחה ממאסר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חוזר המערער על טענותיו כי הסגרתו עלולה לפגוע בתקנת הציבור</w:t>
      </w:r>
      <w:r>
        <w:rPr>
          <w:rtl w:val="true"/>
        </w:rPr>
        <w:t xml:space="preserve">, </w:t>
      </w:r>
      <w:r>
        <w:rPr>
          <w:rtl w:val="true"/>
        </w:rPr>
        <w:t>מאחר ויאלץ לרצות את מאסרו בתנאי בידוד נוכח חשש לחייו</w:t>
      </w:r>
      <w:r>
        <w:rPr>
          <w:rtl w:val="true"/>
        </w:rPr>
        <w:t xml:space="preserve">; </w:t>
      </w:r>
      <w:r>
        <w:rPr>
          <w:rtl w:val="true"/>
        </w:rPr>
        <w:t>וכי החלטת שרת המשפטים לפתוח בהליכים להסגרתו התבססה על תשתית עובדתית שגויה באשר ליתרת מאסרו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 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סומך ידיו על החלטת בית משפט קמא ומדגיש כי הדין והצדק מחייבים את הסגרת המערער</w:t>
      </w:r>
      <w:r>
        <w:rPr>
          <w:rtl w:val="true"/>
        </w:rPr>
        <w:t xml:space="preserve">, </w:t>
      </w:r>
      <w:r>
        <w:rPr>
          <w:rtl w:val="true"/>
        </w:rPr>
        <w:t>שעה שמדובר ב</w:t>
      </w:r>
      <w:r>
        <w:rPr>
          <w:rtl w:val="true"/>
        </w:rPr>
        <w:t>"</w:t>
      </w:r>
      <w:r>
        <w:rPr>
          <w:rtl w:val="true"/>
        </w:rPr>
        <w:t>אסיר נמלט אשר ברח מעונשו בצרפת ונכנס לישראל בדרך לא דרך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התנאים להסגרה אשר קבועים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מתקיימים בעניינו של המערער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צרפת מקיימת יחסי הסגרה הדדיים עם ישראל מאחר והיא מעמידה לדין את אזרחיה כאשר מוגשת לגביהם בקשת הסגרה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ישראל וצרפת חברות באמנת ההסגרה האירופית</w:t>
      </w:r>
      <w:r>
        <w:rPr>
          <w:rtl w:val="true"/>
        </w:rPr>
        <w:t xml:space="preserve">;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 xml:space="preserve">העונש בגין עבירת הבריחה ממשמורת חוקית בצרפת הוא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ובישראל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בהתאם לנסיבות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העבירה הינה </w:t>
      </w:r>
      <w:r>
        <w:rPr>
          <w:rtl w:val="true"/>
        </w:rPr>
        <w:t>"</w:t>
      </w:r>
      <w:r>
        <w:rPr>
          <w:rtl w:val="true"/>
        </w:rPr>
        <w:t>עבירת הסגרה</w:t>
      </w:r>
      <w:r>
        <w:rPr>
          <w:rtl w:val="true"/>
        </w:rPr>
        <w:t xml:space="preserve">" </w:t>
      </w:r>
      <w:r>
        <w:rPr>
          <w:rtl w:val="true"/>
        </w:rPr>
        <w:t xml:space="preserve">כהגדרתה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קובע שני תנאים מצטברים לצורך הכרזה על אדם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נדרש קיומו של הסכם הסגרה בין ישראל לבין המדינה המבקשת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על המבוקש להיות </w:t>
      </w:r>
      <w:r>
        <w:rPr>
          <w:rtl w:val="true"/>
        </w:rPr>
        <w:t>"</w:t>
      </w:r>
      <w:r>
        <w:rPr>
          <w:rtl w:val="true"/>
        </w:rPr>
        <w:t>חייב בדין</w:t>
      </w:r>
      <w:r>
        <w:rPr>
          <w:rtl w:val="true"/>
        </w:rPr>
        <w:t xml:space="preserve">" </w:t>
      </w:r>
      <w:r>
        <w:rPr>
          <w:rtl w:val="true"/>
        </w:rPr>
        <w:t xml:space="preserve">או בגדר </w:t>
      </w:r>
      <w:r>
        <w:rPr>
          <w:rtl w:val="true"/>
        </w:rPr>
        <w:t>"</w:t>
      </w:r>
      <w:r>
        <w:rPr>
          <w:rtl w:val="true"/>
        </w:rPr>
        <w:t>נאשם</w:t>
      </w:r>
      <w:r>
        <w:rPr>
          <w:rtl w:val="true"/>
        </w:rPr>
        <w:t xml:space="preserve">" </w:t>
      </w:r>
      <w:r>
        <w:rPr>
          <w:rtl w:val="true"/>
        </w:rPr>
        <w:t>במדינה המבקשת</w:t>
      </w:r>
      <w:r>
        <w:rPr>
          <w:rtl w:val="true"/>
        </w:rPr>
        <w:t xml:space="preserve">, </w:t>
      </w:r>
      <w:r>
        <w:rPr>
          <w:rtl w:val="true"/>
        </w:rPr>
        <w:t xml:space="preserve">וזאת בגין </w:t>
      </w:r>
      <w:r>
        <w:rPr>
          <w:rtl w:val="true"/>
        </w:rPr>
        <w:t>"</w:t>
      </w:r>
      <w:r>
        <w:rPr>
          <w:rtl w:val="true"/>
        </w:rPr>
        <w:t>עבירת הסגרה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עבירה שהעונש בגינה</w:t>
      </w:r>
      <w:r>
        <w:rPr>
          <w:rtl w:val="true"/>
        </w:rPr>
        <w:t xml:space="preserve">, </w:t>
      </w:r>
      <w:r>
        <w:rPr>
          <w:rtl w:val="true"/>
        </w:rPr>
        <w:t>אילו בוצעה בישראל</w:t>
      </w:r>
      <w:r>
        <w:rPr>
          <w:rtl w:val="true"/>
        </w:rPr>
        <w:t xml:space="preserve">, </w:t>
      </w:r>
      <w:r>
        <w:rPr>
          <w:rtl w:val="true"/>
        </w:rPr>
        <w:t>עומד על שנת מאסר או חמור מכך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כי </w:t>
      </w:r>
      <w:r>
        <w:rPr>
          <w:rtl w:val="true"/>
        </w:rPr>
        <w:t>"</w:t>
      </w:r>
      <w:r>
        <w:rPr>
          <w:rtl w:val="true"/>
        </w:rPr>
        <w:t>מדינת ישראל תנהג הדדיות ביחסי ההסגרה</w:t>
      </w:r>
      <w:r>
        <w:rPr>
          <w:rtl w:val="true"/>
        </w:rPr>
        <w:t xml:space="preserve">, </w:t>
      </w:r>
      <w:r>
        <w:rPr>
          <w:rtl w:val="true"/>
        </w:rPr>
        <w:t>אלא אם כן החליט שר המשפטים אחרת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אף בהתקיים תנאי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hyperlink r:id="rId4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 מונים שורה של סייגים להסגרה אשר בהתקיימם לא יוסגר אדם למדינה המבקשת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מתקיימים התנאים המנויים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לצורך הכרזה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וכי עניינו של המערער אינו נופל בגדר הסייגים להסגרה המנויים בחוק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hyperlink r:id="rId4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כנטען על ידי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 חולק כי המערער הורשע בשני פסקי דין חלוטים בשורה של עבירות כלכליות ובעבירת ניסיון למרמה אשר אילו נעברו בארץ עונשן היה חמור משנה</w:t>
      </w:r>
      <w:r>
        <w:rPr>
          <w:rtl w:val="true"/>
        </w:rPr>
        <w:t xml:space="preserve">, </w:t>
      </w:r>
      <w:r>
        <w:rPr>
          <w:rtl w:val="true"/>
        </w:rPr>
        <w:t xml:space="preserve">ועל כן הן מהוות </w:t>
      </w:r>
      <w:r>
        <w:rPr>
          <w:rtl w:val="true"/>
        </w:rPr>
        <w:t>"</w:t>
      </w:r>
      <w:r>
        <w:rPr>
          <w:rtl w:val="true"/>
        </w:rPr>
        <w:t>עבירת הסגרה</w:t>
      </w:r>
      <w:r>
        <w:rPr>
          <w:rtl w:val="true"/>
        </w:rPr>
        <w:t xml:space="preserve">"; </w:t>
      </w:r>
      <w:r>
        <w:rPr>
          <w:rtl w:val="true"/>
        </w:rPr>
        <w:t>וכי המערער מואשם בעבירה של בריחה ממשמורת אשר העונש בגינה בישראל חמור אף הוא משנת מאסר</w:t>
      </w:r>
      <w:r>
        <w:rPr>
          <w:rtl w:val="true"/>
        </w:rPr>
        <w:t xml:space="preserve">, </w:t>
      </w:r>
      <w:r>
        <w:rPr>
          <w:rtl w:val="true"/>
        </w:rPr>
        <w:t>ועל כן אף היא מהווה עבירת 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ניתן לקבל את טענת המערער כי לא מתקיימים יחסי הסגרה הדדיים בין ישראל לצרפת</w:t>
      </w:r>
      <w:r>
        <w:rPr>
          <w:rtl w:val="true"/>
        </w:rPr>
        <w:t xml:space="preserve">, </w:t>
      </w:r>
      <w:r>
        <w:rPr>
          <w:rtl w:val="true"/>
        </w:rPr>
        <w:t>ולכן על ישראל להעמידו לדין בעצמה בעבירת הבריחה ממשמורת ולהימנע מהסגרתו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למפל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8.5.2018</w:t>
      </w:r>
      <w:r>
        <w:rPr>
          <w:rFonts w:cs="Century" w:ascii="Century" w:hAnsi="Century"/>
          <w:rtl w:val="true"/>
        </w:rPr>
        <w:t xml:space="preserve">)) </w:t>
      </w:r>
      <w:r>
        <w:rPr>
          <w:rtl w:val="true"/>
        </w:rPr>
        <w:t>נדרשתי לשאלת קיומם של יחסי הסגרה הדדיים בין ישראל לצרפת</w:t>
      </w:r>
      <w:r>
        <w:rPr>
          <w:rtl w:val="true"/>
        </w:rPr>
        <w:t xml:space="preserve">, </w:t>
      </w:r>
      <w:r>
        <w:rPr>
          <w:rtl w:val="true"/>
        </w:rPr>
        <w:t>וקבעתי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שפיטה</w:t>
      </w:r>
      <w:r>
        <w:rPr>
          <w:rtl w:val="true"/>
        </w:rPr>
        <w:t xml:space="preserve">'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ההדדיות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הוא הדין גם בענייננו</w:t>
      </w:r>
      <w:r>
        <w:rPr>
          <w:rtl w:val="true"/>
        </w:rPr>
        <w:t xml:space="preserve">. </w:t>
      </w:r>
      <w:r>
        <w:rPr>
          <w:rtl w:val="true"/>
        </w:rPr>
        <w:t>כפי שציין המערער</w:t>
      </w:r>
      <w:r>
        <w:rPr>
          <w:rtl w:val="true"/>
        </w:rPr>
        <w:t xml:space="preserve">, </w:t>
      </w:r>
      <w:r>
        <w:rPr>
          <w:rtl w:val="true"/>
        </w:rPr>
        <w:t>צרפת אמנם בחרה במספר מקרים להעמיד לדין מבוקשים בשטחה ולא להסגירם לישראל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בניגוד לטענת המערער הדבר דווקא ממחיש את קיומם של יחסי הסגרה הדדיים בין המדינות בהתאם לעקרון ה</w:t>
      </w:r>
      <w:r>
        <w:rPr>
          <w:rtl w:val="true"/>
        </w:rPr>
        <w:t>"</w:t>
      </w:r>
      <w:r>
        <w:rPr>
          <w:rtl w:val="true"/>
        </w:rPr>
        <w:t>הסגרה או שפיטה</w:t>
      </w:r>
      <w:r>
        <w:rPr>
          <w:rtl w:val="true"/>
        </w:rPr>
        <w:t xml:space="preserve">".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 בסיס לטענה כי ישראל וצרפת אינן מקיימות יחסי הסגרה הדדיים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 לקבל אף את טענת המערער לפיה מתקיים סייג להסגרתו מאחר ש</w:t>
      </w:r>
      <w:r>
        <w:rPr>
          <w:rtl w:val="true"/>
        </w:rPr>
        <w:t>"</w:t>
      </w:r>
      <w:r>
        <w:rPr>
          <w:rtl w:val="true"/>
        </w:rPr>
        <w:t>היענות לבקשת ההסגרה עלולה לפגוע בתקנת הציבור או באינטרס חיוני של מדינת ישראל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משפט זה עמד לא אחת על קביעתו כי לא יידרש לסייג תקנת הציבור כעניין שבשגרה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יגודייב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r>
        <w:rPr>
          <w:rtl w:val="true"/>
        </w:rPr>
        <w:t xml:space="preserve">וראו גם עירית </w:t>
      </w:r>
      <w:hyperlink r:id="rId47">
        <w:r>
          <w:rPr>
            <w:rStyle w:val="Hyperlink"/>
            <w:color w:val="0000FF"/>
            <w:u w:val="single"/>
            <w:rtl w:val="true"/>
          </w:rPr>
          <w:t>קאהן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הסגרה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משפט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בינלאומי</w:t>
      </w:r>
      <w:r>
        <w:rPr>
          <w:rtl w:val="true"/>
        </w:rPr>
        <w:t xml:space="preserve"> </w:t>
      </w:r>
      <w:r>
        <w:rPr/>
        <w:t>495</w:t>
      </w:r>
      <w:r>
        <w:rPr>
          <w:rtl w:val="true"/>
        </w:rPr>
        <w:t xml:space="preserve">, </w:t>
      </w:r>
      <w:r>
        <w:rPr/>
        <w:t>523</w:t>
      </w:r>
      <w:r>
        <w:rPr>
          <w:rtl w:val="true"/>
        </w:rPr>
        <w:t xml:space="preserve"> (</w:t>
      </w:r>
      <w:r>
        <w:rPr>
          <w:rtl w:val="true"/>
        </w:rPr>
        <w:t>רובי סיבל ויעל רונן עורכים</w:t>
      </w:r>
      <w:r>
        <w:rPr>
          <w:rtl w:val="true"/>
        </w:rPr>
        <w:t xml:space="preserve">, </w:t>
      </w:r>
      <w:r>
        <w:rPr/>
        <w:t>2016</w:t>
      </w:r>
      <w:r>
        <w:rPr>
          <w:rtl w:val="true"/>
        </w:rPr>
        <w:t xml:space="preserve">), </w:t>
      </w:r>
      <w:r>
        <w:rPr>
          <w:rtl w:val="true"/>
        </w:rPr>
        <w:t xml:space="preserve">שם נכתב כי </w:t>
      </w:r>
      <w:r>
        <w:rPr>
          <w:rtl w:val="true"/>
        </w:rPr>
        <w:t>"</w:t>
      </w:r>
      <w:r>
        <w:rPr>
          <w:rtl w:val="true"/>
        </w:rPr>
        <w:t>למרות</w:t>
      </w:r>
      <w:r>
        <w:rPr>
          <w:rtl w:val="true"/>
        </w:rPr>
        <w:t xml:space="preserve"> </w:t>
      </w:r>
      <w:r>
        <w:rPr>
          <w:rtl w:val="true"/>
        </w:rPr>
        <w:t>שהטענה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בתקנת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עלתה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שמנע</w:t>
      </w:r>
      <w:r>
        <w:rPr>
          <w:rtl w:val="true"/>
        </w:rPr>
        <w:t xml:space="preserve"> </w:t>
      </w:r>
      <w:r>
        <w:rPr>
          <w:rtl w:val="true"/>
        </w:rPr>
        <w:t>הכרזתו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")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 כי הפעלת הסייג תצטמצם למצבים קיצוניים בלבד</w:t>
      </w:r>
      <w:r>
        <w:rPr>
          <w:rtl w:val="true"/>
        </w:rPr>
        <w:t xml:space="preserve">, </w:t>
      </w:r>
      <w:r>
        <w:rPr>
          <w:rtl w:val="true"/>
        </w:rPr>
        <w:t>בהם הפגיעה בזכויותיו של המבוקש כתוצאה מהסגרתו הינה בעלת עוצמה מיוחדת</w:t>
      </w:r>
      <w:r>
        <w:rPr>
          <w:rtl w:val="true"/>
        </w:rPr>
        <w:t xml:space="preserve">, </w:t>
      </w:r>
      <w:r>
        <w:rPr>
          <w:rtl w:val="true"/>
        </w:rPr>
        <w:t xml:space="preserve">אשר יש בה בכדי להכריע את האינטרס הציבורי הגלום בהסגרתו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Miriam"/>
          <w:b/>
          <w:sz w:val="22"/>
          <w:szCs w:val="24"/>
        </w:rPr>
      </w:pPr>
      <w:r>
        <w:rPr>
          <w:rtl w:val="true"/>
        </w:rPr>
        <w:t xml:space="preserve">במקרים מסוימים עמד בית משפט זה על הצורך להתנות את ההסגרה בכך שיובטחו למבוקש תנאים בסיסיים לשמירה על זכויותיו על מנת שלא לפגוע בתקנת הציבור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2954/12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ווין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היועץ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המשפטי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 ט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ו לפסק הדין </w:t>
      </w:r>
      <w:r>
        <w:rPr>
          <w:sz w:val="28"/>
          <w:rtl w:val="true"/>
        </w:rPr>
        <w:t>(</w:t>
      </w:r>
      <w:r>
        <w:rPr>
          <w:sz w:val="28"/>
        </w:rPr>
        <w:t>20.12.2012</w:t>
      </w:r>
      <w:r>
        <w:rPr>
          <w:sz w:val="28"/>
          <w:rtl w:val="true"/>
        </w:rPr>
        <w:t xml:space="preserve">); </w:t>
      </w:r>
      <w:hyperlink r:id="rId4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250/08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פלוני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היועץ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המשפטי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 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ה לפסד הדין </w:t>
      </w:r>
      <w:r>
        <w:rPr>
          <w:sz w:val="28"/>
          <w:rtl w:val="true"/>
        </w:rPr>
        <w:t>(</w:t>
      </w:r>
      <w:r>
        <w:rPr>
          <w:sz w:val="28"/>
        </w:rPr>
        <w:t>12.3.2009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בעניין </w:t>
      </w:r>
      <w:r>
        <w:rPr>
          <w:rFonts w:cs="Miriam"/>
          <w:szCs w:val="24"/>
          <w:rtl w:val="true"/>
        </w:rPr>
        <w:t>צבטקוביץ</w:t>
      </w:r>
      <w:r>
        <w:rPr>
          <w:rFonts w:cs="Miriam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5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6322/11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צבטקוביץ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היועץ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המשפטי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לממשלה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35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29.11.2012</w:t>
      </w:r>
      <w:r>
        <w:rPr>
          <w:sz w:val="28"/>
          <w:rtl w:val="true"/>
        </w:rPr>
        <w:t>))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התעורר חשש לחייו של המבוקש במסגרת מאסרו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הסגרתו הותנתה בהתחייבות כי יוחזק באגף נפרד מכלל האסירים ותחת פיקוח ושמירה צמודה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שאיזן בין הפגיעה האפשרית בזכויותיו של המבוקש לבין האינטרס הגלום בהסגרתו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  <w:szCs w:val="24"/>
        </w:rPr>
      </w:pPr>
      <w:r>
        <w:rPr>
          <w:rFonts w:cs="Miriam" w:ascii="Century" w:hAnsi="Century"/>
          <w:b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כפי שיובהר להלן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המקרה הנוכחי אינו נמנה עם מקרים אלו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אם החזקת המערער בתנאי מאסר רגילים בצרפת עלולה לעורר חשש לחייו</w:t>
      </w:r>
      <w:r>
        <w:rPr>
          <w:rtl w:val="true"/>
        </w:rPr>
        <w:t xml:space="preserve">, </w:t>
      </w:r>
      <w:r>
        <w:rPr>
          <w:rtl w:val="true"/>
        </w:rPr>
        <w:t>הרי שהרשויות בצרפת פעלו לצמצום חשש זה תוך החזקתו בבידוד בהסכמתו</w:t>
      </w:r>
      <w:r>
        <w:rPr>
          <w:rtl w:val="true"/>
        </w:rPr>
        <w:t xml:space="preserve">, </w:t>
      </w:r>
      <w:r>
        <w:rPr>
          <w:rtl w:val="true"/>
        </w:rPr>
        <w:t>ואין מקום להניח שיימנעו מכך בעתיד אם יתעורר חשש ממשי לחייו</w:t>
      </w:r>
      <w:r>
        <w:rPr>
          <w:rtl w:val="true"/>
        </w:rPr>
        <w:t xml:space="preserve">. </w:t>
      </w:r>
      <w:r>
        <w:rPr>
          <w:rtl w:val="true"/>
        </w:rPr>
        <w:t>המערער גורס כי עצם החזקתו בתנאי בידוד לשם הגנה על חייו עלולה לפגוע בתקנת הציבור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 xml:space="preserve">מבקש המערער לקבוע למעשה תנאי מחמיר מזה שנקבע בעניין </w:t>
      </w:r>
      <w:r>
        <w:rPr>
          <w:rFonts w:cs="Miriam"/>
          <w:szCs w:val="24"/>
          <w:rtl w:val="true"/>
        </w:rPr>
        <w:t>צבטקוביץ</w:t>
      </w:r>
      <w:r>
        <w:rPr>
          <w:rFonts w:cs="Miriam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שם בית המשפט הסתפק בכך שהסגרת המבוקש תותנה בהחזקתו באגף נפרד מכלל האסירים בשל החשש האפשרי לחייו בכדי שתהלום את תקנת 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למפל</w:t>
      </w:r>
      <w:r>
        <w:rPr>
          <w:rtl w:val="true"/>
        </w:rPr>
        <w:t xml:space="preserve"> הודגש כי הסגרת מבוקשים נחוצה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לשם </w:t>
      </w:r>
      <w:r>
        <w:rPr>
          <w:rtl w:val="true"/>
        </w:rPr>
        <w:t>"</w:t>
      </w:r>
      <w:r>
        <w:rPr>
          <w:rtl w:val="true"/>
        </w:rPr>
        <w:t>מניעת הימלטות עבריינים מן הדין והפיכת ישראל לעיר מקלט לעבריינים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>דברים אלו יפים ביתר שאת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שעה שניצל חופשה בת יומיים בכדי להימלט ממאסר </w:t>
      </w:r>
      <w:r>
        <w:rPr>
          <w:rtl w:val="true"/>
        </w:rPr>
        <w:t>–</w:t>
      </w:r>
      <w:r>
        <w:rPr>
          <w:rtl w:val="true"/>
        </w:rPr>
        <w:t xml:space="preserve"> לישראל</w:t>
      </w:r>
      <w:r>
        <w:rPr>
          <w:rtl w:val="true"/>
        </w:rPr>
        <w:t xml:space="preserve">, </w:t>
      </w:r>
      <w:r>
        <w:rPr>
          <w:rtl w:val="true"/>
        </w:rPr>
        <w:t>בטרם סיים לרצות את עונשו</w:t>
      </w:r>
      <w:r>
        <w:rPr>
          <w:rtl w:val="true"/>
        </w:rPr>
        <w:t xml:space="preserve">, </w:t>
      </w:r>
      <w:r>
        <w:rPr>
          <w:rtl w:val="true"/>
        </w:rPr>
        <w:t>מבלי שכניסתו לישראל תתועד על ידי הרשויות</w:t>
      </w:r>
      <w:r>
        <w:rPr>
          <w:rtl w:val="true"/>
        </w:rPr>
        <w:t xml:space="preserve">. </w:t>
      </w:r>
      <w:r>
        <w:rPr>
          <w:rtl w:val="true"/>
        </w:rPr>
        <w:t>רשויות אכיפת החוק השקיעו מאמצים רבים לאתר את המערער</w:t>
      </w:r>
      <w:r>
        <w:rPr>
          <w:rtl w:val="true"/>
        </w:rPr>
        <w:t xml:space="preserve">, </w:t>
      </w:r>
      <w:r>
        <w:rPr>
          <w:rtl w:val="true"/>
        </w:rPr>
        <w:t>עד שנתפס לאחר זמן מה באקראי בעקבות עבירות תעבורה שביצע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כמקלט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שיקולי תקנת הציבור אינם מונעים את הסגרת המערער לצרפת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יוער כי ביום </w:t>
      </w:r>
      <w:r>
        <w:rPr/>
        <w:t>1.11.2018</w:t>
      </w:r>
      <w:r>
        <w:rPr>
          <w:rtl w:val="true"/>
        </w:rPr>
        <w:t xml:space="preserve"> </w:t>
      </w:r>
      <w:r>
        <w:rPr>
          <w:rtl w:val="true"/>
        </w:rPr>
        <w:t xml:space="preserve">הוגשה מטעם בא כוח המערער חוות דעת </w:t>
      </w:r>
      <w:r>
        <w:rPr>
          <w:rtl w:val="true"/>
        </w:rPr>
        <w:t>"</w:t>
      </w:r>
      <w:r>
        <w:rPr>
          <w:rtl w:val="true"/>
        </w:rPr>
        <w:t>בנוגע למשמעות של החזקת אדם בבידוד</w:t>
      </w:r>
      <w:r>
        <w:rPr>
          <w:rtl w:val="true"/>
        </w:rPr>
        <w:t xml:space="preserve">" </w:t>
      </w:r>
      <w:r>
        <w:rPr>
          <w:rtl w:val="true"/>
        </w:rPr>
        <w:t xml:space="preserve">ולפיה </w:t>
      </w:r>
      <w:r>
        <w:rPr>
          <w:rtl w:val="true"/>
        </w:rPr>
        <w:t>"</w:t>
      </w:r>
      <w:r>
        <w:rPr>
          <w:rtl w:val="true"/>
        </w:rPr>
        <w:t>החזקה של אדם בבידוד למשך זמן או למשך מס</w:t>
      </w:r>
      <w:r>
        <w:rPr>
          <w:rtl w:val="true"/>
        </w:rPr>
        <w:t xml:space="preserve">' </w:t>
      </w:r>
      <w:r>
        <w:rPr>
          <w:rtl w:val="true"/>
        </w:rPr>
        <w:t>חודשים מהווה עינוי נפשי ממשי ויש בה בכדי</w:t>
      </w:r>
      <w:r>
        <w:rPr>
          <w:rtl w:val="true"/>
        </w:rPr>
        <w:t xml:space="preserve"> </w:t>
      </w:r>
      <w:r>
        <w:rPr>
          <w:rtl w:val="true"/>
        </w:rPr>
        <w:t>ליצור פגיעה פיזית ונפשית קשה בכלוא</w:t>
      </w:r>
      <w:r>
        <w:rPr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 xml:space="preserve">בקשה לקבלת חוות דעת זהה שהמערער ביקש להגישה בעבר כבר נדחתה בהחלטת בית משפט קמא מיום </w:t>
      </w:r>
      <w:r>
        <w:rPr/>
        <w:t>22.2.2017</w:t>
      </w:r>
      <w:r>
        <w:rPr>
          <w:rtl w:val="true"/>
        </w:rPr>
        <w:t xml:space="preserve"> </w:t>
      </w:r>
      <w:r>
        <w:rPr>
          <w:rtl w:val="true"/>
        </w:rPr>
        <w:t xml:space="preserve">מאחר שהיא אינה מבוססת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", </w:t>
      </w:r>
      <w:r>
        <w:rPr>
          <w:rtl w:val="true"/>
        </w:rPr>
        <w:t>ואף לדעתי היא אינה מוסיפה דבר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דיפלומטיים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ליתרת עונשו של המערער</w:t>
      </w:r>
      <w:r>
        <w:rPr>
          <w:rtl w:val="true"/>
        </w:rPr>
        <w:t xml:space="preserve">, </w:t>
      </w:r>
      <w:r>
        <w:rPr>
          <w:rtl w:val="true"/>
        </w:rPr>
        <w:t>הרי שמקובלת עלי עמדת בית משפט קמא לפיה מוטב כי סוגיה זו תתברר בפני הרשויות בצרפת</w:t>
      </w:r>
      <w:r>
        <w:rPr>
          <w:rtl w:val="true"/>
        </w:rPr>
        <w:t xml:space="preserve">, </w:t>
      </w:r>
      <w:r>
        <w:rPr>
          <w:rtl w:val="true"/>
        </w:rPr>
        <w:t>ואין בכך כדי לשנות את ההחלטה להכריז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ולהותיר את ההכרזה על המערער כבר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המשנה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לנשיאה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שטיין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17078350</w:t>
      </w:r>
      <w:r>
        <w:rPr>
          <w:sz w:val="16"/>
          <w:rtl w:val="true"/>
        </w:rPr>
        <w:t>_</w:t>
      </w:r>
      <w:r>
        <w:rPr>
          <w:sz w:val="16"/>
        </w:rPr>
        <w:t>J08.doc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54678313-7835/17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7835/17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דוד בלומברג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סטפן אלזרה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BODYPROTOCOL">
    <w:name w:val="BODY PROTOCOL"/>
    <w:basedOn w:val="Normal"/>
    <w:qFormat/>
    <w:pPr>
      <w:tabs>
        <w:tab w:val="clear" w:pos="720"/>
        <w:tab w:val="left" w:pos="2552" w:leader="none"/>
      </w:tabs>
      <w:overflowPunct w:val="true"/>
      <w:spacing w:lineRule="auto" w:line="360"/>
      <w:ind w:hanging="0" w:start="0" w:end="0"/>
      <w:jc w:val="both"/>
      <w:textAlignment w:val="auto"/>
    </w:pPr>
    <w:rPr>
      <w:rFonts w:cs="FrankRuehl"/>
      <w:spacing w:val="10"/>
      <w:sz w:val="22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70773" TargetMode="External"/><Relationship Id="rId3" Type="http://schemas.openxmlformats.org/officeDocument/2006/relationships/hyperlink" Target="http://www.nevo.co.il/safrut/book/28709" TargetMode="External"/><Relationship Id="rId4" Type="http://schemas.openxmlformats.org/officeDocument/2006/relationships/hyperlink" Target="http://www.nevo.co.il/safrut/book/28709" TargetMode="External"/><Relationship Id="rId5" Type="http://schemas.openxmlformats.org/officeDocument/2006/relationships/hyperlink" Target="http://www.nevo.co.il/law/71723" TargetMode="External"/><Relationship Id="rId6" Type="http://schemas.openxmlformats.org/officeDocument/2006/relationships/hyperlink" Target="http://www.nevo.co.il/law/71723/1a" TargetMode="External"/><Relationship Id="rId7" Type="http://schemas.openxmlformats.org/officeDocument/2006/relationships/hyperlink" Target="http://www.nevo.co.il/law/71723/2" TargetMode="External"/><Relationship Id="rId8" Type="http://schemas.openxmlformats.org/officeDocument/2006/relationships/hyperlink" Target="http://www.nevo.co.il/law/71723/2a" TargetMode="External"/><Relationship Id="rId9" Type="http://schemas.openxmlformats.org/officeDocument/2006/relationships/hyperlink" Target="http://www.nevo.co.il/law/71723/2a.a" TargetMode="External"/><Relationship Id="rId10" Type="http://schemas.openxmlformats.org/officeDocument/2006/relationships/hyperlink" Target="http://www.nevo.co.il/law/71723/2a.b" TargetMode="External"/><Relationship Id="rId11" Type="http://schemas.openxmlformats.org/officeDocument/2006/relationships/hyperlink" Target="http://www.nevo.co.il/law/71723/2b" TargetMode="External"/><Relationship Id="rId12" Type="http://schemas.openxmlformats.org/officeDocument/2006/relationships/hyperlink" Target="http://www.nevo.co.il/law/71723/2b.a.8" TargetMode="External"/><Relationship Id="rId13" Type="http://schemas.openxmlformats.org/officeDocument/2006/relationships/hyperlink" Target="http://www.nevo.co.il/law/71723/3" TargetMode="External"/><Relationship Id="rId14" Type="http://schemas.openxmlformats.org/officeDocument/2006/relationships/hyperlink" Target="http://www.nevo.co.il/law/71723/2a" TargetMode="External"/><Relationship Id="rId15" Type="http://schemas.openxmlformats.org/officeDocument/2006/relationships/hyperlink" Target="http://www.nevo.co.il/law/71723" TargetMode="External"/><Relationship Id="rId16" Type="http://schemas.openxmlformats.org/officeDocument/2006/relationships/hyperlink" Target="http://www.nevo.co.il/law/71723/2b" TargetMode="External"/><Relationship Id="rId17" Type="http://schemas.openxmlformats.org/officeDocument/2006/relationships/hyperlink" Target="http://www.nevo.co.il/law/71723" TargetMode="External"/><Relationship Id="rId18" Type="http://schemas.openxmlformats.org/officeDocument/2006/relationships/hyperlink" Target="http://www.nevo.co.il/law/71723/2a.a" TargetMode="External"/><Relationship Id="rId19" Type="http://schemas.openxmlformats.org/officeDocument/2006/relationships/hyperlink" Target="http://www.nevo.co.il/law/71723/2a.b" TargetMode="External"/><Relationship Id="rId20" Type="http://schemas.openxmlformats.org/officeDocument/2006/relationships/hyperlink" Target="http://www.nevo.co.il/law/71723/2a" TargetMode="External"/><Relationship Id="rId21" Type="http://schemas.openxmlformats.org/officeDocument/2006/relationships/hyperlink" Target="http://www.nevo.co.il/law/71723/1a" TargetMode="External"/><Relationship Id="rId22" Type="http://schemas.openxmlformats.org/officeDocument/2006/relationships/hyperlink" Target="http://www.nevo.co.il/law/71723/2b" TargetMode="External"/><Relationship Id="rId23" Type="http://schemas.openxmlformats.org/officeDocument/2006/relationships/hyperlink" Target="http://www.nevo.co.il/law/71723/2a" TargetMode="External"/><Relationship Id="rId24" Type="http://schemas.openxmlformats.org/officeDocument/2006/relationships/hyperlink" Target="http://www.nevo.co.il/law/71723/2b" TargetMode="External"/><Relationship Id="rId25" Type="http://schemas.openxmlformats.org/officeDocument/2006/relationships/hyperlink" Target="http://www.nevo.co.il/case/23353988" TargetMode="External"/><Relationship Id="rId26" Type="http://schemas.openxmlformats.org/officeDocument/2006/relationships/hyperlink" Target="http://www.nevo.co.il/case/5594198" TargetMode="External"/><Relationship Id="rId27" Type="http://schemas.openxmlformats.org/officeDocument/2006/relationships/hyperlink" Target="http://www.nevo.co.il/case/21670773" TargetMode="External"/><Relationship Id="rId28" Type="http://schemas.openxmlformats.org/officeDocument/2006/relationships/hyperlink" Target="http://www.nevo.co.il/law/71723" TargetMode="External"/><Relationship Id="rId29" Type="http://schemas.openxmlformats.org/officeDocument/2006/relationships/hyperlink" Target="http://www.nevo.co.il/law/71723/3" TargetMode="External"/><Relationship Id="rId30" Type="http://schemas.openxmlformats.org/officeDocument/2006/relationships/hyperlink" Target="http://www.nevo.co.il/law/71723/2a" TargetMode="External"/><Relationship Id="rId31" Type="http://schemas.openxmlformats.org/officeDocument/2006/relationships/hyperlink" Target="http://www.nevo.co.il/law/71723/2a" TargetMode="External"/><Relationship Id="rId32" Type="http://schemas.openxmlformats.org/officeDocument/2006/relationships/hyperlink" Target="http://www.nevo.co.il/law/71723/2b.a.8" TargetMode="External"/><Relationship Id="rId33" Type="http://schemas.openxmlformats.org/officeDocument/2006/relationships/hyperlink" Target="http://www.nevo.co.il/law/71723/1a" TargetMode="External"/><Relationship Id="rId34" Type="http://schemas.openxmlformats.org/officeDocument/2006/relationships/hyperlink" Target="http://www.nevo.co.il/law/71723/2a" TargetMode="External"/><Relationship Id="rId35" Type="http://schemas.openxmlformats.org/officeDocument/2006/relationships/hyperlink" Target="http://www.nevo.co.il/law/71723/2a" TargetMode="External"/><Relationship Id="rId36" Type="http://schemas.openxmlformats.org/officeDocument/2006/relationships/hyperlink" Target="http://www.nevo.co.il/law/71723/2" TargetMode="External"/><Relationship Id="rId37" Type="http://schemas.openxmlformats.org/officeDocument/2006/relationships/hyperlink" Target="http://www.nevo.co.il/law/71723/2a.a" TargetMode="External"/><Relationship Id="rId38" Type="http://schemas.openxmlformats.org/officeDocument/2006/relationships/hyperlink" Target="http://www.nevo.co.il/law/71723/2a.b" TargetMode="External"/><Relationship Id="rId39" Type="http://schemas.openxmlformats.org/officeDocument/2006/relationships/hyperlink" Target="http://www.nevo.co.il/law/71723/2a" TargetMode="External"/><Relationship Id="rId40" Type="http://schemas.openxmlformats.org/officeDocument/2006/relationships/hyperlink" Target="http://www.nevo.co.il/law/71723/1a" TargetMode="External"/><Relationship Id="rId41" Type="http://schemas.openxmlformats.org/officeDocument/2006/relationships/hyperlink" Target="http://www.nevo.co.il/law/71723/2b" TargetMode="External"/><Relationship Id="rId42" Type="http://schemas.openxmlformats.org/officeDocument/2006/relationships/hyperlink" Target="http://www.nevo.co.il/law/71723/2a" TargetMode="External"/><Relationship Id="rId43" Type="http://schemas.openxmlformats.org/officeDocument/2006/relationships/hyperlink" Target="http://www.nevo.co.il/law/71723/2b" TargetMode="External"/><Relationship Id="rId44" Type="http://schemas.openxmlformats.org/officeDocument/2006/relationships/hyperlink" Target="http://www.nevo.co.il/case/23353988" TargetMode="External"/><Relationship Id="rId45" Type="http://schemas.openxmlformats.org/officeDocument/2006/relationships/hyperlink" Target="http://www.nevo.co.il/law/71723/2b.a.8" TargetMode="External"/><Relationship Id="rId46" Type="http://schemas.openxmlformats.org/officeDocument/2006/relationships/hyperlink" Target="http://www.nevo.co.il/case/5982052" TargetMode="External"/><Relationship Id="rId47" Type="http://schemas.openxmlformats.org/officeDocument/2006/relationships/hyperlink" Target="http://www.nevo.co.il/safrut/book/28709" TargetMode="External"/><Relationship Id="rId48" Type="http://schemas.openxmlformats.org/officeDocument/2006/relationships/hyperlink" Target="http://www.nevo.co.il/case/5581565" TargetMode="External"/><Relationship Id="rId49" Type="http://schemas.openxmlformats.org/officeDocument/2006/relationships/hyperlink" Target="http://www.nevo.co.il/case/6244299" TargetMode="External"/><Relationship Id="rId50" Type="http://schemas.openxmlformats.org/officeDocument/2006/relationships/hyperlink" Target="http://www.nevo.co.il/case/5594198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2018-11-07T13:07:00Z</dcterms:created>
  <dc:creator> </dc:creator>
  <dc:description/>
  <cp:keywords/>
  <dc:language>en-IL</dc:language>
  <cp:lastModifiedBy>orly</cp:lastModifiedBy>
  <cp:lastPrinted>2018-11-05T12:58:00Z</cp:lastPrinted>
  <dcterms:modified xsi:type="dcterms:W3CDTF">2018-11-08T09:15:00Z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בלומברג (סטפן אלזרה)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28709</vt:lpwstr>
  </property>
  <property fmtid="{D5CDD505-2E9C-101B-9397-08002B2CF9AE}" pid="9" name="CASESLISTTMP1">
    <vt:lpwstr>21670773:2;23353988;5982052;5581565;6244299;5594198</vt:lpwstr>
  </property>
  <property fmtid="{D5CDD505-2E9C-101B-9397-08002B2CF9AE}" pid="10" name="CITY">
    <vt:lpwstr/>
  </property>
  <property fmtid="{D5CDD505-2E9C-101B-9397-08002B2CF9AE}" pid="11" name="DATE">
    <vt:lpwstr>20181107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אלרון;א' שטיין;ח' מלצר</vt:lpwstr>
  </property>
  <property fmtid="{D5CDD505-2E9C-101B-9397-08002B2CF9AE}" pid="15" name="LAWLISTTMP1">
    <vt:lpwstr>71723/003;002a:6;002b.a.8:2;001a:2;002;002a.a;002a.b;002b:2</vt:lpwstr>
  </property>
  <property fmtid="{D5CDD505-2E9C-101B-9397-08002B2CF9AE}" pid="16" name="LAWYER">
    <vt:lpwstr>תום כהן;עזריאל פרידנברג;דבורה אביטבול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הסגרה</vt:lpwstr>
  </property>
  <property fmtid="{D5CDD505-2E9C-101B-9397-08002B2CF9AE}" pid="31" name="NOSE14">
    <vt:lpwstr>הסגרה</vt:lpwstr>
  </property>
  <property fmtid="{D5CDD505-2E9C-101B-9397-08002B2CF9AE}" pid="32" name="NOSE15">
    <vt:lpwstr>הסגרה</vt:lpwstr>
  </property>
  <property fmtid="{D5CDD505-2E9C-101B-9397-08002B2CF9AE}" pid="33" name="NOSE16">
    <vt:lpwstr>משפט בינלאומי פומבי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18;18;28;28;28;56</vt:lpwstr>
  </property>
  <property fmtid="{D5CDD505-2E9C-101B-9397-08002B2CF9AE}" pid="38" name="NOSE21">
    <vt:lpwstr>הסגרה</vt:lpwstr>
  </property>
  <property fmtid="{D5CDD505-2E9C-101B-9397-08002B2CF9AE}" pid="39" name="NOSE210">
    <vt:lpwstr/>
  </property>
  <property fmtid="{D5CDD505-2E9C-101B-9397-08002B2CF9AE}" pid="40" name="NOSE22">
    <vt:lpwstr>הסגרה</vt:lpwstr>
  </property>
  <property fmtid="{D5CDD505-2E9C-101B-9397-08002B2CF9AE}" pid="41" name="NOSE23">
    <vt:lpwstr>תנאי הסגרה</vt:lpwstr>
  </property>
  <property fmtid="{D5CDD505-2E9C-101B-9397-08002B2CF9AE}" pid="42" name="NOSE24">
    <vt:lpwstr>סייגים להסגרה</vt:lpwstr>
  </property>
  <property fmtid="{D5CDD505-2E9C-101B-9397-08002B2CF9AE}" pid="43" name="NOSE25">
    <vt:lpwstr>הכרזה כבר-הסגרה</vt:lpwstr>
  </property>
  <property fmtid="{D5CDD505-2E9C-101B-9397-08002B2CF9AE}" pid="44" name="NOSE26">
    <vt:lpwstr>הסגרה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460;460;614;610;605;1076</vt:lpwstr>
  </property>
  <property fmtid="{D5CDD505-2E9C-101B-9397-08002B2CF9AE}" pid="49" name="NOSE31">
    <vt:lpwstr>תנאים</vt:lpwstr>
  </property>
  <property fmtid="{D5CDD505-2E9C-101B-9397-08002B2CF9AE}" pid="50" name="NOSE310">
    <vt:lpwstr/>
  </property>
  <property fmtid="{D5CDD505-2E9C-101B-9397-08002B2CF9AE}" pid="51" name="NOSE32">
    <vt:lpwstr>סייגים</vt:lpwstr>
  </property>
  <property fmtid="{D5CDD505-2E9C-101B-9397-08002B2CF9AE}" pid="52" name="NOSE33">
    <vt:lpwstr>סייגים להסגרה</vt:lpwstr>
  </property>
  <property fmtid="{D5CDD505-2E9C-101B-9397-08002B2CF9AE}" pid="53" name="NOSE34">
    <vt:lpwstr>תקנת הציבור</vt:lpwstr>
  </property>
  <property fmtid="{D5CDD505-2E9C-101B-9397-08002B2CF9AE}" pid="54" name="NOSE35">
    <vt:lpwstr>עקרון ההדדיות</vt:lpwstr>
  </property>
  <property fmtid="{D5CDD505-2E9C-101B-9397-08002B2CF9AE}" pid="55" name="NOSE36">
    <vt:lpwstr>הדדיות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12369;12370;4231;4221;4205;6666</vt:lpwstr>
  </property>
  <property fmtid="{D5CDD505-2E9C-101B-9397-08002B2CF9AE}" pid="60" name="PADIDATE">
    <vt:lpwstr>20181108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7835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410120181107</vt:lpwstr>
  </property>
  <property fmtid="{D5CDD505-2E9C-101B-9397-08002B2CF9AE}" pid="70" name="TYPE_N_DATE">
    <vt:lpwstr>41020181107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