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7847/19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היועץ</w:t>
            </w:r>
            <w:r>
              <w:rPr>
                <w:rFonts w:cs="Times New Roman"/>
                <w:rtl w:val="true"/>
              </w:rPr>
              <w:t xml:space="preserve"> </w:t>
            </w:r>
            <w:r>
              <w:rPr>
                <w:rtl w:val="true"/>
              </w:rPr>
              <w:t>המשפטי</w:t>
            </w:r>
            <w:r>
              <w:rPr>
                <w:rFonts w:cs="Times New Roman"/>
                <w:rtl w:val="true"/>
              </w:rPr>
              <w:t xml:space="preserve"> </w:t>
            </w:r>
            <w:r>
              <w:rPr>
                <w:rtl w:val="true"/>
              </w:rPr>
              <w:t>לממשלה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cs="David;Times New Roman" w:ascii="David;Times New Roman" w:hAnsi="David;Times New Roman"/>
                <w:rtl w:val="true"/>
              </w:rPr>
              <w:t>:</w:t>
            </w:r>
          </w:p>
        </w:tc>
        <w:tc>
          <w:tcPr>
            <w:tcW w:w="5154" w:type="dxa"/>
            <w:tcBorders/>
          </w:tcPr>
          <w:p>
            <w:pPr>
              <w:pStyle w:val="BodyRuller1"/>
              <w:ind w:end="0"/>
              <w:jc w:val="start"/>
              <w:rPr/>
            </w:pPr>
            <w:r>
              <w:rPr>
                <w:rtl w:val="true"/>
              </w:rPr>
              <w:t>ולרי</w:t>
            </w:r>
            <w:r>
              <w:rPr>
                <w:rFonts w:cs="Times New Roman"/>
                <w:rtl w:val="true"/>
              </w:rPr>
              <w:t xml:space="preserve"> </w:t>
            </w:r>
            <w:r>
              <w:rPr>
                <w:rtl w:val="true"/>
              </w:rPr>
              <w:t>מיכאלוב</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לומפ</w:t>
            </w:r>
            <w:r>
              <w:rPr>
                <w:sz w:val="24"/>
                <w:szCs w:val="24"/>
                <w:rtl w:val="true"/>
              </w:rPr>
              <w:t>)</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31.10.2019</w:t>
            </w:r>
            <w:r>
              <w:rPr>
                <w:sz w:val="24"/>
                <w:szCs w:val="24"/>
                <w:rtl w:val="true"/>
              </w:rPr>
              <w:t xml:space="preserve"> </w:t>
            </w:r>
            <w:r>
              <w:rPr>
                <w:sz w:val="24"/>
                <w:sz w:val="24"/>
                <w:szCs w:val="24"/>
                <w:rtl w:val="true"/>
              </w:rPr>
              <w:t>ב</w:t>
            </w:r>
            <w:hyperlink r:id="rId2">
              <w:r>
                <w:rPr>
                  <w:rStyle w:val="Hyperlink"/>
                  <w:sz w:val="24"/>
                  <w:sz w:val="24"/>
                  <w:szCs w:val="24"/>
                  <w:rtl w:val="true"/>
                </w:rPr>
                <w:t>תה</w:t>
              </w:r>
              <w:r>
                <w:rPr>
                  <w:rStyle w:val="Hyperlink"/>
                  <w:sz w:val="24"/>
                  <w:szCs w:val="24"/>
                  <w:rtl w:val="true"/>
                </w:rPr>
                <w:t>"</w:t>
              </w:r>
              <w:r>
                <w:rPr>
                  <w:rStyle w:val="Hyperlink"/>
                  <w:sz w:val="24"/>
                  <w:sz w:val="24"/>
                  <w:szCs w:val="24"/>
                  <w:rtl w:val="true"/>
                </w:rPr>
                <w:t>ג</w:t>
              </w:r>
              <w:r>
                <w:rPr>
                  <w:rStyle w:val="Hyperlink"/>
                  <w:rFonts w:cs="Times New Roman"/>
                  <w:sz w:val="24"/>
                  <w:sz w:val="24"/>
                  <w:szCs w:val="24"/>
                  <w:rtl w:val="true"/>
                </w:rPr>
                <w:t xml:space="preserve"> </w:t>
              </w:r>
              <w:r>
                <w:rPr>
                  <w:rStyle w:val="Hyperlink"/>
                  <w:sz w:val="24"/>
                  <w:szCs w:val="24"/>
                </w:rPr>
                <w:t>32334-04-19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p>
        </w:tc>
        <w:tc>
          <w:tcPr>
            <w:tcW w:w="2710" w:type="dxa"/>
            <w:tcBorders/>
          </w:tcPr>
          <w:p>
            <w:pPr>
              <w:pStyle w:val="BodyRuller1"/>
              <w:ind w:end="0"/>
              <w:jc w:val="start"/>
              <w:rPr>
                <w:sz w:val="24"/>
                <w:szCs w:val="24"/>
              </w:rPr>
            </w:pPr>
            <w:r>
              <w:rPr>
                <w:sz w:val="24"/>
                <w:szCs w:val="24"/>
                <w:rtl w:val="true"/>
              </w:rPr>
              <w:t>(</w:t>
            </w:r>
            <w:r>
              <w:rPr>
                <w:sz w:val="24"/>
                <w:szCs w:val="24"/>
              </w:rPr>
              <w:t>17.2.2020</w:t>
            </w:r>
            <w:r>
              <w:rPr>
                <w:sz w:val="24"/>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ינאי</w:t>
            </w:r>
            <w:r>
              <w:rPr>
                <w:rFonts w:cs="Times New Roman"/>
                <w:rtl w:val="true"/>
              </w:rPr>
              <w:t xml:space="preserve"> </w:t>
            </w:r>
            <w:r>
              <w:rPr>
                <w:rtl w:val="true"/>
              </w:rPr>
              <w:t>גורני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יובל</w:t>
            </w:r>
            <w:r>
              <w:rPr>
                <w:rFonts w:cs="Times New Roman"/>
                <w:rtl w:val="true"/>
              </w:rPr>
              <w:t xml:space="preserve"> </w:t>
            </w:r>
            <w:r>
              <w:rPr>
                <w:rtl w:val="true"/>
              </w:rPr>
              <w:t>קפלינסקי</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מיכאל</w:t>
            </w:r>
            <w:r>
              <w:rPr>
                <w:rFonts w:cs="Times New Roman"/>
                <w:rtl w:val="true"/>
              </w:rPr>
              <w:t xml:space="preserve"> </w:t>
            </w:r>
            <w:r>
              <w:rPr>
                <w:rtl w:val="true"/>
              </w:rPr>
              <w:t>כרמל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rtl w:val="true"/>
          </w:rPr>
          <w:t>חוק ההסגרה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תשי</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w:t>
        </w:r>
        <w:r>
          <w:rPr>
            <w:rStyle w:val="Hyperlink"/>
            <w:rFonts w:cs="FrankRuehl" w:ascii="FrankRuehl" w:hAnsi="FrankRuehl"/>
            <w:sz w:val="24"/>
          </w:rPr>
          <w:t>1954</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1</w:t>
        </w:r>
        <w:r>
          <w:rPr>
            <w:rStyle w:val="Hyperlink"/>
            <w:rFonts w:ascii="FrankRuehl" w:hAnsi="FrankRuehl" w:cs="FrankRuehl"/>
            <w:sz w:val="24"/>
            <w:sz w:val="24"/>
            <w:rtl w:val="true"/>
          </w:rPr>
          <w:t>א</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1</w:t>
        </w:r>
        <w:r>
          <w:rPr>
            <w:rStyle w:val="Hyperlink"/>
            <w:rFonts w:ascii="FrankRuehl" w:hAnsi="FrankRuehl" w:cs="FrankRuehl"/>
            <w:sz w:val="24"/>
            <w:sz w:val="24"/>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6">
        <w:r>
          <w:rPr>
            <w:rStyle w:val="Hyperlink"/>
            <w:rFonts w:cs="FrankRuehl" w:ascii="FrankRuehl" w:hAnsi="FrankRuehl"/>
            <w:sz w:val="24"/>
          </w:rPr>
          <w:t>9</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7">
        <w:r>
          <w:rPr>
            <w:rStyle w:val="Hyperlink"/>
            <w:rFonts w:ascii="FrankRuehl" w:hAnsi="FrankRuehl" w:cs="FrankRuehl"/>
            <w:sz w:val="24"/>
            <w:sz w:val="24"/>
            <w:rtl w:val="true"/>
          </w:rPr>
          <w:t>חוק לנשיאת עונש מאסר במדינת אזרחותו של האסיר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תשנ</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1996</w:t>
        </w:r>
      </w:hyperlink>
    </w:p>
    <w:p>
      <w:pPr>
        <w:pStyle w:val="Normal"/>
        <w:tabs>
          <w:tab w:val="clear" w:pos="720"/>
          <w:tab w:val="left" w:pos="2552" w:leader="none"/>
        </w:tabs>
        <w:ind w:end="0"/>
        <w:jc w:val="start"/>
        <w:rPr>
          <w:rFonts w:ascii="FrankRuehl" w:hAnsi="FrankRuehl" w:cs="FrankRuehl"/>
          <w:color w:val="0000FF"/>
          <w:sz w:val="24"/>
          <w:u w:val="single"/>
        </w:rPr>
      </w:pPr>
      <w:r>
        <w:rPr>
          <w:rFonts w:cs="FrankRuehl" w:ascii="FrankRuehl" w:hAnsi="FrankRuehl"/>
          <w:color w:val="0000FF"/>
          <w:sz w:val="24"/>
          <w:u w:val="single"/>
          <w:rtl w:val="true"/>
        </w:rPr>
      </w:r>
      <w:bookmarkStart w:id="6" w:name="LawTable_End"/>
      <w:bookmarkStart w:id="7" w:name="LawTable_End"/>
      <w:bookmarkEnd w:id="7"/>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נטל השכנוע בדבר אי</w:t>
      </w:r>
      <w:r>
        <w:rPr>
          <w:rFonts w:cs="Times New Roman" w:ascii="Times New Roman" w:hAnsi="Times New Roman"/>
          <w:spacing w:val="0"/>
          <w:szCs w:val="26"/>
          <w:rtl w:val="true"/>
        </w:rPr>
        <w:t>-</w:t>
      </w:r>
      <w:r>
        <w:rPr>
          <w:rFonts w:ascii="Times New Roman" w:hAnsi="Times New Roman" w:cs="Times New Roman"/>
          <w:spacing w:val="0"/>
          <w:szCs w:val="26"/>
          <w:rtl w:val="true"/>
        </w:rPr>
        <w:t>תושבות ישראלית של מועמד להסגרה מוטל על 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רק משעמד הוא בנטל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עובר נטל הבאת הראיות למועמד להסגרה לסתור את המסקנה הנלמדת מן העובדות שהוכחו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יש מקום להקל במידה מסוימת עם הנושא בנטל השכנוע בשלב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לקבל את טענת 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 כי די לצורך הרמת הנטל בראיות שמשקלן מזערי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גם רגליים לסברה שבמקום שבו מדובר באדם שאין חולק שהיה תושב ישראל עובר לביצוע העבירות על ידו מחוץ לישראל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והשאלה העומדת על הפרק היא שינוי התושבות לארץ זרה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הנטל המוטל על כתפי 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 גדול יותר מזעום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הסגרה – סייגים להסגרה – תושבות ישראלית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המדינה על החלטת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בירושלים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בגדרה נדחתה עתירת המערער </w:t>
      </w:r>
      <w:r>
        <w:rPr>
          <w:rFonts w:cs="Times New Roman" w:ascii="Times New Roman" w:hAnsi="Times New Roman"/>
          <w:spacing w:val="0"/>
          <w:szCs w:val="26"/>
          <w:rtl w:val="true"/>
        </w:rPr>
        <w:t>(</w:t>
      </w:r>
      <w:r>
        <w:rPr>
          <w:rFonts w:ascii="Times New Roman" w:hAnsi="Times New Roman" w:cs="Times New Roman"/>
          <w:spacing w:val="0"/>
          <w:szCs w:val="26"/>
          <w:rtl w:val="true"/>
        </w:rPr>
        <w:t>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להכרזתו של המשיב </w:t>
      </w:r>
      <w:r>
        <w:rPr>
          <w:rFonts w:cs="Times New Roman" w:ascii="Times New Roman" w:hAnsi="Times New Roman"/>
          <w:spacing w:val="0"/>
          <w:szCs w:val="26"/>
          <w:rtl w:val="true"/>
        </w:rPr>
        <w:t>(</w:t>
      </w:r>
      <w:r>
        <w:rPr>
          <w:rFonts w:ascii="Times New Roman" w:hAnsi="Times New Roman" w:cs="Times New Roman"/>
          <w:spacing w:val="0"/>
          <w:szCs w:val="26"/>
          <w:rtl w:val="true"/>
        </w:rPr>
        <w:t>אזרח ישראלי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בר הסגרה לפי </w:t>
      </w:r>
      <w:hyperlink r:id="rId8">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9</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9">
        <w:r>
          <w:rPr>
            <w:rStyle w:val="Hyperlink"/>
            <w:rFonts w:ascii="Times New Roman" w:hAnsi="Times New Roman" w:cs="Times New Roman"/>
            <w:spacing w:val="0"/>
            <w:szCs w:val="26"/>
            <w:rtl w:val="true"/>
          </w:rPr>
          <w:t>חוק ההסגרה</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כיה לשם ריצוי עונש מאסר של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לא התייצב לדיון בערעורים שהוגשו בעניינו ובשלב מסויים התברר שבמהלך </w:t>
      </w:r>
      <w:r>
        <w:rPr>
          <w:rFonts w:cs="Times New Roman" w:ascii="Times New Roman" w:hAnsi="Times New Roman"/>
          <w:spacing w:val="0"/>
          <w:szCs w:val="26"/>
        </w:rPr>
        <w:t>2007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שב לישראל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עיקר הדיון בעתירה נסוב על טענת המשיב כי מתקיים בעניינו הסייג להסגרה הקבוע </w:t>
      </w:r>
      <w:hyperlink r:id="rId10">
        <w:r>
          <w:rPr>
            <w:rStyle w:val="Hyperlink"/>
            <w:rFonts w:ascii="Times New Roman" w:hAnsi="Times New Roman" w:cs="Times New Roman"/>
            <w:spacing w:val="0"/>
            <w:szCs w:val="26"/>
            <w:rtl w:val="true"/>
          </w:rPr>
          <w:t>בסעיף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ההסגרה</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שעניינו תושבות המועמד להסגרה בעת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קבע כי סייג זה מתקיים בעניינו של המשיב ודחה את העתירה להכריזו בר</w:t>
      </w:r>
      <w:r>
        <w:rPr>
          <w:rFonts w:cs="Times New Roman" w:ascii="Times New Roman" w:hAnsi="Times New Roman"/>
          <w:spacing w:val="0"/>
          <w:szCs w:val="26"/>
          <w:rtl w:val="true"/>
        </w:rPr>
        <w:t>-</w:t>
      </w:r>
      <w:r>
        <w:rPr>
          <w:rFonts w:ascii="Times New Roman" w:hAnsi="Times New Roman" w:cs="Times New Roman"/>
          <w:spacing w:val="0"/>
          <w:szCs w:val="26"/>
          <w:rtl w:val="true"/>
        </w:rPr>
        <w:t>הסגרה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והורה למשיב לרצות את עונש המאסר שהוטל עליו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לפי האפשרות החלופית שהעלתה ממשלת צ</w:t>
      </w:r>
      <w:r>
        <w:rPr>
          <w:rFonts w:cs="Times New Roman" w:ascii="Times New Roman" w:hAnsi="Times New Roman"/>
          <w:spacing w:val="0"/>
          <w:szCs w:val="26"/>
          <w:rtl w:val="true"/>
        </w:rPr>
        <w:t>'</w:t>
      </w:r>
      <w:r>
        <w:rPr>
          <w:rFonts w:ascii="Times New Roman" w:hAnsi="Times New Roman" w:cs="Times New Roman"/>
          <w:spacing w:val="0"/>
          <w:szCs w:val="26"/>
          <w:rtl w:val="true"/>
        </w:rPr>
        <w:t>כיה בבקשת ההסגרה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מינץ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 ונ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סולברג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לצורך קביעה שאדם המועמד להסגרה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לעניין </w:t>
      </w:r>
      <w:hyperlink r:id="rId12">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3">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ההסגרה</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הינו תושב 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נדרשת זיקה ממשית של האדם למדינת 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המתבטאת במכלול ההקשרים אשר מתוכם עולה המסקנה כי ישראל היא מרכז חייו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המבחן שנקבע הוא </w:t>
      </w:r>
      <w:r>
        <w:rPr>
          <w:rFonts w:cs="Times New Roman" w:ascii="Times New Roman" w:hAnsi="Times New Roman"/>
          <w:spacing w:val="0"/>
          <w:szCs w:val="26"/>
          <w:rtl w:val="true"/>
        </w:rPr>
        <w:t>"</w:t>
      </w:r>
      <w:r>
        <w:rPr>
          <w:rFonts w:ascii="Times New Roman" w:hAnsi="Times New Roman" w:cs="Times New Roman"/>
          <w:spacing w:val="0"/>
          <w:szCs w:val="26"/>
          <w:rtl w:val="true"/>
        </w:rPr>
        <w:t>מבחן משולב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המתבסס על שילובם של שני מבחנים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אובייקטיבי וסובייקטיבי</w:t>
      </w:r>
      <w:r>
        <w:rPr>
          <w:rFonts w:cs="Times New Roman" w:ascii="Times New Roman" w:hAnsi="Times New Roman"/>
          <w:spacing w:val="0"/>
          <w:szCs w:val="26"/>
          <w:rtl w:val="true"/>
        </w:rPr>
        <w:t>: "</w:t>
      </w:r>
      <w:r>
        <w:rPr>
          <w:rFonts w:ascii="Times New Roman" w:hAnsi="Times New Roman" w:cs="Times New Roman"/>
          <w:spacing w:val="0"/>
          <w:szCs w:val="26"/>
          <w:rtl w:val="true"/>
        </w:rPr>
        <w:t xml:space="preserve">מי שנתקיימו בו סימנים גלויים לעין הקושרים אותו לישראל </w:t>
      </w:r>
      <w:r>
        <w:rPr>
          <w:rFonts w:cs="Times New Roman" w:ascii="Times New Roman" w:hAnsi="Times New Roman"/>
          <w:spacing w:val="0"/>
          <w:szCs w:val="26"/>
          <w:rtl w:val="true"/>
        </w:rPr>
        <w:t>(</w:t>
      </w:r>
      <w:r>
        <w:rPr>
          <w:rFonts w:ascii="Times New Roman" w:hAnsi="Times New Roman" w:cs="Times New Roman"/>
          <w:spacing w:val="0"/>
          <w:szCs w:val="26"/>
          <w:rtl w:val="true"/>
        </w:rPr>
        <w:t>מבחן אובייקטיבי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 בעת נמצאה בו גם כוונה לקשור את גורלו עם 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להמשיך ולחיות בה דרך קבע או ללא הגבלת זמן ולהופכה למרכז חייו </w:t>
      </w:r>
      <w:r>
        <w:rPr>
          <w:rFonts w:cs="Times New Roman" w:ascii="Times New Roman" w:hAnsi="Times New Roman"/>
          <w:spacing w:val="0"/>
          <w:szCs w:val="26"/>
          <w:rtl w:val="true"/>
        </w:rPr>
        <w:t>(</w:t>
      </w:r>
      <w:r>
        <w:rPr>
          <w:rFonts w:ascii="Times New Roman" w:hAnsi="Times New Roman" w:cs="Times New Roman"/>
          <w:spacing w:val="0"/>
          <w:szCs w:val="26"/>
          <w:rtl w:val="true"/>
        </w:rPr>
        <w:t>מבחן סובייקטיבי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נטל השכנוע בדבר אי</w:t>
      </w:r>
      <w:r>
        <w:rPr>
          <w:rFonts w:cs="Times New Roman" w:ascii="Times New Roman" w:hAnsi="Times New Roman"/>
          <w:spacing w:val="0"/>
          <w:szCs w:val="26"/>
          <w:rtl w:val="true"/>
        </w:rPr>
        <w:t>-</w:t>
      </w:r>
      <w:r>
        <w:rPr>
          <w:rFonts w:ascii="Times New Roman" w:hAnsi="Times New Roman" w:cs="Times New Roman"/>
          <w:spacing w:val="0"/>
          <w:szCs w:val="26"/>
          <w:rtl w:val="true"/>
        </w:rPr>
        <w:t>תושבות של מועמד להסגרה מוטל על 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רק משעמד הוא בנטל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עובר נטל הבאת הראיות למועמד להסגרה לסתור את המסקנה הנלמדת מן העובדות שהוכחו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השאלה אם עמד היועץ המשפטי לממשלה בנטל המוטל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כמו גם השאלה אם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לאחר העברת הנטל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עמד המועמד להסגרה בנטל הרובץ על כתפיו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שאלות שהתשובה להן מתבססת כולה על ממצאי עובדה ומהימנות שאין זו דרכה של ערכאת הערעור להתערב בהן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נתן דעתו למכלול הנתונים הרלוונטיים לעניין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ולאחר שנשמעו עדויות מטעם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ונבחנו כלל המסמכים שהוגשו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 כי לא הורם הנטל על ידי המערער וכי הנתונים על פיהם התגורר המשיב בצ</w:t>
      </w:r>
      <w:r>
        <w:rPr>
          <w:rFonts w:cs="Times New Roman" w:ascii="Times New Roman" w:hAnsi="Times New Roman"/>
          <w:spacing w:val="0"/>
          <w:szCs w:val="26"/>
          <w:rtl w:val="true"/>
        </w:rPr>
        <w:t>'</w:t>
      </w:r>
      <w:r>
        <w:rPr>
          <w:rFonts w:ascii="Times New Roman" w:hAnsi="Times New Roman" w:cs="Times New Roman"/>
          <w:spacing w:val="0"/>
          <w:szCs w:val="26"/>
          <w:rtl w:val="true"/>
        </w:rPr>
        <w:t>כיה לתקופה קצרה אין בהם כדי לנתק את זיקתו העמוקה לישראל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ניתן משקל משמעותי לכך שהמשיב התגורר בישראל משנת </w:t>
      </w:r>
      <w:r>
        <w:rPr>
          <w:rFonts w:cs="Times New Roman" w:ascii="Times New Roman" w:hAnsi="Times New Roman"/>
          <w:spacing w:val="0"/>
          <w:szCs w:val="26"/>
        </w:rPr>
        <w:t>1980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מדובר במי אשר התגורר בארץ אחרת ומבקש לטעון לתושבות בשל שהות קצרה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הקים משפחה בישראל וכל בני משפחתו מתגוררים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גם התייחס לנתונים על פיהם עולה כי יתכן שהיה בדעתו של המערער לקבוע את מרכז חייו בצ</w:t>
      </w:r>
      <w:r>
        <w:rPr>
          <w:rFonts w:cs="Times New Roman" w:ascii="Times New Roman" w:hAnsi="Times New Roman"/>
          <w:spacing w:val="0"/>
          <w:szCs w:val="26"/>
          <w:rtl w:val="true"/>
        </w:rPr>
        <w:t>'</w:t>
      </w:r>
      <w:r>
        <w:rPr>
          <w:rFonts w:ascii="Times New Roman" w:hAnsi="Times New Roman" w:cs="Times New Roman"/>
          <w:spacing w:val="0"/>
          <w:szCs w:val="26"/>
          <w:rtl w:val="true"/>
        </w:rPr>
        <w:t>כיה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הבהיר כי הלכה למעשה נוכח העובדה שלא חלפה תקופה מספקת המלמדת כי העתיק את מרכז חייו לצ</w:t>
      </w:r>
      <w:r>
        <w:rPr>
          <w:rFonts w:cs="Times New Roman" w:ascii="Times New Roman" w:hAnsi="Times New Roman"/>
          <w:spacing w:val="0"/>
          <w:szCs w:val="26"/>
          <w:rtl w:val="true"/>
        </w:rPr>
        <w:t>'</w:t>
      </w:r>
      <w:r>
        <w:rPr>
          <w:rFonts w:ascii="Times New Roman" w:hAnsi="Times New Roman" w:cs="Times New Roman"/>
          <w:spacing w:val="0"/>
          <w:szCs w:val="26"/>
          <w:rtl w:val="true"/>
        </w:rPr>
        <w:t>כיה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ליתן לכך משקל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קביעה זו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כי המערער לא עמד בנטל המוטל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בעוד המשיב עמד בנטל להוכיח כי היה תושב ישראל </w:t>
      </w:r>
      <w:r>
        <w:rPr>
          <w:rFonts w:cs="Times New Roman" w:ascii="Times New Roman" w:hAnsi="Times New Roman"/>
          <w:spacing w:val="0"/>
          <w:szCs w:val="26"/>
          <w:rtl w:val="true"/>
        </w:rPr>
        <w:t>(</w:t>
      </w:r>
      <w:r>
        <w:rPr>
          <w:rFonts w:ascii="Times New Roman" w:hAnsi="Times New Roman" w:cs="Times New Roman"/>
          <w:spacing w:val="0"/>
          <w:szCs w:val="26"/>
          <w:rtl w:val="true"/>
        </w:rPr>
        <w:t>אף אם היה עובר אליו הנטל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מקימה בנסיבות אלו כל עילה להתערבות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התייחס לקושי ליתן אמון בדברי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בין היתר בשקריו של המשיב ובסתירות שנתגלו בין עדותו לבין עדויות העדים שהובאו מטעמו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ומכאן שהוא לא התעלם אפוא מהבעייתיות המתגלה בדברי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בצדק גם נקבע כי חלוף הזמן למן המועד שבו הוגשה בקשת ההסגרה מצ</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כיה ועד למועד שהוגשה העתירה </w:t>
      </w:r>
      <w:r>
        <w:rPr>
          <w:rFonts w:cs="Times New Roman" w:ascii="Times New Roman" w:hAnsi="Times New Roman"/>
          <w:spacing w:val="0"/>
          <w:szCs w:val="26"/>
          <w:rtl w:val="true"/>
        </w:rPr>
        <w:t>(</w:t>
      </w:r>
      <w:r>
        <w:rPr>
          <w:rFonts w:ascii="Times New Roman" w:hAnsi="Times New Roman" w:cs="Times New Roman"/>
          <w:spacing w:val="0"/>
          <w:szCs w:val="26"/>
          <w:rtl w:val="true"/>
        </w:rPr>
        <w:t>כשש וחצי 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יוצר אף הוא קושי ניכר בהשגת ראיות אובייקטיביות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גם אם יש מקום להקל במידה מסוימת עם הנושא בנטל השכנוע בשלב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שלא ניתן לקבל את טענת המערער כי די לצורך הרמת הנטל בראיות שמשקלן מזערי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השופט מינץ מוסיף כי יש גם רגליים לסברה שבמקום שבו מדובר באדם שאין חולק שהיה תושב ישראל עובר לביצוע העבירות על ידו מחוץ לישראל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והשאלה העומדת על הפרק היא שינוי התושבות לארץ זרה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הנטל המוטל על כתפי המערער גדול יותר מזעום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שעה שבבקשת ההסגרה הובהר על ידי ממשלת צ</w:t>
      </w:r>
      <w:r>
        <w:rPr>
          <w:rFonts w:cs="Times New Roman" w:ascii="Times New Roman" w:hAnsi="Times New Roman"/>
          <w:spacing w:val="0"/>
          <w:szCs w:val="26"/>
          <w:rtl w:val="true"/>
        </w:rPr>
        <w:t>'</w:t>
      </w:r>
      <w:r>
        <w:rPr>
          <w:rFonts w:ascii="Times New Roman" w:hAnsi="Times New Roman" w:cs="Times New Roman"/>
          <w:spacing w:val="0"/>
          <w:szCs w:val="26"/>
          <w:rtl w:val="true"/>
        </w:rPr>
        <w:t>כיה כי בקשתם כוללת אופציה חלופית של ריצוי עונש המאסר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מוצא להידרש לטענת המערער כי לא היה מקום לבחון את האפשרות להורות על ריצוי העונש בישראל כאופציה חלופית לאפשרות ההסגרה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השופט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העניין המערער לא עמד בנטל המוטל עליו להוכיח כי התקיימו התנאים הקבועים בחוק לצורך הסגרת המשיב לצ</w:t>
      </w:r>
      <w:r>
        <w:rPr>
          <w:rFonts w:cs="Times New Roman" w:ascii="Times New Roman" w:hAnsi="Times New Roman"/>
          <w:spacing w:val="0"/>
          <w:szCs w:val="26"/>
          <w:rtl w:val="true"/>
        </w:rPr>
        <w:t>'</w:t>
      </w:r>
      <w:r>
        <w:rPr>
          <w:rFonts w:ascii="Times New Roman" w:hAnsi="Times New Roman" w:cs="Times New Roman"/>
          <w:spacing w:val="0"/>
          <w:szCs w:val="26"/>
          <w:rtl w:val="true"/>
        </w:rPr>
        <w:t>כיה לריצוי 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די במידע החלקי שהמערער הצביע עליו ובעובדה שהמשיב השתמש בדרכונים זרים המקשים על הוכחת מקום מושבו בעת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להעביר אליו את נטל ההוכחה לקיום תנאי הסייג</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על כך יש להוסיף ולציין כי מאז ביצוע העבירות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שנת </w:t>
      </w:r>
      <w:r>
        <w:rPr>
          <w:rFonts w:cs="Times New Roman" w:ascii="Times New Roman" w:hAnsi="Times New Roman"/>
          <w:spacing w:val="0"/>
          <w:szCs w:val="26"/>
        </w:rPr>
        <w:t>2001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חלפו שנים 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בין היתר בשל התנהלותו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הגיש את העתירה להכריז על המשיב כבר הסגרה רק בחלוף למעלה משש וחצי שנים ממועד הגשת בקשת ההסגרה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אף ממשלת צ</w:t>
      </w:r>
      <w:r>
        <w:rPr>
          <w:rFonts w:cs="Times New Roman" w:ascii="Times New Roman" w:hAnsi="Times New Roman"/>
          <w:spacing w:val="0"/>
          <w:szCs w:val="26"/>
          <w:rtl w:val="true"/>
        </w:rPr>
        <w:t>'</w:t>
      </w:r>
      <w:r>
        <w:rPr>
          <w:rFonts w:ascii="Times New Roman" w:hAnsi="Times New Roman" w:cs="Times New Roman"/>
          <w:spacing w:val="0"/>
          <w:szCs w:val="26"/>
          <w:rtl w:val="true"/>
        </w:rPr>
        <w:t>כיה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שביקשה את הסגרתו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הסכימה כחלופה לבקשה להסגרתו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אם יתעורר קושי להסגירו לידיה בשל תושבותו הישראלית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יישא את עונשו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אלו תומכים אף הם במסקנה שבנסיבות המקרה הייחודיות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להיענות לבקשה להסגרת המשיב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ויש להורות על ריצוי עונשו בישראל</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השופט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סולברג</w:t>
      </w:r>
      <w:r>
        <w:rPr>
          <w:rFonts w:ascii="Times New Roman" w:hAnsi="Times New Roman" w:cs="Times New Roman"/>
          <w:spacing w:val="0"/>
          <w:szCs w:val="26"/>
          <w:rtl w:val="true"/>
        </w:rPr>
        <w:t xml:space="preserve"> מצטרף לאמור לא בלי התלבטות</w:t>
      </w:r>
      <w:r>
        <w:rPr>
          <w:rFonts w:cs="Times New Roman" w:ascii="Times New Roman" w:hAnsi="Times New Roman"/>
          <w:spacing w:val="0"/>
          <w:szCs w:val="26"/>
          <w:rtl w:val="true"/>
        </w:rPr>
        <w:t>(</w:t>
      </w:r>
      <w:r>
        <w:rPr>
          <w:rFonts w:ascii="Times New Roman" w:hAnsi="Times New Roman" w:cs="Times New Roman"/>
          <w:spacing w:val="0"/>
          <w:szCs w:val="26"/>
          <w:rtl w:val="true"/>
        </w:rPr>
        <w:t>שעה המשיב נמלט מעונשו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נימק באופן משכנע מדוע ראה ליתן אמון בדברי המשיב ובדברי עדיו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כך שמרכז חייו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כך מוסיף השופט סולברג כי לא ניתן להתעלם מן הזמן הרב שחלף מאז ששב המשיב לישראל ועד עתה </w:t>
      </w:r>
      <w:r>
        <w:rPr>
          <w:rFonts w:cs="Times New Roman" w:ascii="Times New Roman" w:hAnsi="Times New Roman"/>
          <w:spacing w:val="0"/>
          <w:szCs w:val="26"/>
          <w:rtl w:val="true"/>
        </w:rPr>
        <w:t>(</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גם לא משיהוי מצדה של המדינה בהגשת העתירה </w:t>
      </w:r>
      <w:r>
        <w:rPr>
          <w:rFonts w:cs="Times New Roman" w:ascii="Times New Roman" w:hAnsi="Times New Roman"/>
          <w:spacing w:val="0"/>
          <w:szCs w:val="26"/>
          <w:rtl w:val="true"/>
        </w:rPr>
        <w:t>(</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וחצי 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תקופה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לבטח לא תרמה לביסוס זיקתו של המשיב לצ</w:t>
      </w:r>
      <w:r>
        <w:rPr>
          <w:rFonts w:cs="Times New Roman" w:ascii="Times New Roman" w:hAnsi="Times New Roman"/>
          <w:spacing w:val="0"/>
          <w:szCs w:val="26"/>
          <w:rtl w:val="true"/>
        </w:rPr>
        <w:t>'</w:t>
      </w:r>
      <w:r>
        <w:rPr>
          <w:rFonts w:ascii="Times New Roman" w:hAnsi="Times New Roman" w:cs="Times New Roman"/>
          <w:spacing w:val="0"/>
          <w:szCs w:val="26"/>
          <w:rtl w:val="true"/>
        </w:rPr>
        <w:t>כיה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ההיפך הוא הנכון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במהלך אותן 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נטע אוהלו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 למשפחתו ולסביבתו הטבעית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עמו גם בת זוגו שבינתיים נעשתה אשתו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אפשר שחוויית המאסר בצ</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כיה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תעצים באופן משמעותי את 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תקשה על שיקומו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סביבתו המשפחתית של מיכאלוב כאן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עשויה להועיל לשיקומו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הרבה יותר מאשר סביבה זרה שם בצ</w:t>
      </w:r>
      <w:r>
        <w:rPr>
          <w:rFonts w:cs="Times New Roman" w:ascii="Times New Roman" w:hAnsi="Times New Roman"/>
          <w:spacing w:val="0"/>
          <w:szCs w:val="26"/>
          <w:rtl w:val="true"/>
        </w:rPr>
        <w:t>'</w:t>
      </w:r>
      <w:r>
        <w:rPr>
          <w:rFonts w:ascii="Times New Roman" w:hAnsi="Times New Roman" w:cs="Times New Roman"/>
          <w:spacing w:val="0"/>
          <w:szCs w:val="26"/>
          <w:rtl w:val="true"/>
        </w:rPr>
        <w:t>כיה</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numPr>
          <w:ilvl w:val="0"/>
          <w:numId w:val="0"/>
        </w:numPr>
        <w:ind w:hanging="0" w:start="0" w:end="0"/>
        <w:jc w:val="both"/>
        <w:rPr>
          <w:rFonts w:cs="Miriam"/>
          <w:sz w:val="24"/>
          <w:szCs w:val="24"/>
          <w:u w:val="single"/>
        </w:rPr>
      </w:pPr>
      <w:r>
        <w:rPr>
          <w:rFonts w:cs="Miriam"/>
          <w:sz w:val="24"/>
          <w:szCs w:val="24"/>
          <w:u w:val="single"/>
          <w:rtl w:val="true"/>
        </w:rPr>
      </w:r>
    </w:p>
    <w:p>
      <w:pPr>
        <w:pStyle w:val="Ruller41"/>
        <w:ind w:end="0"/>
        <w:jc w:val="both"/>
        <w:rPr/>
      </w:pPr>
      <w:bookmarkStart w:id="15" w:name="Start_Write"/>
      <w:bookmarkEnd w:id="15"/>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השופטת</w:t>
      </w:r>
      <w:r>
        <w:rPr>
          <w:rFonts w:eastAsia="Arial TUR;Arial" w:cs="Arial TUR;Arial"/>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לומפ</w:t>
      </w:r>
      <w:r>
        <w:rPr>
          <w:rtl w:val="true"/>
        </w:rPr>
        <w:t xml:space="preserve">) </w:t>
      </w:r>
      <w:r>
        <w:rPr>
          <w:rtl w:val="true"/>
        </w:rPr>
        <w:t>ב</w:t>
      </w:r>
      <w:hyperlink r:id="rId14">
        <w:r>
          <w:rPr>
            <w:rStyle w:val="Hyperlink"/>
            <w:color w:val="0000FF"/>
            <w:u w:val="single"/>
            <w:rtl w:val="true"/>
          </w:rPr>
          <w:t>תה</w:t>
        </w:r>
        <w:r>
          <w:rPr>
            <w:rStyle w:val="Hyperlink"/>
            <w:color w:val="0000FF"/>
            <w:u w:val="single"/>
            <w:rtl w:val="true"/>
          </w:rPr>
          <w:t>"</w:t>
        </w:r>
        <w:r>
          <w:rPr>
            <w:rStyle w:val="Hyperlink"/>
            <w:color w:val="0000FF"/>
            <w:u w:val="single"/>
            <w:rtl w:val="true"/>
          </w:rPr>
          <w:t>ג</w:t>
        </w:r>
        <w:r>
          <w:rPr>
            <w:rStyle w:val="Hyperlink"/>
            <w:rFonts w:eastAsia="Arial TUR;Arial" w:cs="Arial TUR;Arial"/>
            <w:color w:val="0000FF"/>
            <w:u w:val="single"/>
            <w:rtl w:val="true"/>
          </w:rPr>
          <w:t xml:space="preserve"> </w:t>
        </w:r>
        <w:r>
          <w:rPr>
            <w:rStyle w:val="Hyperlink"/>
            <w:color w:val="0000FF"/>
            <w:u w:val="single"/>
          </w:rPr>
          <w:t>32334-04-19</w:t>
        </w:r>
      </w:hyperlink>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מיום</w:t>
      </w:r>
      <w:r>
        <w:rPr>
          <w:rFonts w:eastAsia="Arial TUR;Arial" w:cs="Arial TUR;Arial"/>
          <w:rtl w:val="true"/>
        </w:rPr>
        <w:t xml:space="preserve"> </w:t>
      </w:r>
      <w:r>
        <w:rPr/>
        <w:t>31.10.2019</w:t>
      </w:r>
      <w:r>
        <w:rPr>
          <w:rtl w:val="true"/>
        </w:rPr>
        <w:t xml:space="preserve">, </w:t>
      </w:r>
      <w:r>
        <w:rPr>
          <w:rtl w:val="true"/>
        </w:rPr>
        <w:t>בגדרה</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עתירת</w:t>
      </w:r>
      <w:r>
        <w:rPr>
          <w:rFonts w:eastAsia="Arial TUR;Arial" w:cs="Arial TUR;Arial"/>
          <w:rtl w:val="true"/>
        </w:rPr>
        <w:t xml:space="preserve"> </w:t>
      </w:r>
      <w:r>
        <w:rPr>
          <w:rtl w:val="true"/>
        </w:rPr>
        <w:t>המערער</w:t>
      </w:r>
      <w:r>
        <w:rPr>
          <w:rtl w:val="true"/>
        </w:rPr>
        <w:t xml:space="preserve">, </w:t>
      </w:r>
      <w:r>
        <w:rPr>
          <w:rtl w:val="true"/>
        </w:rPr>
        <w:t>היועץ</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לממשלה</w:t>
      </w:r>
      <w:r>
        <w:rPr>
          <w:rtl w:val="true"/>
        </w:rPr>
        <w:t xml:space="preserve">, </w:t>
      </w:r>
      <w:r>
        <w:rPr>
          <w:rtl w:val="true"/>
        </w:rPr>
        <w:t>להכרזתו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בר</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לפי</w:t>
      </w:r>
      <w:r>
        <w:rPr>
          <w:rFonts w:eastAsia="Arial TUR;Arial" w:cs="Arial TUR;Arial"/>
          <w:rtl w:val="true"/>
        </w:rPr>
        <w:t xml:space="preserve"> </w:t>
      </w:r>
      <w:hyperlink r:id="rId15">
        <w:r>
          <w:rPr>
            <w:rStyle w:val="Hyperlink"/>
            <w:rtl w:val="true"/>
          </w:rPr>
          <w:t>סעיף</w:t>
        </w:r>
        <w:r>
          <w:rPr>
            <w:rStyle w:val="Hyperlink"/>
            <w:rFonts w:eastAsia="Arial TUR;Arial" w:cs="Arial TUR;Arial"/>
            <w:rtl w:val="true"/>
          </w:rPr>
          <w:t xml:space="preserve"> </w:t>
        </w:r>
        <w:r>
          <w:rPr>
            <w:rStyle w:val="Hyperlink"/>
          </w:rPr>
          <w:t>9</w:t>
        </w:r>
      </w:hyperlink>
      <w:r>
        <w:rPr>
          <w:rtl w:val="true"/>
        </w:rPr>
        <w:t xml:space="preserve"> </w:t>
      </w:r>
      <w:r>
        <w:rPr>
          <w:rtl w:val="true"/>
        </w:rPr>
        <w:t>ל</w:t>
      </w:r>
      <w:hyperlink r:id="rId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tl w:val="true"/>
        </w:rPr>
        <w:t xml:space="preserve">, </w:t>
      </w:r>
      <w:r>
        <w:rPr>
          <w:rtl w:val="true"/>
        </w:rPr>
        <w:t>התשי</w:t>
      </w:r>
      <w:r>
        <w:rPr>
          <w:rtl w:val="true"/>
        </w:rPr>
        <w:t>"</w:t>
      </w:r>
      <w:r>
        <w:rPr>
          <w:rtl w:val="true"/>
        </w:rPr>
        <w:t>ד</w:t>
      </w:r>
      <w:r>
        <w:rPr>
          <w:rtl w:val="true"/>
        </w:rPr>
        <w:t>-</w:t>
      </w:r>
      <w:r>
        <w:rPr/>
        <w:t>1954</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tl w:val="true"/>
        </w:rPr>
        <w:t xml:space="preserve">), </w:t>
      </w:r>
      <w:r>
        <w:rPr>
          <w:rtl w:val="true"/>
        </w:rPr>
        <w:t>לרפובליקה</w:t>
      </w:r>
      <w:r>
        <w:rPr>
          <w:rFonts w:eastAsia="Arial TUR;Arial" w:cs="Arial TUR;Arial"/>
          <w:rtl w:val="true"/>
        </w:rPr>
        <w:t xml:space="preserve"> </w:t>
      </w:r>
      <w:r>
        <w:rPr>
          <w:rtl w:val="true"/>
        </w:rPr>
        <w:t>הצ</w:t>
      </w:r>
      <w:r>
        <w:rPr>
          <w:rtl w:val="true"/>
        </w:rPr>
        <w:t>'</w:t>
      </w:r>
      <w:r>
        <w:rPr>
          <w:rtl w:val="true"/>
        </w:rPr>
        <w:t>כית</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צ</w:t>
      </w:r>
      <w:r>
        <w:rPr>
          <w:rFonts w:cs="Miriam" w:ascii="Century" w:hAnsi="Century"/>
          <w:b/>
          <w:spacing w:val="0"/>
          <w:szCs w:val="24"/>
          <w:rtl w:val="true"/>
        </w:rPr>
        <w:t>'</w:t>
      </w:r>
      <w:r>
        <w:rPr>
          <w:rFonts w:ascii="Century" w:hAnsi="Century" w:cs="Miriam"/>
          <w:b/>
          <w:b/>
          <w:spacing w:val="0"/>
          <w:szCs w:val="24"/>
          <w:rtl w:val="true"/>
        </w:rPr>
        <w:t>כיה</w:t>
      </w:r>
      <w:r>
        <w:rPr>
          <w:rtl w:val="true"/>
        </w:rPr>
        <w:t xml:space="preserve">) </w:t>
      </w:r>
      <w:r>
        <w:rPr>
          <w:rtl w:val="true"/>
        </w:rPr>
        <w:t>לשם</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12</w:t>
      </w:r>
      <w:r>
        <w:rPr>
          <w:rtl w:val="true"/>
        </w:rPr>
        <w:t xml:space="preserve"> </w:t>
      </w:r>
      <w:r>
        <w:rPr>
          <w:rtl w:val="true"/>
        </w:rPr>
        <w:t>שנים</w:t>
      </w:r>
      <w:r>
        <w:rPr>
          <w:rFonts w:eastAsia="Arial TUR;Arial" w:cs="Arial TUR;Arial"/>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והחלטת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ind w:hanging="0" w:start="0" w:end="0"/>
        <w:jc w:val="both"/>
        <w:rPr/>
      </w:pPr>
      <w:r>
        <w:rPr>
          <w:rtl w:val="true"/>
        </w:rPr>
        <w:t xml:space="preserve">המשיב הורשע בבית המשפט העירוני בפראג ביום </w:t>
      </w:r>
      <w:r>
        <w:rPr/>
        <w:t>27.5.2005</w:t>
      </w:r>
      <w:r>
        <w:rPr>
          <w:rtl w:val="true"/>
        </w:rPr>
        <w:t xml:space="preserve"> </w:t>
      </w:r>
      <w:r>
        <w:rPr>
          <w:rtl w:val="true"/>
        </w:rPr>
        <w:t>בעבירות של ייצור והחזקה של חומרים נרקוטיים</w:t>
      </w:r>
      <w:r>
        <w:rPr>
          <w:rtl w:val="true"/>
        </w:rPr>
        <w:t xml:space="preserve">, </w:t>
      </w:r>
      <w:r>
        <w:rPr>
          <w:rtl w:val="true"/>
        </w:rPr>
        <w:t>פסיכוטרופיים ורעלים ללא אישור</w:t>
      </w:r>
      <w:r>
        <w:rPr>
          <w:rtl w:val="true"/>
        </w:rPr>
        <w:t xml:space="preserve">; </w:t>
      </w:r>
      <w:r>
        <w:rPr>
          <w:rtl w:val="true"/>
        </w:rPr>
        <w:t>התחמשות בלתי מורשית</w:t>
      </w:r>
      <w:r>
        <w:rPr>
          <w:rtl w:val="true"/>
        </w:rPr>
        <w:t xml:space="preserve">; </w:t>
      </w:r>
      <w:r>
        <w:rPr>
          <w:rtl w:val="true"/>
        </w:rPr>
        <w:t>זיוף ושינוי מסמך ציבורי</w:t>
      </w:r>
      <w:r>
        <w:rPr>
          <w:rtl w:val="true"/>
        </w:rPr>
        <w:t xml:space="preserve">, </w:t>
      </w:r>
      <w:r>
        <w:rPr>
          <w:rtl w:val="true"/>
        </w:rPr>
        <w:t xml:space="preserve">אשר בוצעו בסמוך ליום </w:t>
      </w:r>
      <w:r>
        <w:rPr/>
        <w:t>23.5.2001</w:t>
      </w:r>
      <w:r>
        <w:rPr>
          <w:rtl w:val="true"/>
        </w:rPr>
        <w:t xml:space="preserve">. </w:t>
      </w:r>
      <w:r>
        <w:rPr>
          <w:rtl w:val="true"/>
        </w:rPr>
        <w:t>על פי פסק דינו של בית המשפט בפראג שהרשיעו</w:t>
      </w:r>
      <w:r>
        <w:rPr>
          <w:rtl w:val="true"/>
        </w:rPr>
        <w:t xml:space="preserve">, </w:t>
      </w:r>
      <w:r>
        <w:rPr>
          <w:rtl w:val="true"/>
        </w:rPr>
        <w:t>המשיב תכנן יחד עם שותפים תוכנית להעברת סם מסוכן מצ</w:t>
      </w:r>
      <w:r>
        <w:rPr>
          <w:rtl w:val="true"/>
        </w:rPr>
        <w:t>'</w:t>
      </w:r>
      <w:r>
        <w:rPr>
          <w:rtl w:val="true"/>
        </w:rPr>
        <w:t>כיה לקנדה</w:t>
      </w:r>
      <w:r>
        <w:rPr>
          <w:rtl w:val="true"/>
        </w:rPr>
        <w:t xml:space="preserve">, </w:t>
      </w:r>
      <w:r>
        <w:rPr>
          <w:rtl w:val="true"/>
        </w:rPr>
        <w:t>סיפק את התשתית הכספית למימון התוכנית</w:t>
      </w:r>
      <w:r>
        <w:rPr>
          <w:rtl w:val="true"/>
        </w:rPr>
        <w:t xml:space="preserve">, </w:t>
      </w:r>
      <w:r>
        <w:rPr>
          <w:rtl w:val="true"/>
        </w:rPr>
        <w:t>יצר קשר עם מעורבים נוספים וגם השתמש בדרכון ישראלי מזויף לצורך ביצוע התוכנית</w:t>
      </w:r>
      <w:r>
        <w:rPr>
          <w:rtl w:val="true"/>
        </w:rPr>
        <w:t xml:space="preserve">. </w:t>
      </w:r>
      <w:r>
        <w:rPr>
          <w:rtl w:val="true"/>
        </w:rPr>
        <w:t>כמו כן</w:t>
      </w:r>
      <w:r>
        <w:rPr>
          <w:rtl w:val="true"/>
        </w:rPr>
        <w:t xml:space="preserve">, </w:t>
      </w:r>
      <w:r>
        <w:rPr>
          <w:rtl w:val="true"/>
        </w:rPr>
        <w:t>נמצאו בדירת מגוריו אקדח</w:t>
      </w:r>
      <w:r>
        <w:rPr>
          <w:rtl w:val="true"/>
        </w:rPr>
        <w:t xml:space="preserve">, </w:t>
      </w:r>
      <w:r>
        <w:rPr>
          <w:rtl w:val="true"/>
        </w:rPr>
        <w:t>משתיק קול ותחמושת בהם החזיק ללא רישיון</w:t>
      </w:r>
      <w:r>
        <w:rPr>
          <w:rtl w:val="true"/>
        </w:rPr>
        <w:t xml:space="preserve">. </w:t>
      </w:r>
      <w:r>
        <w:rPr>
          <w:rtl w:val="true"/>
        </w:rPr>
        <w:t xml:space="preserve">המשיב נידון למאסר של </w:t>
      </w:r>
      <w:r>
        <w:rPr/>
        <w:t>12</w:t>
      </w:r>
      <w:r>
        <w:rPr>
          <w:rtl w:val="true"/>
        </w:rPr>
        <w:t xml:space="preserve"> </w:t>
      </w:r>
      <w:r>
        <w:rPr>
          <w:rtl w:val="true"/>
        </w:rPr>
        <w:t>שנים</w:t>
      </w:r>
      <w:r>
        <w:rPr>
          <w:rtl w:val="true"/>
        </w:rPr>
        <w:t xml:space="preserve">, </w:t>
      </w:r>
      <w:r>
        <w:rPr>
          <w:rtl w:val="true"/>
        </w:rPr>
        <w:t>ובניכוי ימי מעצרו נותרו לו כתשע וחצי שנות מאסר לריצוי בפועל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הן המשיב והן התביעה הכללית בצ</w:t>
      </w:r>
      <w:r>
        <w:rPr>
          <w:rtl w:val="true"/>
        </w:rPr>
        <w:t>'</w:t>
      </w:r>
      <w:r>
        <w:rPr>
          <w:rtl w:val="true"/>
        </w:rPr>
        <w:t>כיה ערערו על פסק הדין שניתן בעניינו של המשיב לבית המשפט הגבוה בפראג</w:t>
      </w:r>
      <w:r>
        <w:rPr>
          <w:rtl w:val="true"/>
        </w:rPr>
        <w:t xml:space="preserve">. </w:t>
      </w:r>
      <w:r>
        <w:rPr>
          <w:rtl w:val="true"/>
        </w:rPr>
        <w:t>עם זאת</w:t>
      </w:r>
      <w:r>
        <w:rPr>
          <w:rtl w:val="true"/>
        </w:rPr>
        <w:t xml:space="preserve">, </w:t>
      </w:r>
      <w:r>
        <w:rPr>
          <w:rtl w:val="true"/>
        </w:rPr>
        <w:t>המשיב לא התייצב לדיון שנקבע לשמיעת הערעורים</w:t>
      </w:r>
      <w:r>
        <w:rPr>
          <w:rtl w:val="true"/>
        </w:rPr>
        <w:t xml:space="preserve">, </w:t>
      </w:r>
      <w:r>
        <w:rPr>
          <w:rtl w:val="true"/>
        </w:rPr>
        <w:t xml:space="preserve">ולימים הסתבר שבמועד בלתי ידוע במהלך שנת </w:t>
      </w:r>
      <w:r>
        <w:rPr/>
        <w:t>2007</w:t>
      </w:r>
      <w:r>
        <w:rPr>
          <w:rtl w:val="true"/>
        </w:rPr>
        <w:t xml:space="preserve"> </w:t>
      </w:r>
      <w:r>
        <w:rPr>
          <w:rtl w:val="true"/>
        </w:rPr>
        <w:t>שב לישראל</w:t>
      </w:r>
      <w:r>
        <w:rPr>
          <w:rtl w:val="true"/>
        </w:rPr>
        <w:t xml:space="preserve">. </w:t>
      </w:r>
      <w:r>
        <w:rPr>
          <w:rtl w:val="true"/>
        </w:rPr>
        <w:t>הערעורים נשמעו בהעדרו</w:t>
      </w:r>
      <w:r>
        <w:rPr>
          <w:rtl w:val="true"/>
        </w:rPr>
        <w:t xml:space="preserve">, </w:t>
      </w:r>
      <w:r>
        <w:rPr>
          <w:rtl w:val="true"/>
        </w:rPr>
        <w:t>ולבסוף נותרו הרשעתו ותקופת עונש המאסר שנקבע</w:t>
      </w:r>
      <w:r>
        <w:rPr>
          <w:rtl w:val="true"/>
        </w:rPr>
        <w:t xml:space="preserve">, </w:t>
      </w:r>
      <w:r>
        <w:rPr>
          <w:rtl w:val="true"/>
        </w:rPr>
        <w:t>על כנן</w:t>
      </w:r>
      <w:r>
        <w:rPr>
          <w:rtl w:val="true"/>
        </w:rPr>
        <w:t xml:space="preserve">. </w:t>
      </w:r>
      <w:r>
        <w:rPr>
          <w:rtl w:val="true"/>
        </w:rPr>
        <w:t xml:space="preserve">המשיב זומן להתייצב למאסרו ביום </w:t>
      </w:r>
      <w:r>
        <w:rPr/>
        <w:t>4.1.2008</w:t>
      </w:r>
      <w:r>
        <w:rPr>
          <w:rtl w:val="true"/>
        </w:rPr>
        <w:t xml:space="preserve">, </w:t>
      </w:r>
      <w:r>
        <w:rPr>
          <w:rtl w:val="true"/>
        </w:rPr>
        <w:t>אך לא עשה כן</w:t>
      </w:r>
      <w:r>
        <w:rPr>
          <w:rtl w:val="true"/>
        </w:rPr>
        <w:t xml:space="preserve">. </w:t>
      </w:r>
      <w:r>
        <w:rPr>
          <w:rtl w:val="true"/>
        </w:rPr>
        <w:t xml:space="preserve">ביום </w:t>
      </w:r>
      <w:r>
        <w:rPr/>
        <w:t>15.6.2010</w:t>
      </w:r>
      <w:r>
        <w:rPr>
          <w:rtl w:val="true"/>
        </w:rPr>
        <w:t xml:space="preserve"> </w:t>
      </w:r>
      <w:r>
        <w:rPr>
          <w:rtl w:val="true"/>
        </w:rPr>
        <w:t>הוצא בצ</w:t>
      </w:r>
      <w:r>
        <w:rPr>
          <w:rtl w:val="true"/>
        </w:rPr>
        <w:t>'</w:t>
      </w:r>
      <w:r>
        <w:rPr>
          <w:rtl w:val="true"/>
        </w:rPr>
        <w:t>כיה צו מעצר נגד המשיב</w:t>
      </w:r>
      <w:r>
        <w:rPr>
          <w:rtl w:val="true"/>
        </w:rPr>
        <w:t xml:space="preserve">, </w:t>
      </w:r>
      <w:r>
        <w:rPr>
          <w:rtl w:val="true"/>
        </w:rPr>
        <w:t>ובחלוף שנתיים נוספות</w:t>
      </w:r>
      <w:r>
        <w:rPr>
          <w:rtl w:val="true"/>
        </w:rPr>
        <w:t xml:space="preserve">, </w:t>
      </w:r>
      <w:r>
        <w:rPr>
          <w:rtl w:val="true"/>
        </w:rPr>
        <w:t xml:space="preserve">ביום </w:t>
      </w:r>
      <w:r>
        <w:rPr/>
        <w:t>15.10.2012</w:t>
      </w:r>
      <w:r>
        <w:rPr>
          <w:rtl w:val="true"/>
        </w:rPr>
        <w:t xml:space="preserve">, </w:t>
      </w:r>
      <w:r>
        <w:rPr>
          <w:rtl w:val="true"/>
        </w:rPr>
        <w:t>הגישה ממשלת צ</w:t>
      </w:r>
      <w:r>
        <w:rPr>
          <w:rtl w:val="true"/>
        </w:rPr>
        <w:t>'</w:t>
      </w:r>
      <w:r>
        <w:rPr>
          <w:rtl w:val="true"/>
        </w:rPr>
        <w:t>כיה לישראל בקשה להסגיר לידיה את המשיב כדי שירצה את עונש המאסר שהושת עליו כאמור בצ</w:t>
      </w:r>
      <w:r>
        <w:rPr>
          <w:rtl w:val="true"/>
        </w:rPr>
        <w:t>'</w:t>
      </w:r>
      <w:r>
        <w:rPr>
          <w:rtl w:val="true"/>
        </w:rPr>
        <w:t>כיה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בחלוף כשש וחצי שנים מיום הגשת הבקשה להסגרת המשיב על ידי ממשלת צ</w:t>
      </w:r>
      <w:r>
        <w:rPr>
          <w:rtl w:val="true"/>
        </w:rPr>
        <w:t>'</w:t>
      </w:r>
      <w:r>
        <w:rPr>
          <w:rtl w:val="true"/>
        </w:rPr>
        <w:t>כיה</w:t>
      </w:r>
      <w:r>
        <w:rPr>
          <w:rtl w:val="true"/>
        </w:rPr>
        <w:t xml:space="preserve">, </w:t>
      </w:r>
      <w:r>
        <w:rPr>
          <w:rtl w:val="true"/>
        </w:rPr>
        <w:t xml:space="preserve">ביום </w:t>
      </w:r>
      <w:r>
        <w:rPr/>
        <w:t>15.4.2019</w:t>
      </w:r>
      <w:r>
        <w:rPr>
          <w:rtl w:val="true"/>
        </w:rPr>
        <w:t xml:space="preserve">, </w:t>
      </w:r>
      <w:r>
        <w:rPr>
          <w:rtl w:val="true"/>
        </w:rPr>
        <w:t>הוגשה העתירה לבית המשפט המחוזי בירושלים להסגרת המשיב</w:t>
      </w:r>
      <w:r>
        <w:rPr>
          <w:rtl w:val="true"/>
        </w:rPr>
        <w:t xml:space="preserve">. </w:t>
      </w:r>
      <w:r>
        <w:rPr>
          <w:rtl w:val="true"/>
        </w:rPr>
        <w:t xml:space="preserve">עיקר הדיון בעתירה נסוב על טענת המשיב כי מתקיים בעניינו הסייג להסגרה הקבוע </w:t>
      </w:r>
      <w:hyperlink r:id="rId17">
        <w:r>
          <w:rPr>
            <w:rStyle w:val="Hyperlink"/>
            <w:rtl w:val="true"/>
          </w:rPr>
          <w:t>בסעיף</w:t>
        </w:r>
        <w:r>
          <w:rPr>
            <w:rStyle w:val="Hyperlink"/>
            <w:rtl w:val="true"/>
          </w:rPr>
          <w:t xml:space="preserve"> </w:t>
        </w:r>
        <w:r>
          <w:rPr>
            <w:rStyle w:val="Hyperlink"/>
          </w:rPr>
          <w:t>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ההסגרה</w:t>
        </w:r>
      </w:hyperlink>
      <w:r>
        <w:rPr>
          <w:rtl w:val="true"/>
        </w:rPr>
        <w:t xml:space="preserve">, </w:t>
      </w:r>
      <w:r>
        <w:rPr>
          <w:rtl w:val="true"/>
        </w:rPr>
        <w:t>שעניינו תושבות המועמד להסגרה בעת ביצוע העבירה</w:t>
      </w:r>
      <w:r>
        <w:rPr>
          <w:rtl w:val="true"/>
        </w:rPr>
        <w:t xml:space="preserve">. </w:t>
      </w:r>
      <w:r>
        <w:rPr>
          <w:rtl w:val="true"/>
        </w:rPr>
        <w:t xml:space="preserve">אין מחלוקת כי רישומי ביקורת הגבולות הנוגעים למשיב העלו כי הוא נכנס לישראל ביום </w:t>
      </w:r>
      <w:r>
        <w:rPr/>
        <w:t>16.2.1997</w:t>
      </w:r>
      <w:r>
        <w:rPr>
          <w:rtl w:val="true"/>
        </w:rPr>
        <w:t xml:space="preserve"> </w:t>
      </w:r>
      <w:r>
        <w:rPr>
          <w:rtl w:val="true"/>
        </w:rPr>
        <w:t xml:space="preserve">ולא יצא ממנה עד יום </w:t>
      </w:r>
      <w:r>
        <w:rPr/>
        <w:t>21.5.2007</w:t>
      </w:r>
      <w:r>
        <w:rPr>
          <w:rtl w:val="true"/>
        </w:rPr>
        <w:t xml:space="preserve">, </w:t>
      </w:r>
      <w:r>
        <w:rPr>
          <w:rtl w:val="true"/>
        </w:rPr>
        <w:t>אך לא ניתן להסתמך על הרישומים נוכח העובדה שהמשיב נכנס לישראל ויצא ממנה במשך אותה תקופה תוך שימוש בדרכונים מזויפים</w:t>
      </w:r>
      <w:r>
        <w:rPr>
          <w:rtl w:val="true"/>
        </w:rPr>
        <w:t xml:space="preserve">. </w:t>
      </w:r>
      <w:r>
        <w:rPr>
          <w:rtl w:val="true"/>
        </w:rPr>
        <w:t>על כן המערער טען כי המשיב לא היה תושב ישראל בעת ביצוע העבירות וכי מרכז חייו היה באותה העת בעיר פראג שבצ</w:t>
      </w:r>
      <w:r>
        <w:rPr>
          <w:rtl w:val="true"/>
        </w:rPr>
        <w:t>'</w:t>
      </w:r>
      <w:r>
        <w:rPr>
          <w:rtl w:val="true"/>
        </w:rPr>
        <w:t>כיה</w:t>
      </w:r>
      <w:r>
        <w:rPr>
          <w:rtl w:val="true"/>
        </w:rPr>
        <w:t xml:space="preserve">. </w:t>
      </w:r>
      <w:r>
        <w:rPr>
          <w:rtl w:val="true"/>
        </w:rPr>
        <w:t>כך עולה מפסק הדין המרשיע שניתן בעניינו</w:t>
      </w:r>
      <w:r>
        <w:rPr>
          <w:rtl w:val="true"/>
        </w:rPr>
        <w:t xml:space="preserve">, </w:t>
      </w:r>
      <w:r>
        <w:rPr>
          <w:rtl w:val="true"/>
        </w:rPr>
        <w:t>מעדותו שלו ומעדויות גורמים נוספים במהלך המשפט שהתנהל בצ</w:t>
      </w:r>
      <w:r>
        <w:rPr>
          <w:rtl w:val="true"/>
        </w:rPr>
        <w:t>'</w:t>
      </w:r>
      <w:r>
        <w:rPr>
          <w:rtl w:val="true"/>
        </w:rPr>
        <w:t>כיה ואף מחומר מודיעיני שהצטבר בישראל בעניינו</w:t>
      </w:r>
      <w:r>
        <w:rPr>
          <w:rtl w:val="true"/>
        </w:rPr>
        <w:t xml:space="preserve">. </w:t>
      </w:r>
      <w:r>
        <w:rPr>
          <w:rtl w:val="true"/>
        </w:rPr>
        <w:t>עוד טען המערער כי השימוש בדרכונים מזויפים מהווה נזק ראייתי שהמשיב גרם לו במו ידיו</w:t>
      </w:r>
      <w:r>
        <w:rPr>
          <w:rtl w:val="true"/>
        </w:rPr>
        <w:t xml:space="preserve">. </w:t>
      </w:r>
      <w:r>
        <w:rPr>
          <w:rtl w:val="true"/>
        </w:rPr>
        <w:t>מנגד</w:t>
      </w:r>
      <w:r>
        <w:rPr>
          <w:rtl w:val="true"/>
        </w:rPr>
        <w:t xml:space="preserve">, </w:t>
      </w:r>
      <w:r>
        <w:rPr>
          <w:rtl w:val="true"/>
        </w:rPr>
        <w:t>המשיב טען בעיקר שהמערער לא עמד בנטל המוטל על כתפיו להוכיח שהוא חדל בעת ביצוע העבירות להיות תושב ישראל</w:t>
      </w:r>
      <w:r>
        <w:rPr>
          <w:rtl w:val="true"/>
        </w:rPr>
        <w:t xml:space="preserve">, </w:t>
      </w:r>
      <w:r>
        <w:rPr>
          <w:rtl w:val="true"/>
        </w:rPr>
        <w:t>מבלי שהוצגה כל ראיה לכך ששהה בצ</w:t>
      </w:r>
      <w:r>
        <w:rPr>
          <w:rtl w:val="true"/>
        </w:rPr>
        <w:t>'</w:t>
      </w:r>
      <w:r>
        <w:rPr>
          <w:rtl w:val="true"/>
        </w:rPr>
        <w:t>כיה</w:t>
      </w:r>
      <w:r>
        <w:rPr>
          <w:rtl w:val="true"/>
        </w:rPr>
        <w:t xml:space="preserve">. </w:t>
      </w:r>
      <w:r>
        <w:rPr>
          <w:rtl w:val="true"/>
        </w:rPr>
        <w:t>במסגרת זו</w:t>
      </w:r>
      <w:r>
        <w:rPr>
          <w:rtl w:val="true"/>
        </w:rPr>
        <w:t xml:space="preserve">, </w:t>
      </w:r>
      <w:r>
        <w:rPr>
          <w:rtl w:val="true"/>
        </w:rPr>
        <w:t xml:space="preserve">אין בכך שהשתמש בדרכונים מזויפים כדי לנתק את זיקת התושבות שלו לישראל בה התגורר וחי במשך </w:t>
      </w:r>
      <w:r>
        <w:rPr/>
        <w:t>25</w:t>
      </w:r>
      <w:r>
        <w:rPr>
          <w:rtl w:val="true"/>
        </w:rPr>
        <w:t xml:space="preserve"> </w:t>
      </w:r>
      <w:r>
        <w:rPr>
          <w:rtl w:val="true"/>
        </w:rPr>
        <w:t>שנים</w:t>
      </w:r>
      <w:r>
        <w:rPr>
          <w:rtl w:val="true"/>
        </w:rPr>
        <w:t xml:space="preserve">. </w:t>
      </w:r>
      <w:r>
        <w:rPr>
          <w:rtl w:val="true"/>
        </w:rPr>
        <w:t>עוד טען המשיב כי השיהוי הרב בהגשת העתירה</w:t>
      </w:r>
      <w:r>
        <w:rPr>
          <w:rtl w:val="true"/>
        </w:rPr>
        <w:t xml:space="preserve">, </w:t>
      </w:r>
      <w:r>
        <w:rPr>
          <w:rtl w:val="true"/>
        </w:rPr>
        <w:t>פגע ביכולתו להוכיח את טענותיו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לאחר שהתקיים דיון בבקשה במסגרתו נשמעו עדויות מטעם המשיב</w:t>
      </w:r>
      <w:r>
        <w:rPr>
          <w:rtl w:val="true"/>
        </w:rPr>
        <w:t xml:space="preserve">, </w:t>
      </w:r>
      <w:r>
        <w:rPr>
          <w:rtl w:val="true"/>
        </w:rPr>
        <w:t xml:space="preserve">קבע בית המשפט המחוזי ביום </w:t>
      </w:r>
      <w:r>
        <w:rPr/>
        <w:t>31.10.2019</w:t>
      </w:r>
      <w:r>
        <w:rPr>
          <w:rtl w:val="true"/>
        </w:rPr>
        <w:t xml:space="preserve"> </w:t>
      </w:r>
      <w:r>
        <w:rPr>
          <w:rtl w:val="true"/>
        </w:rPr>
        <w:t>כי המערער לא הרים את הנטל המוטל עליו להוכיח כי המשיב אכן לא היה תושב ישראל בעת הרלוונטית</w:t>
      </w:r>
      <w:r>
        <w:rPr>
          <w:rtl w:val="true"/>
        </w:rPr>
        <w:t xml:space="preserve">. </w:t>
      </w:r>
      <w:r>
        <w:rPr>
          <w:rtl w:val="true"/>
        </w:rPr>
        <w:t>עוד נקבע כי גם אם היה ניתן לומר כי המערער עמד בנטל המוטל על שכמו</w:t>
      </w:r>
      <w:r>
        <w:rPr>
          <w:rtl w:val="true"/>
        </w:rPr>
        <w:t xml:space="preserve">, </w:t>
      </w:r>
      <w:r>
        <w:rPr>
          <w:rtl w:val="true"/>
        </w:rPr>
        <w:t>המשיב מבחינתו עמד בנטל להוכיח כי אכן היה תושב ישראל גם בעת ביצוע העבירות</w:t>
      </w:r>
      <w:r>
        <w:rPr>
          <w:rtl w:val="true"/>
        </w:rPr>
        <w:t xml:space="preserve">. </w:t>
      </w:r>
      <w:r>
        <w:rPr>
          <w:rtl w:val="true"/>
        </w:rPr>
        <w:t>בית המשפט הבהיר כי אין די בראיות המצביעות על כך שהמשיב התגורר בצ</w:t>
      </w:r>
      <w:r>
        <w:rPr>
          <w:rtl w:val="true"/>
        </w:rPr>
        <w:t>'</w:t>
      </w:r>
      <w:r>
        <w:rPr>
          <w:rtl w:val="true"/>
        </w:rPr>
        <w:t xml:space="preserve">כיה ועבד בה במהלך תקופה מסוימת בשנת </w:t>
      </w:r>
      <w:r>
        <w:rPr/>
        <w:t>2001</w:t>
      </w:r>
      <w:r>
        <w:rPr>
          <w:rtl w:val="true"/>
        </w:rPr>
        <w:t xml:space="preserve">, </w:t>
      </w:r>
      <w:r>
        <w:rPr>
          <w:rtl w:val="true"/>
        </w:rPr>
        <w:t>כדי ללמד כי העתיק את מרכז חייו מישראל לצ</w:t>
      </w:r>
      <w:r>
        <w:rPr>
          <w:rtl w:val="true"/>
        </w:rPr>
        <w:t>'</w:t>
      </w:r>
      <w:r>
        <w:rPr>
          <w:rtl w:val="true"/>
        </w:rPr>
        <w:t>כיה</w:t>
      </w:r>
      <w:r>
        <w:rPr>
          <w:rtl w:val="true"/>
        </w:rPr>
        <w:t xml:space="preserve">. </w:t>
      </w:r>
      <w:r>
        <w:rPr>
          <w:rtl w:val="true"/>
        </w:rPr>
        <w:t>זאת לאור יתר הנתונים המצביעים על זיקתו העמוקה של המשיב לישראל</w:t>
      </w:r>
      <w:r>
        <w:rPr>
          <w:rtl w:val="true"/>
        </w:rPr>
        <w:t xml:space="preserve">. </w:t>
      </w:r>
      <w:r>
        <w:rPr>
          <w:rtl w:val="true"/>
        </w:rPr>
        <w:t xml:space="preserve">ביניהם העובדה שהתגורר בישראל משנת </w:t>
      </w:r>
      <w:r>
        <w:rPr/>
        <w:t>1980</w:t>
      </w:r>
      <w:r>
        <w:rPr>
          <w:rtl w:val="true"/>
        </w:rPr>
        <w:t xml:space="preserve">; </w:t>
      </w:r>
      <w:r>
        <w:rPr>
          <w:rtl w:val="true"/>
        </w:rPr>
        <w:t>כל בני משפחתו מתגוררים בישראל</w:t>
      </w:r>
      <w:r>
        <w:rPr>
          <w:rtl w:val="true"/>
        </w:rPr>
        <w:t xml:space="preserve">; </w:t>
      </w:r>
      <w:r>
        <w:rPr>
          <w:rtl w:val="true"/>
        </w:rPr>
        <w:t>בבעלותו נכס מקרקעין הרשום על שמו בישראל בגינו גם שולמו חשבונות אחזקה שוטפים בתקופת ביצוע העבירות</w:t>
      </w:r>
      <w:r>
        <w:rPr>
          <w:rtl w:val="true"/>
        </w:rPr>
        <w:t xml:space="preserve">. </w:t>
      </w:r>
      <w:r>
        <w:rPr>
          <w:rtl w:val="true"/>
        </w:rPr>
        <w:t xml:space="preserve">לכך </w:t>
      </w:r>
      <w:r>
        <w:rPr>
          <w:rtl w:val="true"/>
        </w:rPr>
        <w:t>גם</w:t>
      </w:r>
      <w:r>
        <w:rPr>
          <w:rtl w:val="true"/>
        </w:rPr>
        <w:t xml:space="preserve"> </w:t>
      </w:r>
      <w:r>
        <w:rPr>
          <w:rtl w:val="true"/>
        </w:rPr>
        <w:t>הצטרפו</w:t>
      </w:r>
      <w:r>
        <w:rPr>
          <w:rtl w:val="true"/>
        </w:rPr>
        <w:t xml:space="preserve"> עדויות מטעם קרובי המשיב המצביעות על תמונה דומה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המחוזי ציין בהחלטתו</w:t>
      </w:r>
      <w:r>
        <w:rPr>
          <w:rtl w:val="true"/>
        </w:rPr>
        <w:t xml:space="preserve">, </w:t>
      </w:r>
      <w:r>
        <w:rPr>
          <w:rtl w:val="true"/>
        </w:rPr>
        <w:t>כי לא נעלם מעיניו הקושי ליתן אמון בגרסת המשיב</w:t>
      </w:r>
      <w:r>
        <w:rPr>
          <w:rtl w:val="true"/>
        </w:rPr>
        <w:t xml:space="preserve">, </w:t>
      </w:r>
      <w:r>
        <w:rPr>
          <w:rtl w:val="true"/>
        </w:rPr>
        <w:t>שעה שזה הודה בפה מלא כי שיקר על דוכן העדים במהלך משפטו בצ</w:t>
      </w:r>
      <w:r>
        <w:rPr>
          <w:rtl w:val="true"/>
        </w:rPr>
        <w:t>'</w:t>
      </w:r>
      <w:r>
        <w:rPr>
          <w:rtl w:val="true"/>
        </w:rPr>
        <w:t>כיה ונמנע מלהביא עדים מהותיים להוכחת טענותיו וכן נוכח סתירות שנתגלו בין גרסתו לגרסאות העדים שהעידו מטעמו</w:t>
      </w:r>
      <w:r>
        <w:rPr>
          <w:rtl w:val="true"/>
        </w:rPr>
        <w:t xml:space="preserve">. </w:t>
      </w:r>
      <w:r>
        <w:rPr>
          <w:rtl w:val="true"/>
        </w:rPr>
        <w:t>עם זאת</w:t>
      </w:r>
      <w:r>
        <w:rPr>
          <w:rtl w:val="true"/>
        </w:rPr>
        <w:t xml:space="preserve">, </w:t>
      </w:r>
      <w:r>
        <w:rPr>
          <w:rtl w:val="true"/>
        </w:rPr>
        <w:t>נוכח השיהוי הרב בהגשת העתירה</w:t>
      </w:r>
      <w:r>
        <w:rPr>
          <w:rtl w:val="true"/>
        </w:rPr>
        <w:t xml:space="preserve">, </w:t>
      </w:r>
      <w:r>
        <w:rPr>
          <w:rtl w:val="true"/>
        </w:rPr>
        <w:t>אשר יצר קושי משמעותי באיתור ראיות אובייקטיביות</w:t>
      </w:r>
      <w:r>
        <w:rPr>
          <w:rtl w:val="true"/>
        </w:rPr>
        <w:t xml:space="preserve">, </w:t>
      </w:r>
      <w:r>
        <w:rPr>
          <w:rtl w:val="true"/>
        </w:rPr>
        <w:t>וכן נוכח העובדה שחלוף הזמן עשוי לשמש הסבר לפערים שנתגלו בין גרסאות העדים מטעמו של המשיב</w:t>
      </w:r>
      <w:r>
        <w:rPr>
          <w:rtl w:val="true"/>
        </w:rPr>
        <w:t xml:space="preserve">, </w:t>
      </w:r>
      <w:r>
        <w:rPr>
          <w:rtl w:val="true"/>
        </w:rPr>
        <w:t>ניתן בסופו של יום אמון בדברי המשיב והעדים מטעמו כי מרכז חייו היה בישראל בתקופה הרלוונטית</w:t>
      </w:r>
      <w:r>
        <w:rPr>
          <w:rtl w:val="true"/>
        </w:rPr>
        <w:t xml:space="preserve">, </w:t>
      </w:r>
      <w:r>
        <w:rPr>
          <w:rtl w:val="true"/>
        </w:rPr>
        <w:t>המצטרפים ליתר הראיות בעניינו כאמור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כן</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האמור</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העתירה</w:t>
      </w:r>
      <w:r>
        <w:rPr>
          <w:rFonts w:eastAsia="Arial TUR;Arial" w:cs="Arial TUR;Arial"/>
          <w:rtl w:val="true"/>
        </w:rPr>
        <w:t xml:space="preserve"> </w:t>
      </w:r>
      <w:r>
        <w:rPr>
          <w:rtl w:val="true"/>
        </w:rPr>
        <w:t>להכריזו</w:t>
      </w:r>
      <w:r>
        <w:rPr>
          <w:rFonts w:eastAsia="Arial TUR;Arial" w:cs="Arial TUR;Arial"/>
          <w:rtl w:val="true"/>
        </w:rPr>
        <w:t xml:space="preserve"> </w:t>
      </w:r>
      <w:r>
        <w:rPr>
          <w:rtl w:val="true"/>
        </w:rPr>
        <w:t>בר</w:t>
      </w:r>
      <w:r>
        <w:rPr>
          <w:rtl w:val="true"/>
        </w:rPr>
        <w:t>-</w:t>
      </w:r>
      <w:r>
        <w:rPr>
          <w:rtl w:val="true"/>
        </w:rPr>
        <w:t>הסגרה</w:t>
      </w:r>
      <w:r>
        <w:rPr>
          <w:rtl w:val="true"/>
        </w:rPr>
        <w:t xml:space="preserve">, </w:t>
      </w:r>
      <w:r>
        <w:rPr>
          <w:rtl w:val="true"/>
        </w:rPr>
        <w:t>והורה</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בישראל</w:t>
      </w:r>
      <w:r>
        <w:rPr>
          <w:rtl w:val="true"/>
        </w:rPr>
        <w:t xml:space="preserve">, </w:t>
      </w:r>
      <w:r>
        <w:rPr>
          <w:rtl w:val="true"/>
        </w:rPr>
        <w:t>וזאת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החלופית</w:t>
      </w:r>
      <w:r>
        <w:rPr>
          <w:rFonts w:eastAsia="Arial TUR;Arial" w:cs="Arial TUR;Arial"/>
          <w:rtl w:val="true"/>
        </w:rPr>
        <w:t xml:space="preserve"> </w:t>
      </w:r>
      <w:r>
        <w:rPr>
          <w:rtl w:val="true"/>
        </w:rPr>
        <w:t>שהעלתה</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צ</w:t>
      </w:r>
      <w:r>
        <w:rPr>
          <w:rtl w:val="true"/>
        </w:rPr>
        <w:t>'</w:t>
      </w:r>
      <w:r>
        <w:rPr>
          <w:rtl w:val="true"/>
        </w:rPr>
        <w:t>כיה</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ההסגרה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שלפנינו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1"/>
        </w:numPr>
        <w:ind w:hanging="0" w:start="0" w:end="0"/>
        <w:jc w:val="both"/>
        <w:rPr/>
      </w:pPr>
      <w:r>
        <w:rPr>
          <w:rtl w:val="true"/>
        </w:rPr>
        <w:t>בערעור נטען כי טעה בית המשפט המחוזי בקביעתו כי המערער לא עמד אפילו בנטל הראשוני המוטל על שכמו</w:t>
      </w:r>
      <w:r>
        <w:rPr>
          <w:rtl w:val="true"/>
        </w:rPr>
        <w:t xml:space="preserve">, </w:t>
      </w:r>
      <w:r>
        <w:rPr>
          <w:rtl w:val="true"/>
        </w:rPr>
        <w:t>שעה שנקבע זה מכבר כי נטל ראשוני זה מתייחס לראיות שמשקלן זעום</w:t>
      </w:r>
      <w:r>
        <w:rPr>
          <w:rtl w:val="true"/>
        </w:rPr>
        <w:t xml:space="preserve">, </w:t>
      </w:r>
      <w:r>
        <w:rPr>
          <w:rtl w:val="true"/>
        </w:rPr>
        <w:t>ודי בעמידה בנטל ראשוני שאינו גבוה על מנת שיעבור הנטל לכתפי המשיב</w:t>
      </w:r>
      <w:r>
        <w:rPr>
          <w:rtl w:val="true"/>
        </w:rPr>
        <w:t xml:space="preserve">. </w:t>
      </w:r>
      <w:r>
        <w:rPr>
          <w:rtl w:val="true"/>
        </w:rPr>
        <w:t>לטענת המערער</w:t>
      </w:r>
      <w:r>
        <w:rPr>
          <w:rtl w:val="true"/>
        </w:rPr>
        <w:t xml:space="preserve">, </w:t>
      </w:r>
      <w:r>
        <w:rPr>
          <w:rtl w:val="true"/>
        </w:rPr>
        <w:t>די בנתונים הרבים שהובאו לפני בית המשפט המחוזי כדי ללמד כי המשיב היה בעת הרלוונטית תושב צ</w:t>
      </w:r>
      <w:r>
        <w:rPr>
          <w:rtl w:val="true"/>
        </w:rPr>
        <w:t>'</w:t>
      </w:r>
      <w:r>
        <w:rPr>
          <w:rtl w:val="true"/>
        </w:rPr>
        <w:t>כיה</w:t>
      </w:r>
      <w:r>
        <w:rPr>
          <w:rtl w:val="true"/>
        </w:rPr>
        <w:t xml:space="preserve">, </w:t>
      </w:r>
      <w:r>
        <w:rPr>
          <w:rtl w:val="true"/>
        </w:rPr>
        <w:t xml:space="preserve">לכל הפחות החל משנת </w:t>
      </w:r>
      <w:r>
        <w:rPr/>
        <w:t>1999</w:t>
      </w:r>
      <w:r>
        <w:rPr>
          <w:rtl w:val="true"/>
        </w:rPr>
        <w:t xml:space="preserve">. </w:t>
      </w:r>
      <w:r>
        <w:rPr>
          <w:rtl w:val="true"/>
        </w:rPr>
        <w:t>זאת בין היתר בהתחשב בעדות המשיב</w:t>
      </w:r>
      <w:r>
        <w:rPr>
          <w:rtl w:val="true"/>
        </w:rPr>
        <w:t xml:space="preserve">, </w:t>
      </w:r>
      <w:r>
        <w:rPr>
          <w:rtl w:val="true"/>
        </w:rPr>
        <w:t>בת זוגו וגורמים נוספים במסגרת המשפט בו הורשע</w:t>
      </w:r>
      <w:r>
        <w:rPr>
          <w:rtl w:val="true"/>
        </w:rPr>
        <w:t xml:space="preserve">, </w:t>
      </w:r>
      <w:r>
        <w:rPr>
          <w:rtl w:val="true"/>
        </w:rPr>
        <w:t>בקביעות שניתנו במסגרת פסק הדין המרשיע בצ</w:t>
      </w:r>
      <w:r>
        <w:rPr>
          <w:rtl w:val="true"/>
        </w:rPr>
        <w:t>'</w:t>
      </w:r>
      <w:r>
        <w:rPr>
          <w:rtl w:val="true"/>
        </w:rPr>
        <w:t>כיה</w:t>
      </w:r>
      <w:r>
        <w:rPr>
          <w:rtl w:val="true"/>
        </w:rPr>
        <w:t xml:space="preserve">, </w:t>
      </w:r>
      <w:r>
        <w:rPr>
          <w:rtl w:val="true"/>
        </w:rPr>
        <w:t xml:space="preserve">ובתמצית מידע מודיעיני ממנה עולה גם כן כי המשיב שהה בשנים </w:t>
      </w:r>
      <w:r>
        <w:rPr/>
        <w:t>1999-2000</w:t>
      </w:r>
      <w:r>
        <w:rPr>
          <w:rtl w:val="true"/>
        </w:rPr>
        <w:t xml:space="preserve"> </w:t>
      </w:r>
      <w:r>
        <w:rPr>
          <w:rtl w:val="true"/>
        </w:rPr>
        <w:t>בצ</w:t>
      </w:r>
      <w:r>
        <w:rPr>
          <w:rtl w:val="true"/>
        </w:rPr>
        <w:t>'</w:t>
      </w:r>
      <w:r>
        <w:rPr>
          <w:rtl w:val="true"/>
        </w:rPr>
        <w:t>כיה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נטען כי שגה בית המשפט המחוזי גם בקביעה כי אף אם היה מועבר הנטל למשיב</w:t>
      </w:r>
      <w:r>
        <w:rPr>
          <w:rtl w:val="true"/>
        </w:rPr>
        <w:t xml:space="preserve">, </w:t>
      </w:r>
      <w:r>
        <w:rPr>
          <w:rtl w:val="true"/>
        </w:rPr>
        <w:t>הרי שיש בראיות שהציג כדי ללמד כי היה בעת ביצוע העבירות תושב ישראל</w:t>
      </w:r>
      <w:r>
        <w:rPr>
          <w:rtl w:val="true"/>
        </w:rPr>
        <w:t xml:space="preserve">. </w:t>
      </w:r>
      <w:r>
        <w:rPr>
          <w:rtl w:val="true"/>
        </w:rPr>
        <w:t>זאת כאשר קביעות בית המשפט המחוזי כי ניתן ליתן אמון בדברי המשיב מעוררות קושי של ממש</w:t>
      </w:r>
      <w:r>
        <w:rPr>
          <w:rtl w:val="true"/>
        </w:rPr>
        <w:t xml:space="preserve">, </w:t>
      </w:r>
      <w:r>
        <w:rPr>
          <w:rtl w:val="true"/>
        </w:rPr>
        <w:t>ולא הובאו מסמכים ממשיים לתמוך בטענת המשיב ולא זומנו עדים רלוונטיים משמעותיים</w:t>
      </w:r>
      <w:r>
        <w:rPr>
          <w:rtl w:val="true"/>
        </w:rPr>
        <w:t xml:space="preserve">. </w:t>
      </w:r>
      <w:r>
        <w:rPr>
          <w:rtl w:val="true"/>
        </w:rPr>
        <w:t>כמו כן</w:t>
      </w:r>
      <w:r>
        <w:rPr>
          <w:rtl w:val="true"/>
        </w:rPr>
        <w:t xml:space="preserve">, </w:t>
      </w:r>
      <w:r>
        <w:rPr>
          <w:rtl w:val="true"/>
        </w:rPr>
        <w:t>הסתירות שהתגלו בעדויות שהובאו מטעמו הן משמעותיות מכדי שניתן יהיה לתרצן בחלוף הזמן</w:t>
      </w:r>
      <w:r>
        <w:rPr>
          <w:rtl w:val="true"/>
        </w:rPr>
        <w:t xml:space="preserve">, </w:t>
      </w:r>
      <w:r>
        <w:rPr>
          <w:rtl w:val="true"/>
        </w:rPr>
        <w:t>מה עוד שלמשיב תרומה ניכרת לכך</w:t>
      </w:r>
      <w:r>
        <w:rPr>
          <w:rtl w:val="true"/>
        </w:rPr>
        <w:t xml:space="preserve">. </w:t>
      </w:r>
      <w:r>
        <w:rPr>
          <w:rtl w:val="true"/>
        </w:rPr>
        <w:t>זאת ועוד</w:t>
      </w:r>
      <w:r>
        <w:rPr>
          <w:rtl w:val="true"/>
        </w:rPr>
        <w:t xml:space="preserve">, </w:t>
      </w:r>
      <w:r>
        <w:rPr>
          <w:rtl w:val="true"/>
        </w:rPr>
        <w:t>אין כל מקום להצמיח למשיב יתרון על בסיס שקריו</w:t>
      </w:r>
      <w:r>
        <w:rPr>
          <w:rtl w:val="true"/>
        </w:rPr>
        <w:t xml:space="preserve">, </w:t>
      </w:r>
      <w:r>
        <w:rPr>
          <w:rtl w:val="true"/>
        </w:rPr>
        <w:t>אשר באו לידי ביטוי הן בשימוש שעשה בדרכונים מזויפים והן על ידי התנערותו מעדותו לפני בית המשפט הצ</w:t>
      </w:r>
      <w:r>
        <w:rPr>
          <w:rtl w:val="true"/>
        </w:rPr>
        <w:t>'</w:t>
      </w:r>
      <w:r>
        <w:rPr>
          <w:rtl w:val="true"/>
        </w:rPr>
        <w:t>כי ממנה עולה כי השתקע בפראג</w:t>
      </w:r>
      <w:r>
        <w:rPr>
          <w:rtl w:val="true"/>
        </w:rPr>
        <w:t xml:space="preserve">. </w:t>
      </w:r>
      <w:r>
        <w:rPr>
          <w:rtl w:val="true"/>
        </w:rPr>
        <w:t>בית המשפט גם שגה בכך שקבע כי אף אם המשיב השתקע בצ</w:t>
      </w:r>
      <w:r>
        <w:rPr>
          <w:rtl w:val="true"/>
        </w:rPr>
        <w:t>'</w:t>
      </w:r>
      <w:r>
        <w:rPr>
          <w:rtl w:val="true"/>
        </w:rPr>
        <w:t>כיה היה זה לתקופה קצרה שאין בה להעיד על ניתוק תושבותו מישראל</w:t>
      </w:r>
      <w:r>
        <w:rPr>
          <w:rtl w:val="true"/>
        </w:rPr>
        <w:t xml:space="preserve">, </w:t>
      </w:r>
      <w:r>
        <w:rPr>
          <w:rtl w:val="true"/>
        </w:rPr>
        <w:t xml:space="preserve">שעה שהוא עצמו העיד במהלך משפטו כי החל לעבוד בפראג בשנת </w:t>
      </w:r>
      <w:r>
        <w:rPr/>
        <w:t>1999</w:t>
      </w:r>
      <w:r>
        <w:rPr>
          <w:rtl w:val="true"/>
        </w:rPr>
        <w:t xml:space="preserve"> </w:t>
      </w:r>
      <w:r>
        <w:rPr>
          <w:rtl w:val="true"/>
        </w:rPr>
        <w:t>וגם תמציות המידע המודיעיני מלמדות על היעדרות מישראל כבר בשנה 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לבסוף נטען כי שגה בית המשפט המחוזי בכך שהחליט על ריצוי עונשו של המשיב בישראל</w:t>
      </w:r>
      <w:r>
        <w:rPr>
          <w:rtl w:val="true"/>
        </w:rPr>
        <w:t xml:space="preserve">, </w:t>
      </w:r>
      <w:r>
        <w:rPr>
          <w:rtl w:val="true"/>
        </w:rPr>
        <w:t>חלף הסגרתו</w:t>
      </w:r>
      <w:r>
        <w:rPr>
          <w:rtl w:val="true"/>
        </w:rPr>
        <w:t xml:space="preserve">, </w:t>
      </w:r>
      <w:r>
        <w:rPr>
          <w:rtl w:val="true"/>
        </w:rPr>
        <w:t>אך בשל כך שממשלת צ</w:t>
      </w:r>
      <w:r>
        <w:rPr>
          <w:rtl w:val="true"/>
        </w:rPr>
        <w:t>'</w:t>
      </w:r>
      <w:r>
        <w:rPr>
          <w:rtl w:val="true"/>
        </w:rPr>
        <w:t>כיה הציגה אפשרות זו כפתרון חלופי</w:t>
      </w:r>
      <w:r>
        <w:rPr>
          <w:rtl w:val="true"/>
        </w:rPr>
        <w:t xml:space="preserve">. </w:t>
      </w:r>
      <w:r>
        <w:rPr>
          <w:rtl w:val="true"/>
        </w:rPr>
        <w:t xml:space="preserve">שעה שלא התבקשה וממילא לא נבחנה בקשה לפי </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לנשיאת</w:t>
        </w:r>
        <w:r>
          <w:rPr>
            <w:rStyle w:val="Hyperlink"/>
            <w:color w:val="0000FF"/>
            <w:u w:val="single"/>
            <w:rtl w:val="true"/>
          </w:rPr>
          <w:t xml:space="preserve"> </w:t>
        </w:r>
        <w:r>
          <w:rPr>
            <w:rStyle w:val="Hyperlink"/>
            <w:color w:val="0000FF"/>
            <w:u w:val="single"/>
            <w:rtl w:val="true"/>
          </w:rPr>
          <w:t>עונש</w:t>
        </w:r>
        <w:r>
          <w:rPr>
            <w:rStyle w:val="Hyperlink"/>
            <w:color w:val="0000FF"/>
            <w:u w:val="single"/>
            <w:rtl w:val="true"/>
          </w:rPr>
          <w:t xml:space="preserve"> </w:t>
        </w:r>
        <w:r>
          <w:rPr>
            <w:rStyle w:val="Hyperlink"/>
            <w:color w:val="0000FF"/>
            <w:u w:val="single"/>
            <w:rtl w:val="true"/>
          </w:rPr>
          <w:t>מאסר</w:t>
        </w:r>
        <w:r>
          <w:rPr>
            <w:rStyle w:val="Hyperlink"/>
            <w:color w:val="0000FF"/>
            <w:u w:val="single"/>
            <w:rtl w:val="true"/>
          </w:rPr>
          <w:t xml:space="preserve"> </w:t>
        </w:r>
        <w:r>
          <w:rPr>
            <w:rStyle w:val="Hyperlink"/>
            <w:color w:val="0000FF"/>
            <w:u w:val="single"/>
            <w:rtl w:val="true"/>
          </w:rPr>
          <w:t>במדינת</w:t>
        </w:r>
        <w:r>
          <w:rPr>
            <w:rStyle w:val="Hyperlink"/>
            <w:color w:val="0000FF"/>
            <w:u w:val="single"/>
            <w:rtl w:val="true"/>
          </w:rPr>
          <w:t xml:space="preserve"> </w:t>
        </w:r>
        <w:r>
          <w:rPr>
            <w:rStyle w:val="Hyperlink"/>
            <w:color w:val="0000FF"/>
            <w:u w:val="single"/>
            <w:rtl w:val="true"/>
          </w:rPr>
          <w:t>אזרחותו</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האסיר</w:t>
        </w:r>
      </w:hyperlink>
      <w:r>
        <w:rPr>
          <w:rtl w:val="true"/>
        </w:rPr>
        <w:t xml:space="preserve">, </w:t>
      </w:r>
      <w:r>
        <w:rPr>
          <w:rtl w:val="true"/>
        </w:rPr>
        <w:t>התשנ</w:t>
      </w:r>
      <w:r>
        <w:rPr>
          <w:rtl w:val="true"/>
        </w:rPr>
        <w:t>"</w:t>
      </w:r>
      <w:r>
        <w:rPr>
          <w:rtl w:val="true"/>
        </w:rPr>
        <w:t>ז</w:t>
      </w:r>
      <w:r>
        <w:rPr>
          <w:rtl w:val="true"/>
        </w:rPr>
        <w:t>-</w:t>
      </w:r>
      <w:r>
        <w:rPr/>
        <w:t>1996</w:t>
      </w:r>
      <w:r>
        <w:rPr>
          <w:rtl w:val="true"/>
        </w:rPr>
        <w:t xml:space="preserve">, </w:t>
      </w:r>
      <w:r>
        <w:rPr>
          <w:rtl w:val="true"/>
        </w:rPr>
        <w:t>לא היה מקום ליטול מהשרים המוסמכים לפי חוק זה את שיקול הדעת להכרעה בעניין</w:t>
      </w:r>
      <w:r>
        <w:rPr>
          <w:rtl w:val="true"/>
        </w:rPr>
        <w:t xml:space="preserve">. </w:t>
      </w:r>
    </w:p>
    <w:p>
      <w:pPr>
        <w:pStyle w:val="Ruller41"/>
        <w:ind w:end="0"/>
        <w:jc w:val="both"/>
        <w:rPr/>
      </w:pPr>
      <w:r>
        <w:rPr>
          <w:rFonts w:eastAsia="Arial TUR;Arial" w:cs="Arial TUR;Arial"/>
          <w:rtl w:val="true"/>
        </w:rPr>
        <w:t xml:space="preserve"> </w:t>
      </w:r>
    </w:p>
    <w:p>
      <w:pPr>
        <w:pStyle w:val="Ruller42"/>
        <w:numPr>
          <w:ilvl w:val="0"/>
          <w:numId w:val="1"/>
        </w:numPr>
        <w:ind w:hanging="0" w:start="0" w:end="0"/>
        <w:jc w:val="both"/>
        <w:rPr/>
      </w:pPr>
      <w:r>
        <w:rPr>
          <w:rtl w:val="true"/>
        </w:rPr>
        <w:t>מנגד</w:t>
      </w:r>
      <w:r>
        <w:rPr>
          <w:rtl w:val="true"/>
        </w:rPr>
        <w:t xml:space="preserve">, </w:t>
      </w:r>
      <w:r>
        <w:rPr>
          <w:rtl w:val="true"/>
        </w:rPr>
        <w:t>המשיב סמך ידיו על החלטת בית המשפט המחוזי בהדגישו את הכלל כי אין זו דרכה של ערכאת הערעור להתערב ולשנות ממצאים עובדתיים וממצאי מהימנות שנקבעו על ידי הערכאה הדיונית</w:t>
      </w:r>
      <w:r>
        <w:rPr>
          <w:rtl w:val="true"/>
        </w:rPr>
        <w:t xml:space="preserve">. </w:t>
      </w:r>
      <w:r>
        <w:rPr>
          <w:rtl w:val="true"/>
        </w:rPr>
        <w:t>קל וחומר במקרה זה בו אין בערעור שהוגש כל נימוק משפטי המצדיק התערבות ערכאת הערעור בהחלטה מנומקת המתבססת על ממצאי מהימנות ועובדה אשר ניתנה לאחר שמיעת עדים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1"/>
        </w:numPr>
        <w:ind w:hanging="0" w:start="0" w:end="0"/>
        <w:jc w:val="both"/>
        <w:rPr/>
      </w:pPr>
      <w:r>
        <w:rPr>
          <w:rtl w:val="true"/>
        </w:rPr>
        <w:t>לצורך קביעה שאדם המועמד להסגרה</w:t>
      </w:r>
      <w:r>
        <w:rPr>
          <w:rtl w:val="true"/>
        </w:rPr>
        <w:t xml:space="preserve">, </w:t>
      </w:r>
      <w:r>
        <w:rPr>
          <w:rtl w:val="true"/>
        </w:rPr>
        <w:t xml:space="preserve">לעניין </w:t>
      </w:r>
      <w:hyperlink r:id="rId20">
        <w:r>
          <w:rPr>
            <w:rStyle w:val="Hyperlink"/>
            <w:rtl w:val="true"/>
          </w:rPr>
          <w:t>סעיף</w:t>
        </w:r>
        <w:r>
          <w:rPr>
            <w:rStyle w:val="Hyperlink"/>
            <w:rtl w:val="true"/>
          </w:rPr>
          <w:t xml:space="preserve"> </w:t>
        </w:r>
        <w:r>
          <w:rPr>
            <w:rStyle w:val="Hyperlink"/>
          </w:rPr>
          <w:t>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ההסגרה</w:t>
        </w:r>
      </w:hyperlink>
      <w:r>
        <w:rPr>
          <w:rtl w:val="true"/>
        </w:rPr>
        <w:t xml:space="preserve">, </w:t>
      </w:r>
      <w:r>
        <w:rPr>
          <w:rtl w:val="true"/>
        </w:rPr>
        <w:t>הינו תושב ישראל</w:t>
      </w:r>
      <w:r>
        <w:rPr>
          <w:rtl w:val="true"/>
        </w:rPr>
        <w:t xml:space="preserve">, </w:t>
      </w:r>
      <w:r>
        <w:rPr>
          <w:rtl w:val="true"/>
        </w:rPr>
        <w:t>נדרשת זיקה ממשית של האדם למדינת ישראל</w:t>
      </w:r>
      <w:r>
        <w:rPr>
          <w:rtl w:val="true"/>
        </w:rPr>
        <w:t xml:space="preserve">, </w:t>
      </w:r>
      <w:r>
        <w:rPr>
          <w:rtl w:val="true"/>
        </w:rPr>
        <w:t xml:space="preserve">המתבטאת במכלול ההקשרים אשר מתוכם עולה המסקנה כי ישראל היא מרכז חייו </w:t>
      </w:r>
      <w:r>
        <w:rPr>
          <w:rtl w:val="true"/>
        </w:rPr>
        <w:t>(</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3025/00</w:t>
        </w:r>
        <w:r>
          <w:rPr>
            <w:rStyle w:val="Hyperlink"/>
            <w:color w:val="0000FF"/>
            <w:u w:val="single"/>
            <w:rtl w:val="true"/>
          </w:rPr>
          <w:t xml:space="preserve"> </w:t>
        </w:r>
        <w:r>
          <w:rPr>
            <w:rStyle w:val="Hyperlink"/>
            <w:color w:val="0000FF"/>
            <w:u w:val="single"/>
            <w:rtl w:val="true"/>
          </w:rPr>
          <w:t>הרוש</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5</w:t>
      </w:r>
      <w:r>
        <w:rPr>
          <w:rtl w:val="true"/>
        </w:rPr>
        <w:t xml:space="preserve">) </w:t>
      </w:r>
      <w:r>
        <w:rPr/>
        <w:t>111</w:t>
      </w:r>
      <w:r>
        <w:rPr>
          <w:rtl w:val="true"/>
        </w:rPr>
        <w:t xml:space="preserve">, </w:t>
      </w:r>
      <w:r>
        <w:rPr/>
        <w:t>123</w:t>
      </w:r>
      <w:r>
        <w:rPr>
          <w:rtl w:val="true"/>
        </w:rPr>
        <w:t xml:space="preserve"> (</w:t>
      </w:r>
      <w:r>
        <w:rPr/>
        <w:t>2000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הרוש</w:t>
      </w:r>
      <w:r>
        <w:rPr>
          <w:rFonts w:cs="Century" w:ascii="Century" w:hAnsi="Century"/>
          <w:sz w:val="22"/>
          <w:rtl w:val="true"/>
        </w:rPr>
        <w:t>)</w:t>
      </w:r>
      <w:r>
        <w:rPr>
          <w:rtl w:val="true"/>
        </w:rPr>
        <w:t xml:space="preserve">). </w:t>
      </w:r>
      <w:r>
        <w:rPr>
          <w:rtl w:val="true"/>
        </w:rPr>
        <w:t xml:space="preserve">המבחן שנקבע הוא </w:t>
      </w:r>
      <w:r>
        <w:rPr>
          <w:rtl w:val="true"/>
        </w:rPr>
        <w:t>"</w:t>
      </w:r>
      <w:r>
        <w:rPr>
          <w:rtl w:val="true"/>
        </w:rPr>
        <w:t>מבחן משולב</w:t>
      </w:r>
      <w:r>
        <w:rPr>
          <w:rtl w:val="true"/>
        </w:rPr>
        <w:t xml:space="preserve">" </w:t>
      </w:r>
      <w:r>
        <w:rPr>
          <w:rtl w:val="true"/>
        </w:rPr>
        <w:t>המתבסס על שילובם של שני מבחנים</w:t>
      </w:r>
      <w:r>
        <w:rPr>
          <w:rtl w:val="true"/>
        </w:rPr>
        <w:t xml:space="preserve">, </w:t>
      </w:r>
      <w:r>
        <w:rPr>
          <w:rtl w:val="true"/>
        </w:rPr>
        <w:t>אובייקטיבי וסובייקטיבי</w:t>
      </w:r>
      <w:r>
        <w:rPr>
          <w:rtl w:val="true"/>
        </w:rPr>
        <w:t>: "</w:t>
      </w:r>
      <w:r>
        <w:rPr>
          <w:rtl w:val="true"/>
        </w:rPr>
        <w:t xml:space="preserve">מי שנתקיימו בו סימנים גלויים לעין הקושרים אותו לישראל </w:t>
      </w:r>
      <w:r>
        <w:rPr>
          <w:rtl w:val="true"/>
        </w:rPr>
        <w:t>(</w:t>
      </w:r>
      <w:r>
        <w:rPr>
          <w:rtl w:val="true"/>
        </w:rPr>
        <w:t>מבחן אובייקטיבי</w:t>
      </w:r>
      <w:r>
        <w:rPr>
          <w:rtl w:val="true"/>
        </w:rPr>
        <w:t xml:space="preserve">), </w:t>
      </w:r>
      <w:r>
        <w:rPr>
          <w:rtl w:val="true"/>
        </w:rPr>
        <w:t>ובה בעת נמצאה בו גם כוונה לקשור את גורלו עם ישראל</w:t>
      </w:r>
      <w:r>
        <w:rPr>
          <w:rtl w:val="true"/>
        </w:rPr>
        <w:t xml:space="preserve">, </w:t>
      </w:r>
      <w:r>
        <w:rPr>
          <w:rtl w:val="true"/>
        </w:rPr>
        <w:t xml:space="preserve">להמשיך ולחיות בה דרך קבע או ללא הגבלת זמן ולהופכה למרכז חייו </w:t>
      </w:r>
      <w:r>
        <w:rPr>
          <w:rtl w:val="true"/>
        </w:rPr>
        <w:t>(</w:t>
      </w:r>
      <w:r>
        <w:rPr>
          <w:rtl w:val="true"/>
        </w:rPr>
        <w:t>מבחן סובייקטיבי</w:t>
      </w:r>
      <w:r>
        <w:rPr>
          <w:rtl w:val="true"/>
        </w:rPr>
        <w:t>)"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2521/03</w:t>
        </w:r>
        <w:r>
          <w:rPr>
            <w:rStyle w:val="Hyperlink"/>
            <w:color w:val="0000FF"/>
            <w:u w:val="single"/>
            <w:rtl w:val="true"/>
          </w:rPr>
          <w:t xml:space="preserve"> </w:t>
        </w:r>
        <w:r>
          <w:rPr>
            <w:rStyle w:val="Hyperlink"/>
            <w:color w:val="0000FF"/>
            <w:u w:val="single"/>
            <w:rtl w:val="true"/>
          </w:rPr>
          <w:t>סירקיס</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w:t>
      </w:r>
      <w:r>
        <w:rPr/>
        <w:t>6</w:t>
      </w:r>
      <w:r>
        <w:rPr>
          <w:rtl w:val="true"/>
        </w:rPr>
        <w:t xml:space="preserve">) </w:t>
      </w:r>
      <w:r>
        <w:rPr/>
        <w:t>337</w:t>
      </w:r>
      <w:r>
        <w:rPr>
          <w:rtl w:val="true"/>
        </w:rPr>
        <w:t xml:space="preserve">, </w:t>
      </w:r>
      <w:r>
        <w:rPr/>
        <w:t>355</w:t>
      </w:r>
      <w:r>
        <w:rPr>
          <w:rtl w:val="true"/>
        </w:rPr>
        <w:t xml:space="preserve"> (</w:t>
      </w:r>
      <w:r>
        <w:rPr/>
        <w:t>2003</w:t>
      </w:r>
      <w:r>
        <w:rPr>
          <w:rtl w:val="true"/>
        </w:rPr>
        <w:t xml:space="preserve">)). </w:t>
      </w:r>
      <w:r>
        <w:rPr>
          <w:rtl w:val="true"/>
        </w:rPr>
        <w:t>הכלל הוא כי נטל השכנוע בדבר אי</w:t>
      </w:r>
      <w:r>
        <w:rPr>
          <w:rtl w:val="true"/>
        </w:rPr>
        <w:t>-</w:t>
      </w:r>
      <w:r>
        <w:rPr>
          <w:rtl w:val="true"/>
        </w:rPr>
        <w:t>תושבות של מועמד להסגרה מוטל על היועץ המשפטי לממשלה</w:t>
      </w:r>
      <w:r>
        <w:rPr>
          <w:rtl w:val="true"/>
        </w:rPr>
        <w:t xml:space="preserve">, </w:t>
      </w:r>
      <w:r>
        <w:rPr>
          <w:rtl w:val="true"/>
        </w:rPr>
        <w:t xml:space="preserve">המערער בענייננו </w:t>
      </w:r>
      <w:r>
        <w:rPr>
          <w:rtl w:val="true"/>
        </w:rPr>
        <w:t>(</w:t>
      </w:r>
      <w:r>
        <w:rPr>
          <w:rtl w:val="true"/>
        </w:rPr>
        <w:t xml:space="preserve">עניין </w:t>
      </w:r>
      <w:r>
        <w:rPr>
          <w:rFonts w:ascii="Century" w:hAnsi="Century" w:cs="Miriam"/>
          <w:b/>
          <w:b/>
          <w:spacing w:val="0"/>
          <w:sz w:val="22"/>
          <w:sz w:val="22"/>
          <w:szCs w:val="24"/>
          <w:rtl w:val="true"/>
        </w:rPr>
        <w:t>הרוש</w:t>
      </w:r>
      <w:r>
        <w:rPr>
          <w:rtl w:val="true"/>
        </w:rPr>
        <w:t xml:space="preserve">, </w:t>
      </w:r>
      <w:r>
        <w:rPr>
          <w:rtl w:val="true"/>
        </w:rPr>
        <w:t>עמ</w:t>
      </w:r>
      <w:r>
        <w:rPr>
          <w:rtl w:val="true"/>
        </w:rPr>
        <w:t xml:space="preserve">' </w:t>
      </w:r>
      <w:r>
        <w:rPr/>
        <w:t>126</w:t>
      </w:r>
      <w:r>
        <w:rPr>
          <w:rtl w:val="true"/>
        </w:rPr>
        <w:t xml:space="preserve">). </w:t>
      </w:r>
      <w:r>
        <w:rPr>
          <w:rtl w:val="true"/>
        </w:rPr>
        <w:t>רק משעמד היועץ המשפטי לממשלה בנטל זה</w:t>
      </w:r>
      <w:r>
        <w:rPr>
          <w:rtl w:val="true"/>
        </w:rPr>
        <w:t xml:space="preserve">, </w:t>
      </w:r>
      <w:r>
        <w:rPr>
          <w:rtl w:val="true"/>
        </w:rPr>
        <w:t xml:space="preserve">עובר נטל הבאת הראיות למועמד להסגרה לסתור את המסקנה הנלמדת מן העובדות שהוכחו </w:t>
      </w:r>
      <w:r>
        <w:rPr>
          <w:rtl w:val="true"/>
        </w:rPr>
        <w:t>(</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1548/02</w:t>
        </w:r>
        <w:r>
          <w:rPr>
            <w:rStyle w:val="Hyperlink"/>
            <w:color w:val="0000FF"/>
            <w:u w:val="single"/>
            <w:rtl w:val="true"/>
          </w:rPr>
          <w:t xml:space="preserve"> </w:t>
        </w:r>
        <w:r>
          <w:rPr>
            <w:rStyle w:val="Hyperlink"/>
            <w:color w:val="0000FF"/>
            <w:u w:val="single"/>
            <w:rtl w:val="true"/>
          </w:rPr>
          <w:t>בן</w:t>
        </w:r>
        <w:r>
          <w:rPr>
            <w:rStyle w:val="Hyperlink"/>
            <w:color w:val="0000FF"/>
            <w:u w:val="single"/>
            <w:rtl w:val="true"/>
          </w:rPr>
          <w:t xml:space="preserve"> </w:t>
        </w:r>
        <w:r>
          <w:rPr>
            <w:rStyle w:val="Hyperlink"/>
            <w:color w:val="0000FF"/>
            <w:u w:val="single"/>
            <w:rtl w:val="true"/>
          </w:rPr>
          <w:t>דוד</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היועץ</w:t>
        </w:r>
        <w:r>
          <w:rPr>
            <w:rStyle w:val="Hyperlink"/>
            <w:color w:val="0000FF"/>
            <w:u w:val="single"/>
            <w:rtl w:val="true"/>
          </w:rPr>
          <w:t xml:space="preserve"> </w:t>
        </w:r>
        <w:r>
          <w:rPr>
            <w:rStyle w:val="Hyperlink"/>
            <w:color w:val="0000FF"/>
            <w:u w:val="single"/>
            <w:rtl w:val="true"/>
          </w:rPr>
          <w:t>המשפטי</w:t>
        </w:r>
        <w:r>
          <w:rPr>
            <w:rStyle w:val="Hyperlink"/>
            <w:color w:val="0000FF"/>
            <w:u w:val="single"/>
            <w:rtl w:val="true"/>
          </w:rPr>
          <w:t xml:space="preserve"> </w:t>
        </w:r>
        <w:r>
          <w:rPr>
            <w:rStyle w:val="Hyperlink"/>
            <w:color w:val="0000FF"/>
            <w:u w:val="single"/>
            <w:rtl w:val="true"/>
          </w:rPr>
          <w:t>לממשלה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248</w:t>
      </w:r>
      <w:r>
        <w:rPr>
          <w:rtl w:val="true"/>
        </w:rPr>
        <w:t xml:space="preserve">, </w:t>
      </w:r>
      <w:r>
        <w:rPr/>
        <w:t>253</w:t>
      </w:r>
      <w:r>
        <w:rPr>
          <w:rtl w:val="true"/>
        </w:rPr>
        <w:t xml:space="preserve"> (</w:t>
      </w:r>
      <w:r>
        <w:rPr/>
        <w:t>2002</w:t>
      </w:r>
      <w:r>
        <w:rPr>
          <w:rtl w:val="true"/>
        </w:rPr>
        <w:t xml:space="preserve">)). </w:t>
      </w:r>
      <w:r>
        <w:rPr>
          <w:rtl w:val="true"/>
        </w:rPr>
        <w:t>השאלה אם עמד היועץ המשפטי לממשלה בנטל המוטל עליו</w:t>
      </w:r>
      <w:r>
        <w:rPr>
          <w:rtl w:val="true"/>
        </w:rPr>
        <w:t xml:space="preserve">, </w:t>
      </w:r>
      <w:r>
        <w:rPr>
          <w:rtl w:val="true"/>
        </w:rPr>
        <w:t>לשכנע בדבר קיומה או היעדרה של זיקת המועמד להסגרה לישראל בעת הרלוונטית</w:t>
      </w:r>
      <w:r>
        <w:rPr>
          <w:rtl w:val="true"/>
        </w:rPr>
        <w:t xml:space="preserve">, </w:t>
      </w:r>
      <w:r>
        <w:rPr>
          <w:rtl w:val="true"/>
        </w:rPr>
        <w:t xml:space="preserve">כמו גם השאלה אם </w:t>
      </w:r>
      <w:r>
        <w:rPr>
          <w:rtl w:val="true"/>
        </w:rPr>
        <w:t>–</w:t>
      </w:r>
      <w:r>
        <w:rPr>
          <w:rtl w:val="true"/>
        </w:rPr>
        <w:t xml:space="preserve"> לאחר העברת הנטל </w:t>
      </w:r>
      <w:r>
        <w:rPr>
          <w:rtl w:val="true"/>
        </w:rPr>
        <w:t>–</w:t>
      </w:r>
      <w:r>
        <w:rPr>
          <w:rtl w:val="true"/>
        </w:rPr>
        <w:t xml:space="preserve"> עמד המועמד להסגרה בנטל הרובץ על כתפיו</w:t>
      </w:r>
      <w:r>
        <w:rPr>
          <w:rtl w:val="true"/>
        </w:rPr>
        <w:t xml:space="preserve">, </w:t>
      </w:r>
      <w:r>
        <w:rPr>
          <w:rtl w:val="true"/>
        </w:rPr>
        <w:t xml:space="preserve">הן שאלות שהתשובה להן מתבססת כולה על ממצאי עובדה ומהימנות שאין זו דרכה של ערכאת הערעור להתערב בהן </w:t>
      </w:r>
      <w:r>
        <w:rPr>
          <w:rtl w:val="true"/>
        </w:rPr>
        <w:t>(</w:t>
      </w:r>
      <w:r>
        <w:rPr>
          <w:rtl w:val="true"/>
        </w:rPr>
        <w:t>ראו למשל</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4333/10</w:t>
        </w:r>
      </w:hyperlink>
      <w:r>
        <w:rPr>
          <w:rtl w:val="true"/>
        </w:rPr>
        <w:t xml:space="preserve"> </w:t>
      </w:r>
      <w:r>
        <w:rPr>
          <w:rFonts w:ascii="Century" w:hAnsi="Century" w:cs="Miriam"/>
          <w:b/>
          <w:b/>
          <w:spacing w:val="0"/>
          <w:sz w:val="22"/>
          <w:sz w:val="22"/>
          <w:szCs w:val="24"/>
          <w:rtl w:val="true"/>
        </w:rPr>
        <w:t>לביא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פסקה י</w:t>
      </w:r>
      <w:r>
        <w:rPr>
          <w:rtl w:val="true"/>
        </w:rPr>
        <w:t>"</w:t>
      </w:r>
      <w:r>
        <w:rPr>
          <w:rtl w:val="true"/>
        </w:rPr>
        <w:t xml:space="preserve">ט </w:t>
      </w:r>
      <w:r>
        <w:rPr>
          <w:rtl w:val="true"/>
        </w:rPr>
        <w:t>(</w:t>
      </w:r>
      <w:r>
        <w:rPr/>
        <w:t>13.2.2011</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בית המשפט המחוזי נתן דעתו למכלול הנתונים הרלוונטיים לעניין</w:t>
      </w:r>
      <w:r>
        <w:rPr>
          <w:rtl w:val="true"/>
        </w:rPr>
        <w:t xml:space="preserve">, </w:t>
      </w:r>
      <w:r>
        <w:rPr>
          <w:rtl w:val="true"/>
        </w:rPr>
        <w:t>ולאחר שנשמעו עדויות מטעם המשיב</w:t>
      </w:r>
      <w:r>
        <w:rPr>
          <w:rtl w:val="true"/>
        </w:rPr>
        <w:t xml:space="preserve">, </w:t>
      </w:r>
      <w:r>
        <w:rPr>
          <w:rtl w:val="true"/>
        </w:rPr>
        <w:t>ונבחנו כלל המסמכים שהוגשו</w:t>
      </w:r>
      <w:r>
        <w:rPr>
          <w:rtl w:val="true"/>
        </w:rPr>
        <w:t xml:space="preserve">, </w:t>
      </w:r>
      <w:r>
        <w:rPr>
          <w:rtl w:val="true"/>
        </w:rPr>
        <w:t>נמצא כי לא הורם הנטל על ידי המערער וכי הנתונים על פיהם התגורר המשיב בצ</w:t>
      </w:r>
      <w:r>
        <w:rPr>
          <w:rtl w:val="true"/>
        </w:rPr>
        <w:t>'</w:t>
      </w:r>
      <w:r>
        <w:rPr>
          <w:rtl w:val="true"/>
        </w:rPr>
        <w:t>כיה לתקופה קצרה אין בהם כדי לנתק את זיקתו העמוקה לישראל</w:t>
      </w:r>
      <w:r>
        <w:rPr>
          <w:rtl w:val="true"/>
        </w:rPr>
        <w:t xml:space="preserve">. </w:t>
      </w:r>
      <w:r>
        <w:rPr>
          <w:rtl w:val="true"/>
        </w:rPr>
        <w:t>בין היתר</w:t>
      </w:r>
      <w:r>
        <w:rPr>
          <w:rtl w:val="true"/>
        </w:rPr>
        <w:t xml:space="preserve">, </w:t>
      </w:r>
      <w:r>
        <w:rPr>
          <w:rtl w:val="true"/>
        </w:rPr>
        <w:t xml:space="preserve">ניתן משקל משמעותי לכך שאין חולק כי המשיב התגורר בישראל משנת </w:t>
      </w:r>
      <w:r>
        <w:rPr/>
        <w:t>1980</w:t>
      </w:r>
      <w:r>
        <w:rPr>
          <w:rtl w:val="true"/>
        </w:rPr>
        <w:t xml:space="preserve"> (</w:t>
      </w:r>
      <w:r>
        <w:rPr>
          <w:rtl w:val="true"/>
        </w:rPr>
        <w:t>ואין מדובר במי אשר התגורר בארץ אחרת ומבקש לטעון לתושבות בשל שהות קצרה בישראל</w:t>
      </w:r>
      <w:r>
        <w:rPr>
          <w:rtl w:val="true"/>
        </w:rPr>
        <w:t xml:space="preserve">), </w:t>
      </w:r>
      <w:r>
        <w:rPr>
          <w:rtl w:val="true"/>
        </w:rPr>
        <w:t>הקים משפחה בישראל וכל בני משפחתו מתגוררים בישראל</w:t>
      </w:r>
      <w:r>
        <w:rPr>
          <w:rtl w:val="true"/>
        </w:rPr>
        <w:t xml:space="preserve">. </w:t>
      </w:r>
      <w:r>
        <w:rPr>
          <w:rtl w:val="true"/>
        </w:rPr>
        <w:t>בית המשפט גם התייחס לנתונים על פיהם עולה כי יתכן שהיה בדעתו של המערער לקבוע את מרכז חייו בצ</w:t>
      </w:r>
      <w:r>
        <w:rPr>
          <w:rtl w:val="true"/>
        </w:rPr>
        <w:t>'</w:t>
      </w:r>
      <w:r>
        <w:rPr>
          <w:rtl w:val="true"/>
        </w:rPr>
        <w:t>כיה</w:t>
      </w:r>
      <w:r>
        <w:rPr>
          <w:rtl w:val="true"/>
        </w:rPr>
        <w:t xml:space="preserve">, </w:t>
      </w:r>
      <w:r>
        <w:rPr>
          <w:rtl w:val="true"/>
        </w:rPr>
        <w:t>אך הבהיר כי הלכה למעשה נוכח העובדה שלא חלפה תקופה מספקת המלמדת כי העתיק את מרכז חייו לצ</w:t>
      </w:r>
      <w:r>
        <w:rPr>
          <w:rtl w:val="true"/>
        </w:rPr>
        <w:t>'</w:t>
      </w:r>
      <w:r>
        <w:rPr>
          <w:rtl w:val="true"/>
        </w:rPr>
        <w:t>כיה</w:t>
      </w:r>
      <w:r>
        <w:rPr>
          <w:rtl w:val="true"/>
        </w:rPr>
        <w:t xml:space="preserve">, </w:t>
      </w:r>
      <w:r>
        <w:rPr>
          <w:rtl w:val="true"/>
        </w:rPr>
        <w:t>אין מקום ליתן לכך משקל</w:t>
      </w:r>
      <w:r>
        <w:rPr>
          <w:rtl w:val="true"/>
        </w:rPr>
        <w:t xml:space="preserve">. </w:t>
      </w:r>
      <w:r>
        <w:rPr>
          <w:rtl w:val="true"/>
        </w:rPr>
        <w:t>לאור האמור</w:t>
      </w:r>
      <w:r>
        <w:rPr>
          <w:rtl w:val="true"/>
        </w:rPr>
        <w:t xml:space="preserve">, </w:t>
      </w:r>
      <w:r>
        <w:rPr>
          <w:rtl w:val="true"/>
        </w:rPr>
        <w:t>קביעה זו של בית המשפט המחוזי כי המערער לא עמד בנטל המוטל עליו</w:t>
      </w:r>
      <w:r>
        <w:rPr>
          <w:rtl w:val="true"/>
        </w:rPr>
        <w:t xml:space="preserve">, </w:t>
      </w:r>
      <w:r>
        <w:rPr>
          <w:rtl w:val="true"/>
        </w:rPr>
        <w:t xml:space="preserve">בעוד המשיב עמד בנטל להוכיח כי היה תושב ישראל </w:t>
      </w:r>
      <w:r>
        <w:rPr>
          <w:rtl w:val="true"/>
        </w:rPr>
        <w:t>(</w:t>
      </w:r>
      <w:r>
        <w:rPr>
          <w:rtl w:val="true"/>
        </w:rPr>
        <w:t>אף אם היה עובר אליו הנטל</w:t>
      </w:r>
      <w:r>
        <w:rPr>
          <w:rtl w:val="true"/>
        </w:rPr>
        <w:t xml:space="preserve">) </w:t>
      </w:r>
      <w:r>
        <w:rPr>
          <w:rtl w:val="true"/>
        </w:rPr>
        <w:t>אינה מקימה בנסיבות אלו כל עילה להתערבותנו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כאמור</w:t>
      </w:r>
      <w:r>
        <w:rPr>
          <w:rtl w:val="true"/>
        </w:rPr>
        <w:t xml:space="preserve">, </w:t>
      </w:r>
      <w:r>
        <w:rPr>
          <w:rtl w:val="true"/>
        </w:rPr>
        <w:t>המערער טען עוד כי קביעת בית המשפט המחוזי על פיה ניתן ליתן אמון בדברי המשיב</w:t>
      </w:r>
      <w:r>
        <w:rPr>
          <w:rtl w:val="true"/>
        </w:rPr>
        <w:t xml:space="preserve">, </w:t>
      </w:r>
      <w:r>
        <w:rPr>
          <w:rtl w:val="true"/>
        </w:rPr>
        <w:t>מעוררת קושי של ממש</w:t>
      </w:r>
      <w:r>
        <w:rPr>
          <w:rtl w:val="true"/>
        </w:rPr>
        <w:t xml:space="preserve">. </w:t>
      </w:r>
      <w:r>
        <w:rPr>
          <w:rtl w:val="true"/>
        </w:rPr>
        <w:t>אלא שבית המשפט עצמו התייחס לקושי האמור</w:t>
      </w:r>
      <w:r>
        <w:rPr>
          <w:rtl w:val="true"/>
        </w:rPr>
        <w:t xml:space="preserve">, </w:t>
      </w:r>
      <w:r>
        <w:rPr>
          <w:rtl w:val="true"/>
        </w:rPr>
        <w:t>בהתחשב בין היתר בשקריו של המשיב ובסתירות שנתגלו בין עדותו לבין עדויות העדים שהובאו מטעמו</w:t>
      </w:r>
      <w:r>
        <w:rPr>
          <w:rtl w:val="true"/>
        </w:rPr>
        <w:t xml:space="preserve">. </w:t>
      </w:r>
      <w:r>
        <w:rPr>
          <w:rtl w:val="true"/>
        </w:rPr>
        <w:t>בית המשפט המחוזי לא התעלם אפוא מהבעייתיות המתגלה בדברי המשיב</w:t>
      </w:r>
      <w:r>
        <w:rPr>
          <w:rtl w:val="true"/>
        </w:rPr>
        <w:t xml:space="preserve">. </w:t>
      </w:r>
      <w:r>
        <w:rPr>
          <w:rtl w:val="true"/>
        </w:rPr>
        <w:t>יתר על כן</w:t>
      </w:r>
      <w:r>
        <w:rPr>
          <w:rtl w:val="true"/>
        </w:rPr>
        <w:t xml:space="preserve">, </w:t>
      </w:r>
      <w:r>
        <w:rPr>
          <w:rtl w:val="true"/>
        </w:rPr>
        <w:t>סבור אני כי בצדק גם נקבע כי חלוף הזמן למן המועד שבו הוגשה בקשת ההסגרה מצ</w:t>
      </w:r>
      <w:r>
        <w:rPr>
          <w:rtl w:val="true"/>
        </w:rPr>
        <w:t>'</w:t>
      </w:r>
      <w:r>
        <w:rPr>
          <w:rtl w:val="true"/>
        </w:rPr>
        <w:t>כיה ועד למועד שהוגשה העתירה יוצר אף הוא קושי ניכר בהשגת ראיות אובייקטיביות</w:t>
      </w:r>
      <w:r>
        <w:rPr>
          <w:rtl w:val="true"/>
        </w:rPr>
        <w:t xml:space="preserve">. </w:t>
      </w:r>
      <w:r>
        <w:rPr>
          <w:rtl w:val="true"/>
        </w:rPr>
        <w:t>קשה גם לקבל את תשובת בא</w:t>
      </w:r>
      <w:r>
        <w:rPr>
          <w:rtl w:val="true"/>
        </w:rPr>
        <w:t>-</w:t>
      </w:r>
      <w:r>
        <w:rPr>
          <w:rtl w:val="true"/>
        </w:rPr>
        <w:t>כוח המערער בדיון שלפנינו</w:t>
      </w:r>
      <w:r>
        <w:rPr>
          <w:rtl w:val="true"/>
        </w:rPr>
        <w:t xml:space="preserve">, </w:t>
      </w:r>
      <w:r>
        <w:rPr>
          <w:rtl w:val="true"/>
        </w:rPr>
        <w:t>כי ההתמהמהות בהגשת העתירה נעוצה הייתה בסוגיית התושבות אשר נבחנה במשך זמן רב</w:t>
      </w:r>
      <w:r>
        <w:rPr>
          <w:rtl w:val="true"/>
        </w:rPr>
        <w:t xml:space="preserve">. </w:t>
      </w:r>
      <w:r>
        <w:rPr>
          <w:rtl w:val="true"/>
        </w:rPr>
        <w:t>זאת נוכח השיהוי הדרמטי של שש וחצי שנים המשליך באופן משמעותי על הליך ההסגרה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עוד יש להוסיף כי טענת המערער</w:t>
      </w:r>
      <w:r>
        <w:rPr>
          <w:rtl w:val="true"/>
        </w:rPr>
        <w:t xml:space="preserve">, </w:t>
      </w:r>
      <w:r>
        <w:rPr>
          <w:rtl w:val="true"/>
        </w:rPr>
        <w:t>המבקש לעטות על ערעורו אצטלה של טענות משפטיות</w:t>
      </w:r>
      <w:r>
        <w:rPr>
          <w:rtl w:val="true"/>
        </w:rPr>
        <w:t xml:space="preserve">, </w:t>
      </w:r>
      <w:r>
        <w:rPr>
          <w:rtl w:val="true"/>
        </w:rPr>
        <w:t>זאת בטענה כי די ב</w:t>
      </w:r>
      <w:r>
        <w:rPr>
          <w:rtl w:val="true"/>
        </w:rPr>
        <w:t>"</w:t>
      </w:r>
      <w:r>
        <w:rPr>
          <w:rtl w:val="true"/>
        </w:rPr>
        <w:t>הבאת ראיות שמשקלן זעום</w:t>
      </w:r>
      <w:r>
        <w:rPr>
          <w:rtl w:val="true"/>
        </w:rPr>
        <w:t xml:space="preserve">" </w:t>
      </w:r>
      <w:r>
        <w:rPr>
          <w:rtl w:val="true"/>
        </w:rPr>
        <w:t>לצורך הרמת הנטל ורק מטעם זה יש מקום להתערבות בית משפט זה בקביעת בית המשפט המחוזי</w:t>
      </w:r>
      <w:r>
        <w:rPr>
          <w:rtl w:val="true"/>
        </w:rPr>
        <w:t xml:space="preserve">, </w:t>
      </w:r>
      <w:r>
        <w:rPr>
          <w:rtl w:val="true"/>
        </w:rPr>
        <w:t>אינה ניתנת להתקבל</w:t>
      </w:r>
      <w:r>
        <w:rPr>
          <w:rtl w:val="true"/>
        </w:rPr>
        <w:t xml:space="preserve">. </w:t>
      </w:r>
      <w:r>
        <w:rPr>
          <w:rtl w:val="true"/>
        </w:rPr>
        <w:t>בית המשפט המחוזי לא סטה מהכללים שנקבעו בעניין זה</w:t>
      </w:r>
      <w:r>
        <w:rPr>
          <w:rtl w:val="true"/>
        </w:rPr>
        <w:t xml:space="preserve">. </w:t>
      </w:r>
      <w:r>
        <w:rPr>
          <w:rtl w:val="true"/>
        </w:rPr>
        <w:t>אכן</w:t>
      </w:r>
      <w:r>
        <w:rPr>
          <w:rtl w:val="true"/>
        </w:rPr>
        <w:t xml:space="preserve">, </w:t>
      </w:r>
      <w:r>
        <w:rPr>
          <w:rtl w:val="true"/>
        </w:rPr>
        <w:t xml:space="preserve">גם אם יש מקום להקל במידה מסוימת עם הנושא בנטל השכנוע בשלב הראשון </w:t>
      </w:r>
      <w:r>
        <w:rPr>
          <w:rtl w:val="true"/>
        </w:rPr>
        <w:t>(</w:t>
      </w:r>
      <w:r>
        <w:rPr>
          <w:rtl w:val="true"/>
        </w:rPr>
        <w:t>ראו</w:t>
      </w:r>
      <w:r>
        <w:rPr>
          <w:rtl w:val="true"/>
        </w:rPr>
        <w:t xml:space="preserve">: </w:t>
      </w:r>
      <w:hyperlink r:id="rId2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8612/00</w:t>
        </w:r>
        <w:r>
          <w:rPr>
            <w:rStyle w:val="Hyperlink"/>
            <w:color w:val="0000FF"/>
            <w:u w:val="single"/>
            <w:rtl w:val="true"/>
          </w:rPr>
          <w:t xml:space="preserve"> </w:t>
        </w:r>
        <w:r>
          <w:rPr>
            <w:rStyle w:val="Hyperlink"/>
            <w:color w:val="0000FF"/>
            <w:u w:val="single"/>
            <w:rtl w:val="true"/>
          </w:rPr>
          <w:t>ברגר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היועץ</w:t>
        </w:r>
        <w:r>
          <w:rPr>
            <w:rStyle w:val="Hyperlink"/>
            <w:color w:val="0000FF"/>
            <w:u w:val="single"/>
            <w:rtl w:val="true"/>
          </w:rPr>
          <w:t xml:space="preserve"> </w:t>
        </w:r>
        <w:r>
          <w:rPr>
            <w:rStyle w:val="Hyperlink"/>
            <w:color w:val="0000FF"/>
            <w:u w:val="single"/>
            <w:rtl w:val="true"/>
          </w:rPr>
          <w:t>המשפטי</w:t>
        </w:r>
        <w:r>
          <w:rPr>
            <w:rStyle w:val="Hyperlink"/>
            <w:color w:val="0000FF"/>
            <w:u w:val="single"/>
            <w:rtl w:val="true"/>
          </w:rPr>
          <w:t xml:space="preserve"> </w:t>
        </w:r>
        <w:r>
          <w:rPr>
            <w:rStyle w:val="Hyperlink"/>
            <w:color w:val="0000FF"/>
            <w:u w:val="single"/>
            <w:rtl w:val="true"/>
          </w:rPr>
          <w:t>לממשלה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נה</w:t>
        </w:r>
      </w:hyperlink>
      <w:r>
        <w:rPr>
          <w:rtl w:val="true"/>
        </w:rPr>
        <w:t>(</w:t>
      </w:r>
      <w:r>
        <w:rPr/>
        <w:t>5</w:t>
      </w:r>
      <w:r>
        <w:rPr>
          <w:rtl w:val="true"/>
        </w:rPr>
        <w:t xml:space="preserve">) </w:t>
      </w:r>
      <w:r>
        <w:rPr/>
        <w:t>439</w:t>
      </w:r>
      <w:r>
        <w:rPr>
          <w:rtl w:val="true"/>
        </w:rPr>
        <w:t xml:space="preserve">, </w:t>
      </w:r>
      <w:r>
        <w:rPr/>
        <w:t>456</w:t>
      </w:r>
      <w:r>
        <w:rPr>
          <w:rtl w:val="true"/>
        </w:rPr>
        <w:t xml:space="preserve"> (</w:t>
      </w:r>
      <w:r>
        <w:rPr/>
        <w:t>2001</w:t>
      </w:r>
      <w:r>
        <w:rPr>
          <w:rtl w:val="true"/>
        </w:rPr>
        <w:t xml:space="preserve">)), </w:t>
      </w:r>
      <w:r>
        <w:rPr>
          <w:rtl w:val="true"/>
        </w:rPr>
        <w:t>הרי שלא ניתן לקבל את טענת המערער כי די לצורך הרמת הנטל בראיות שמשקלן מזערי</w:t>
      </w:r>
      <w:r>
        <w:rPr>
          <w:rtl w:val="true"/>
        </w:rPr>
        <w:t xml:space="preserve">. </w:t>
      </w:r>
      <w:r>
        <w:rPr>
          <w:rtl w:val="true"/>
        </w:rPr>
        <w:t>אוסיף כי יש גם רגליים לסברה שבמקום שבו מדובר באדם שאין חולק שהיה תושב ישראל עובר לביצוע העבירות על ידו מחוץ לישראל</w:t>
      </w:r>
      <w:r>
        <w:rPr>
          <w:rtl w:val="true"/>
        </w:rPr>
        <w:t xml:space="preserve">, </w:t>
      </w:r>
      <w:r>
        <w:rPr>
          <w:rtl w:val="true"/>
        </w:rPr>
        <w:t>והשאלה העומדת על הפרק היא שינוי התושבות לארץ זרה</w:t>
      </w:r>
      <w:r>
        <w:rPr>
          <w:rtl w:val="true"/>
        </w:rPr>
        <w:t xml:space="preserve">, </w:t>
      </w:r>
      <w:r>
        <w:rPr>
          <w:rtl w:val="true"/>
        </w:rPr>
        <w:t>הנטל המוטל על כתפי המערער גדול יותר מזעום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בשולי ערעורו מלין המערער גם על החלטת בית המשפט המחוזי להורות על ריצוי עונשו של המערער בישראל בטענה כי לא היה מקום לבחון את האפשרות להורות על ריצוי העונש בישראל כאופציה חלופית לאפשרות ההסגרה</w:t>
      </w:r>
      <w:r>
        <w:rPr>
          <w:rtl w:val="true"/>
        </w:rPr>
        <w:t xml:space="preserve">. </w:t>
      </w:r>
      <w:r>
        <w:rPr>
          <w:rtl w:val="true"/>
        </w:rPr>
        <w:t>ברם</w:t>
      </w:r>
      <w:r>
        <w:rPr>
          <w:rtl w:val="true"/>
        </w:rPr>
        <w:t xml:space="preserve">, </w:t>
      </w:r>
      <w:r>
        <w:rPr>
          <w:rtl w:val="true"/>
        </w:rPr>
        <w:t>שעה שבבקשת ההסגרה הובהר על ידי ממשלת צ</w:t>
      </w:r>
      <w:r>
        <w:rPr>
          <w:rtl w:val="true"/>
        </w:rPr>
        <w:t>'</w:t>
      </w:r>
      <w:r>
        <w:rPr>
          <w:rtl w:val="true"/>
        </w:rPr>
        <w:t>כיה כי בקשתם כוללת אופציה חלופית של ריצוי עונש המאסר בישראל</w:t>
      </w:r>
      <w:r>
        <w:rPr>
          <w:rtl w:val="true"/>
        </w:rPr>
        <w:t xml:space="preserve">, </w:t>
      </w:r>
      <w:r>
        <w:rPr>
          <w:rtl w:val="true"/>
        </w:rPr>
        <w:t>אינני סבור כי יש מקום להידרש לטענת המערער בעניין זה</w:t>
      </w:r>
      <w:r>
        <w:rPr>
          <w:rtl w:val="true"/>
        </w:rPr>
        <w:t>.</w:t>
      </w:r>
    </w:p>
    <w:p>
      <w:pPr>
        <w:pStyle w:val="Ruller42"/>
        <w:numPr>
          <w:ilvl w:val="0"/>
          <w:numId w:val="0"/>
        </w:numPr>
        <w:ind w:hanging="0" w:start="0" w:end="0"/>
        <w:jc w:val="both"/>
        <w:rPr/>
      </w:pPr>
      <w:r>
        <w:rPr>
          <w:rFonts w:eastAsia="Garamond"/>
          <w:rtl w:val="true"/>
        </w:rPr>
        <w:t xml:space="preserve"> </w:t>
      </w:r>
    </w:p>
    <w:p>
      <w:pPr>
        <w:pStyle w:val="Ruller41"/>
        <w:ind w:end="0"/>
        <w:jc w:val="both"/>
        <w:rPr/>
      </w:pPr>
      <w:r>
        <w:rPr>
          <w:rtl w:val="true"/>
        </w:rPr>
        <w:tab/>
      </w:r>
      <w:r>
        <w:rPr>
          <w:rtl w:val="true"/>
        </w:rPr>
        <w:t>על</w:t>
      </w:r>
      <w:r>
        <w:rPr>
          <w:rFonts w:eastAsia="Arial TUR;Arial" w:cs="Arial TUR;Arial"/>
          <w:rtl w:val="true"/>
        </w:rPr>
        <w:t xml:space="preserve"> </w:t>
      </w:r>
      <w:r>
        <w:rPr>
          <w:rtl w:val="true"/>
        </w:rPr>
        <w:t>כן</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האמור</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tl w:val="true"/>
        </w:rPr>
        <w:t xml:space="preserve">, </w:t>
      </w:r>
      <w:r>
        <w:rPr>
          <w:rtl w:val="true"/>
        </w:rPr>
        <w:t>הערעור</w:t>
      </w:r>
      <w:r>
        <w:rPr>
          <w:rFonts w:eastAsia="Arial TUR;Arial" w:cs="Arial TUR;Arial"/>
          <w:rtl w:val="true"/>
        </w:rPr>
        <w:t xml:space="preserve"> </w:t>
      </w:r>
      <w:r>
        <w:rPr>
          <w:rtl w:val="true"/>
        </w:rPr>
        <w:t>ידחה</w:t>
      </w:r>
      <w:r>
        <w:rPr>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2"/>
        <w:numPr>
          <w:ilvl w:val="0"/>
          <w:numId w:val="3"/>
        </w:numPr>
        <w:ind w:hanging="0" w:start="0" w:end="0"/>
        <w:jc w:val="both"/>
        <w:rPr/>
      </w:pPr>
      <w:r>
        <w:rPr>
          <w:rtl w:val="true"/>
        </w:rPr>
        <w:t xml:space="preserve">אני מסכים לחוות דעתו הממצה של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w:t>
      </w:r>
      <w:r>
        <w:rPr>
          <w:rtl w:val="true"/>
        </w:rPr>
        <w:t>אך אוסיף הערות קצרות משלי</w:t>
      </w:r>
      <w:r>
        <w:rPr>
          <w:rtl w:val="true"/>
        </w:rPr>
        <w:t>.</w:t>
      </w:r>
    </w:p>
    <w:p>
      <w:pPr>
        <w:pStyle w:val="Ruller42"/>
        <w:numPr>
          <w:ilvl w:val="0"/>
          <w:numId w:val="1"/>
        </w:numPr>
        <w:spacing w:before="0" w:after="420"/>
        <w:ind w:hanging="0" w:start="0" w:end="0"/>
        <w:jc w:val="both"/>
        <w:rPr/>
      </w:pPr>
      <w:r>
        <w:rPr>
          <w:rtl w:val="true"/>
        </w:rPr>
        <w:t>כפי שציינתי והבעתי את עמדתי לא אחת</w:t>
      </w:r>
      <w:r>
        <w:rPr>
          <w:rtl w:val="true"/>
        </w:rPr>
        <w:t xml:space="preserve">, </w:t>
      </w:r>
      <w:r>
        <w:rPr>
          <w:rtl w:val="true"/>
        </w:rPr>
        <w:t>מדינת</w:t>
      </w:r>
      <w:r>
        <w:rPr>
          <w:rtl w:val="true"/>
        </w:rPr>
        <w:t xml:space="preserve"> </w:t>
      </w:r>
      <w:r>
        <w:rPr>
          <w:rtl w:val="true"/>
        </w:rPr>
        <w:t>ישראל</w:t>
      </w:r>
      <w:r>
        <w:rPr>
          <w:rtl w:val="true"/>
        </w:rPr>
        <w:t xml:space="preserve"> </w:t>
      </w:r>
      <w:r>
        <w:rPr>
          <w:rtl w:val="true"/>
        </w:rPr>
        <w:t>אינה</w:t>
      </w:r>
      <w:r>
        <w:rPr>
          <w:rtl w:val="true"/>
        </w:rPr>
        <w:t xml:space="preserve"> </w:t>
      </w:r>
      <w:r>
        <w:rPr>
          <w:rtl w:val="true"/>
        </w:rPr>
        <w:t>מקום</w:t>
      </w:r>
      <w:r>
        <w:rPr>
          <w:rtl w:val="true"/>
        </w:rPr>
        <w:t xml:space="preserve"> </w:t>
      </w:r>
      <w:r>
        <w:rPr>
          <w:rtl w:val="true"/>
        </w:rPr>
        <w:t>מפלט</w:t>
      </w:r>
      <w:r>
        <w:rPr>
          <w:rtl w:val="true"/>
        </w:rPr>
        <w:t xml:space="preserve"> </w:t>
      </w:r>
      <w:r>
        <w:rPr>
          <w:rtl w:val="true"/>
        </w:rPr>
        <w:t>לעבריינים</w:t>
      </w:r>
      <w:r>
        <w:rPr>
          <w:rtl w:val="true"/>
        </w:rPr>
        <w:t xml:space="preserve">. </w:t>
      </w:r>
    </w:p>
    <w:p>
      <w:pPr>
        <w:pStyle w:val="Ruller41"/>
        <w:ind w:end="0"/>
        <w:jc w:val="both"/>
        <w:rPr/>
      </w:pPr>
      <w:r>
        <w:rPr>
          <w:rtl w:val="true"/>
        </w:rPr>
        <w:tab/>
      </w:r>
      <w:r>
        <w:rPr>
          <w:rtl w:val="true"/>
        </w:rPr>
        <w:t>המחפשים</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מעונשם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ימצאו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מסתור</w:t>
      </w:r>
      <w:r>
        <w:rPr>
          <w:rtl w:val="true"/>
        </w:rPr>
        <w:t xml:space="preserve">, </w:t>
      </w:r>
      <w:r>
        <w:rPr>
          <w:rtl w:val="true"/>
        </w:rPr>
        <w:t>ובהתקיים</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הקבועים</w:t>
      </w:r>
      <w:r>
        <w:rPr>
          <w:rFonts w:eastAsia="Arial TUR;Arial" w:cs="Arial TUR;Arial"/>
          <w:rtl w:val="true"/>
        </w:rPr>
        <w:t xml:space="preserve"> </w:t>
      </w:r>
      <w:r>
        <w:rPr>
          <w:rtl w:val="true"/>
        </w:rPr>
        <w:t>ב</w:t>
      </w:r>
      <w:hyperlink r:id="rId2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tl w:val="true"/>
        </w:rPr>
        <w:t xml:space="preserve">, </w:t>
      </w:r>
      <w:r>
        <w:rPr>
          <w:rtl w:val="true"/>
        </w:rPr>
        <w:t>התשי</w:t>
      </w:r>
      <w:r>
        <w:rPr>
          <w:rtl w:val="true"/>
        </w:rPr>
        <w:t>"</w:t>
      </w:r>
      <w:r>
        <w:rPr>
          <w:rtl w:val="true"/>
        </w:rPr>
        <w:t>ד</w:t>
      </w:r>
      <w:r>
        <w:rPr>
          <w:rFonts w:ascii="Times New Roman" w:hAnsi="Times New Roman" w:cs="Times New Roman"/>
          <w:rtl w:val="true"/>
        </w:rPr>
        <w:t>–</w:t>
      </w:r>
      <w:r>
        <w:rPr/>
        <w:t>1954</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יוסגרו</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קיימות</w:t>
      </w:r>
      <w:r>
        <w:rPr>
          <w:rFonts w:eastAsia="Arial TUR;Arial" w:cs="Arial TUR;Arial"/>
          <w:rtl w:val="true"/>
        </w:rPr>
        <w:t xml:space="preserve"> </w:t>
      </w:r>
      <w:r>
        <w:rPr>
          <w:rtl w:val="true"/>
        </w:rPr>
        <w:t>מירב</w:t>
      </w:r>
      <w:r>
        <w:rPr>
          <w:rFonts w:eastAsia="Arial TUR;Arial" w:cs="Arial TUR;Arial"/>
          <w:rtl w:val="true"/>
        </w:rPr>
        <w:t xml:space="preserve"> </w:t>
      </w:r>
      <w:r>
        <w:rPr>
          <w:rtl w:val="true"/>
        </w:rPr>
        <w:t>הזיקות</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w:t>
      </w:r>
      <w:r>
        <w:rPr>
          <w:rtl w:val="true"/>
        </w:rPr>
        <w:t>שיתוף</w:t>
      </w:r>
      <w:r>
        <w:rPr>
          <w:rFonts w:eastAsia="Arial TUR;Arial" w:cs="Arial TUR;Arial"/>
          <w:rtl w:val="true"/>
        </w:rPr>
        <w:t xml:space="preserve"> </w:t>
      </w:r>
      <w:r>
        <w:rPr>
          <w:rtl w:val="true"/>
        </w:rPr>
        <w:t>ה</w:t>
      </w:r>
      <w:r>
        <w:rPr>
          <w:rtl w:val="true"/>
        </w:rPr>
        <w:t>פעולה</w:t>
      </w:r>
      <w:r>
        <w:rPr>
          <w:rFonts w:eastAsia="Arial TUR;Arial" w:cs="Arial TUR;Arial"/>
          <w:rtl w:val="true"/>
        </w:rPr>
        <w:t xml:space="preserve"> </w:t>
      </w:r>
      <w:r>
        <w:rPr>
          <w:rtl w:val="true"/>
        </w:rPr>
        <w:t>בינלאומי</w:t>
      </w:r>
      <w:r>
        <w:rPr>
          <w:rFonts w:eastAsia="Arial TUR;Arial" w:cs="Arial TUR;Arial"/>
          <w:rtl w:val="true"/>
        </w:rPr>
        <w:t xml:space="preserve"> </w:t>
      </w:r>
      <w:r>
        <w:rPr>
          <w:rtl w:val="true"/>
        </w:rPr>
        <w:t>ה</w:t>
      </w:r>
      <w:r>
        <w:rPr>
          <w:rtl w:val="true"/>
        </w:rPr>
        <w:t>ה</w:t>
      </w:r>
      <w:r>
        <w:rPr>
          <w:rtl w:val="true"/>
        </w:rPr>
        <w:t>דדי</w:t>
      </w:r>
      <w:r>
        <w:rPr>
          <w:rFonts w:eastAsia="Arial TUR;Arial" w:cs="Arial TUR;Arial"/>
          <w:rtl w:val="true"/>
        </w:rPr>
        <w:t xml:space="preserve"> </w:t>
      </w:r>
      <w:r>
        <w:rPr>
          <w:rtl w:val="true"/>
        </w:rPr>
        <w:t>במאבק</w:t>
      </w:r>
      <w:r>
        <w:rPr>
          <w:rFonts w:eastAsia="Arial TUR;Arial" w:cs="Arial TUR;Arial"/>
          <w:rtl w:val="true"/>
        </w:rPr>
        <w:t xml:space="preserve"> </w:t>
      </w:r>
      <w:r>
        <w:rPr>
          <w:rtl w:val="true"/>
        </w:rPr>
        <w:t>בפשיעה</w:t>
      </w:r>
      <w:r>
        <w:rPr>
          <w:rFonts w:eastAsia="Arial TUR;Arial" w:cs="Arial TUR;Arial"/>
          <w:rtl w:val="true"/>
        </w:rPr>
        <w:t xml:space="preserve"> </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678/19</w:t>
        </w:r>
      </w:hyperlink>
      <w:r>
        <w:rPr>
          <w:rtl w:val="true"/>
        </w:rPr>
        <w:t xml:space="preserve"> </w:t>
      </w:r>
      <w:r>
        <w:rPr>
          <w:rFonts w:ascii="Century" w:hAnsi="Century" w:cs="Miriam"/>
          <w:b/>
          <w:b/>
          <w:spacing w:val="0"/>
          <w:szCs w:val="24"/>
          <w:rtl w:val="true"/>
        </w:rPr>
        <w:t>גרוזדוב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27.1.2020</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3242/19</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אלציק</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18.8.2019</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7835/17</w:t>
        </w:r>
      </w:hyperlink>
      <w:r>
        <w:rPr>
          <w:rtl w:val="true"/>
        </w:rPr>
        <w:t xml:space="preserve"> </w:t>
      </w:r>
      <w:r>
        <w:rPr>
          <w:rFonts w:ascii="Century" w:hAnsi="Century" w:cs="Miriam"/>
          <w:b/>
          <w:b/>
          <w:spacing w:val="0"/>
          <w:szCs w:val="24"/>
          <w:rtl w:val="true"/>
        </w:rPr>
        <w:t>בלומברג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7.11.2018</w:t>
      </w:r>
      <w:r>
        <w:rPr>
          <w:rtl w:val="true"/>
        </w:rPr>
        <w:t>)</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8304/17</w:t>
        </w:r>
      </w:hyperlink>
      <w:r>
        <w:rPr>
          <w:rtl w:val="true"/>
        </w:rPr>
        <w:t xml:space="preserve"> </w:t>
      </w:r>
      <w:r>
        <w:rPr>
          <w:rFonts w:ascii="Century" w:hAnsi="Century" w:cs="Miriam"/>
          <w:b/>
          <w:b/>
          <w:spacing w:val="0"/>
          <w:szCs w:val="24"/>
          <w:rtl w:val="true"/>
        </w:rPr>
        <w:t>למפל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8.5.2018</w:t>
      </w:r>
      <w:r>
        <w:rPr>
          <w:rtl w:val="true"/>
        </w:rPr>
        <w:t>)).</w:t>
      </w:r>
    </w:p>
    <w:p>
      <w:pPr>
        <w:pStyle w:val="Ruller41"/>
        <w:ind w:end="0"/>
        <w:jc w:val="both"/>
        <w:rPr/>
      </w:pPr>
      <w:r>
        <w:rPr>
          <w:rtl w:val="true"/>
        </w:rPr>
      </w:r>
    </w:p>
    <w:p>
      <w:pPr>
        <w:pStyle w:val="Ruller41"/>
        <w:ind w:end="0"/>
        <w:jc w:val="both"/>
        <w:rPr/>
      </w:pPr>
      <w:r>
        <w:rPr>
          <w:rtl w:val="true"/>
        </w:rPr>
        <w:tab/>
      </w:r>
      <w:r>
        <w:rPr>
          <w:rtl w:val="true"/>
        </w:rPr>
        <w:t>אולם</w:t>
      </w:r>
      <w:r>
        <w:rPr>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הקבועים</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הסגרת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לצ</w:t>
      </w:r>
      <w:r>
        <w:rPr>
          <w:rtl w:val="true"/>
        </w:rPr>
        <w:t>'</w:t>
      </w:r>
      <w:r>
        <w:rPr>
          <w:rtl w:val="true"/>
        </w:rPr>
        <w:t>כיה</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tl w:val="true"/>
        </w:rPr>
        <w:t>.</w:t>
      </w:r>
    </w:p>
    <w:p>
      <w:pPr>
        <w:pStyle w:val="Ruller41"/>
        <w:ind w:end="0"/>
        <w:jc w:val="both"/>
        <w:rPr/>
      </w:pPr>
      <w:r>
        <w:rPr>
          <w:rtl w:val="true"/>
        </w:rPr>
      </w:r>
    </w:p>
    <w:p>
      <w:pPr>
        <w:pStyle w:val="Ruller42"/>
        <w:numPr>
          <w:ilvl w:val="0"/>
          <w:numId w:val="1"/>
        </w:numPr>
        <w:spacing w:before="0" w:after="420"/>
        <w:ind w:hanging="0" w:start="0" w:end="0"/>
        <w:jc w:val="both"/>
        <w:rPr/>
      </w:pPr>
      <w:r>
        <w:rPr>
          <w:rtl w:val="true"/>
        </w:rPr>
        <w:t xml:space="preserve">כאמור בחוות דעתו של חברי השופט </w:t>
      </w:r>
      <w:r>
        <w:rPr>
          <w:rFonts w:ascii="Century" w:hAnsi="Century" w:cs="Miriam"/>
          <w:b/>
          <w:b/>
          <w:spacing w:val="0"/>
          <w:sz w:val="22"/>
          <w:sz w:val="22"/>
          <w:szCs w:val="24"/>
          <w:rtl w:val="true"/>
        </w:rPr>
        <w:t>מינץ</w:t>
      </w:r>
      <w:r>
        <w:rPr>
          <w:rtl w:val="true"/>
        </w:rPr>
        <w:t xml:space="preserve">, </w:t>
      </w:r>
      <w:r>
        <w:rPr>
          <w:rtl w:val="true"/>
        </w:rPr>
        <w:t xml:space="preserve">על המערער להוכיח כי אין מתקיים בעניינו של המשיב הסייג הקבוע </w:t>
      </w:r>
      <w:hyperlink r:id="rId32">
        <w:r>
          <w:rPr>
            <w:rStyle w:val="Hyperlink"/>
            <w:rtl w:val="true"/>
          </w:rPr>
          <w:t>בסעיף</w:t>
        </w:r>
        <w:r>
          <w:rPr>
            <w:rStyle w:val="Hyperlink"/>
            <w:rtl w:val="true"/>
          </w:rPr>
          <w:t xml:space="preserve"> </w:t>
        </w:r>
        <w:r>
          <w:rPr>
            <w:rStyle w:val="Hyperlink"/>
          </w:rPr>
          <w:t>1</w:t>
        </w:r>
        <w:r>
          <w:rPr>
            <w:rStyle w:val="Hyperlink"/>
            <w:rtl w:val="true"/>
          </w:rPr>
          <w:t>א</w:t>
        </w:r>
      </w:hyperlink>
      <w:r>
        <w:rPr>
          <w:rtl w:val="true"/>
        </w:rPr>
        <w:t xml:space="preserve"> לחוק</w:t>
      </w:r>
      <w:r>
        <w:rPr>
          <w:rtl w:val="true"/>
        </w:rPr>
        <w:t xml:space="preserve">, </w:t>
      </w:r>
      <w:r>
        <w:rPr>
          <w:rtl w:val="true"/>
        </w:rPr>
        <w:t>שלפיו</w:t>
      </w:r>
      <w:r>
        <w:rPr>
          <w:rtl w:val="true"/>
        </w:rPr>
        <w:t xml:space="preserve">, </w:t>
      </w:r>
      <w:r>
        <w:rPr>
          <w:rtl w:val="true"/>
        </w:rPr>
        <w:t>בין היתר</w:t>
      </w:r>
      <w:r>
        <w:rPr>
          <w:rtl w:val="true"/>
        </w:rPr>
        <w:t xml:space="preserve">, </w:t>
      </w:r>
      <w:r>
        <w:rPr>
          <w:rtl w:val="true"/>
        </w:rPr>
        <w:t xml:space="preserve">לא ניתן להסגיר אדם למדינה זרה לריצוי עונשו אם היה אזרח ותושב ישראל בעת ביצוע העבירה </w:t>
      </w:r>
      <w:r>
        <w:rPr>
          <w:rtl w:val="true"/>
        </w:rPr>
        <w:t>(</w:t>
      </w:r>
      <w:r>
        <w:rPr>
          <w:rtl w:val="true"/>
        </w:rPr>
        <w:t xml:space="preserve">ראו </w:t>
      </w:r>
      <w:hyperlink r:id="rId33">
        <w:r>
          <w:rPr>
            <w:rStyle w:val="Hyperlink"/>
            <w:rtl w:val="true"/>
          </w:rPr>
          <w:t>דנ</w:t>
        </w:r>
        <w:r>
          <w:rPr>
            <w:rStyle w:val="Hyperlink"/>
            <w:rtl w:val="true"/>
          </w:rPr>
          <w:t>"</w:t>
        </w:r>
        <w:r>
          <w:rPr>
            <w:rStyle w:val="Hyperlink"/>
            <w:rtl w:val="true"/>
          </w:rPr>
          <w:t>פ</w:t>
        </w:r>
        <w:r>
          <w:rPr>
            <w:rStyle w:val="Hyperlink"/>
            <w:rtl w:val="true"/>
          </w:rPr>
          <w:t xml:space="preserve"> </w:t>
        </w:r>
        <w:r>
          <w:rPr>
            <w:rStyle w:val="Hyperlink"/>
          </w:rPr>
          <w:t>8612/00</w:t>
        </w:r>
        <w:r>
          <w:rPr>
            <w:rStyle w:val="Hyperlink"/>
            <w:rtl w:val="true"/>
          </w:rPr>
          <w:t xml:space="preserve">‏ </w:t>
        </w:r>
        <w:r>
          <w:rPr>
            <w:rStyle w:val="Hyperlink"/>
            <w:rtl w:val="true"/>
          </w:rPr>
          <w:t>ברגר</w:t>
        </w:r>
        <w:r>
          <w:rPr>
            <w:rStyle w:val="Hyperlink"/>
            <w:rtl w:val="true"/>
          </w:rPr>
          <w:t xml:space="preserve"> </w:t>
        </w:r>
        <w:r>
          <w:rPr>
            <w:rStyle w:val="Hyperlink"/>
            <w:rtl w:val="true"/>
          </w:rPr>
          <w:t>נ</w:t>
        </w:r>
        <w:r>
          <w:rPr>
            <w:rStyle w:val="Hyperlink"/>
            <w:rtl w:val="true"/>
          </w:rPr>
          <w:t xml:space="preserve">' </w:t>
        </w:r>
        <w:r>
          <w:rPr>
            <w:rStyle w:val="Hyperlink"/>
            <w:rtl w:val="true"/>
          </w:rPr>
          <w:t>היועץ</w:t>
        </w:r>
        <w:r>
          <w:rPr>
            <w:rStyle w:val="Hyperlink"/>
            <w:rtl w:val="true"/>
          </w:rPr>
          <w:t xml:space="preserve"> </w:t>
        </w:r>
        <w:r>
          <w:rPr>
            <w:rStyle w:val="Hyperlink"/>
            <w:rtl w:val="true"/>
          </w:rPr>
          <w:t>המשפטי</w:t>
        </w:r>
        <w:r>
          <w:rPr>
            <w:rStyle w:val="Hyperlink"/>
            <w:rtl w:val="true"/>
          </w:rPr>
          <w:t xml:space="preserve"> </w:t>
        </w:r>
        <w:r>
          <w:rPr>
            <w:rStyle w:val="Hyperlink"/>
            <w:rtl w:val="true"/>
          </w:rPr>
          <w:t>לממשלה</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נה</w:t>
        </w:r>
      </w:hyperlink>
      <w:r>
        <w:rPr>
          <w:rtl w:val="true"/>
        </w:rPr>
        <w:t>(</w:t>
      </w:r>
      <w:r>
        <w:rPr/>
        <w:t>5</w:t>
      </w:r>
      <w:r>
        <w:rPr>
          <w:rtl w:val="true"/>
        </w:rPr>
        <w:t xml:space="preserve">) </w:t>
      </w:r>
      <w:r>
        <w:rPr/>
        <w:t>439</w:t>
      </w:r>
      <w:r>
        <w:rPr>
          <w:rtl w:val="true"/>
        </w:rPr>
        <w:t xml:space="preserve">, </w:t>
      </w:r>
      <w:r>
        <w:rPr/>
        <w:t>456</w:t>
      </w:r>
      <w:r>
        <w:rPr>
          <w:rtl w:val="true"/>
        </w:rPr>
        <w:t xml:space="preserve"> (</w:t>
      </w:r>
      <w:r>
        <w:rPr/>
        <w:t>2001</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ברגר</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6384/11</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3</w:t>
      </w:r>
      <w:r>
        <w:rPr>
          <w:rtl w:val="true"/>
        </w:rPr>
        <w:t xml:space="preserve"> </w:t>
      </w:r>
      <w:r>
        <w:rPr>
          <w:rtl w:val="true"/>
        </w:rPr>
        <w:t xml:space="preserve">לחוות דעתו של 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w:t>
      </w:r>
      <w:r>
        <w:rPr>
          <w:rtl w:val="true"/>
        </w:rPr>
        <w:t>(</w:t>
      </w:r>
      <w:r>
        <w:rPr/>
        <w:t>5.2.2014</w:t>
      </w:r>
      <w:r>
        <w:rPr>
          <w:rtl w:val="true"/>
        </w:rPr>
        <w:t>)).</w:t>
      </w:r>
    </w:p>
    <w:p>
      <w:pPr>
        <w:pStyle w:val="Ruller41"/>
        <w:ind w:end="0"/>
        <w:jc w:val="both"/>
        <w:rPr/>
      </w:pPr>
      <w:r>
        <w:rPr>
          <w:rtl w:val="true"/>
        </w:rPr>
        <w:tab/>
      </w:r>
      <w:r>
        <w:rPr>
          <w:rtl w:val="true"/>
        </w:rPr>
        <w:t>אומנם</w:t>
      </w:r>
      <w:r>
        <w:rPr>
          <w:rtl w:val="true"/>
        </w:rPr>
        <w:t>, "</w:t>
      </w:r>
      <w:r>
        <w:rPr>
          <w:rtl w:val="true"/>
        </w:rPr>
        <w:t>די</w:t>
      </w:r>
      <w:r>
        <w:rPr>
          <w:rFonts w:eastAsia="Arial TUR;Arial" w:cs="Arial TUR;Arial"/>
          <w:rtl w:val="true"/>
        </w:rPr>
        <w:t xml:space="preserve"> </w:t>
      </w:r>
      <w:r>
        <w:rPr>
          <w:rtl w:val="true"/>
        </w:rPr>
        <w:t>בכמות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מעטה</w:t>
      </w:r>
      <w:r>
        <w:rPr>
          <w:rtl w:val="true"/>
        </w:rPr>
        <w:t xml:space="preserve">" </w:t>
      </w:r>
      <w:r>
        <w:rPr>
          <w:rtl w:val="true"/>
        </w:rPr>
        <w:t>המלמדת</w:t>
      </w:r>
      <w:r>
        <w:rPr>
          <w:rFonts w:eastAsia="Arial TUR;Arial" w:cs="Arial TUR;Arial"/>
          <w:rtl w:val="true"/>
        </w:rPr>
        <w:t xml:space="preserve"> </w:t>
      </w:r>
      <w:r>
        <w:rPr>
          <w:rtl w:val="true"/>
        </w:rPr>
        <w:t>שהמשיב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תושב</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תושב</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בתקופה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w:t>
      </w:r>
      <w:r>
        <w:rPr>
          <w:rFonts w:ascii="Century" w:hAnsi="Century" w:cs="Century"/>
          <w:rtl w:val="true"/>
        </w:rPr>
        <w:t xml:space="preserve">עניין </w:t>
      </w:r>
      <w:r>
        <w:rPr>
          <w:rFonts w:ascii="Century" w:hAnsi="Century" w:cs="Miriam"/>
          <w:b/>
          <w:b/>
          <w:spacing w:val="0"/>
          <w:szCs w:val="24"/>
          <w:rtl w:val="true"/>
        </w:rPr>
        <w:t>ברגר</w:t>
      </w:r>
      <w:r>
        <w:rPr>
          <w:rFonts w:cs="Century" w:ascii="Century" w:hAnsi="Century"/>
          <w:rtl w:val="true"/>
        </w:rPr>
        <w:t xml:space="preserve">, </w:t>
      </w:r>
      <w:r>
        <w:rPr>
          <w:rFonts w:ascii="Century" w:hAnsi="Century" w:cs="Century"/>
          <w:rtl w:val="true"/>
        </w:rPr>
        <w:t>שם</w:t>
      </w:r>
      <w:r>
        <w:rPr>
          <w:rtl w:val="true"/>
        </w:rPr>
        <w:t xml:space="preserve">). </w:t>
      </w:r>
      <w:r>
        <w:rPr>
          <w:rtl w:val="true"/>
        </w:rPr>
        <w:t>אולם</w:t>
      </w:r>
      <w:r>
        <w:rPr>
          <w:rtl w:val="true"/>
        </w:rPr>
        <w:t xml:space="preserve">, </w:t>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להתערב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לטעמי</w:t>
      </w:r>
      <w:r>
        <w:rPr>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במידע</w:t>
      </w:r>
      <w:r>
        <w:rPr>
          <w:rFonts w:eastAsia="Arial TUR;Arial" w:cs="Arial TUR;Arial"/>
          <w:rtl w:val="true"/>
        </w:rPr>
        <w:t xml:space="preserve"> </w:t>
      </w:r>
      <w:r>
        <w:rPr>
          <w:rtl w:val="true"/>
        </w:rPr>
        <w:t>החלקי</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ובעובדה</w:t>
      </w:r>
      <w:r>
        <w:rPr>
          <w:rFonts w:eastAsia="Arial TUR;Arial" w:cs="Arial TUR;Arial"/>
          <w:rtl w:val="true"/>
        </w:rPr>
        <w:t xml:space="preserve"> </w:t>
      </w:r>
      <w:r>
        <w:rPr>
          <w:rtl w:val="true"/>
        </w:rPr>
        <w:t>שהמשיב</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בדרכונים</w:t>
      </w:r>
      <w:r>
        <w:rPr>
          <w:rFonts w:eastAsia="Arial TUR;Arial" w:cs="Arial TUR;Arial"/>
          <w:rtl w:val="true"/>
        </w:rPr>
        <w:t xml:space="preserve"> </w:t>
      </w:r>
      <w:r>
        <w:rPr>
          <w:rtl w:val="true"/>
        </w:rPr>
        <w:t>זרים</w:t>
      </w:r>
      <w:r>
        <w:rPr>
          <w:rFonts w:eastAsia="Arial TUR;Arial" w:cs="Arial TUR;Arial"/>
          <w:rtl w:val="true"/>
        </w:rPr>
        <w:t xml:space="preserve"> </w:t>
      </w:r>
      <w:r>
        <w:rPr>
          <w:rtl w:val="true"/>
        </w:rPr>
        <w:t>המקשים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מושבו</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כדי</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לקיום</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הסייג</w:t>
      </w:r>
      <w:r>
        <w:rPr>
          <w:rtl w:val="true"/>
        </w:rPr>
        <w:t>.</w:t>
      </w:r>
    </w:p>
    <w:p>
      <w:pPr>
        <w:pStyle w:val="Ruller41"/>
        <w:ind w:end="0"/>
        <w:jc w:val="both"/>
        <w:rPr/>
      </w:pPr>
      <w:r>
        <w:rPr>
          <w:rtl w:val="true"/>
        </w:rPr>
      </w:r>
    </w:p>
    <w:p>
      <w:pPr>
        <w:pStyle w:val="Ruller42"/>
        <w:numPr>
          <w:ilvl w:val="0"/>
          <w:numId w:val="1"/>
        </w:numPr>
        <w:spacing w:before="0" w:after="420"/>
        <w:ind w:hanging="0" w:start="0" w:end="0"/>
        <w:jc w:val="both"/>
        <w:rPr/>
      </w:pPr>
      <w:r>
        <w:rPr>
          <w:rtl w:val="true"/>
        </w:rPr>
        <w:t xml:space="preserve">על כך יש להוסיף ולציין כי מאז ביצוע העבירות </w:t>
      </w:r>
      <w:r>
        <w:rPr>
          <w:rtl w:val="true"/>
        </w:rPr>
        <w:t>(</w:t>
      </w:r>
      <w:r>
        <w:rPr>
          <w:rtl w:val="true"/>
        </w:rPr>
        <w:t xml:space="preserve">שנת </w:t>
      </w:r>
      <w:r>
        <w:rPr/>
        <w:t>2001</w:t>
      </w:r>
      <w:r>
        <w:rPr>
          <w:rtl w:val="true"/>
        </w:rPr>
        <w:t xml:space="preserve">) </w:t>
      </w:r>
      <w:r>
        <w:rPr>
          <w:rtl w:val="true"/>
        </w:rPr>
        <w:t>חלפו שנים רבות</w:t>
      </w:r>
      <w:r>
        <w:rPr>
          <w:rtl w:val="true"/>
        </w:rPr>
        <w:t xml:space="preserve">, </w:t>
      </w:r>
      <w:r>
        <w:rPr>
          <w:rtl w:val="true"/>
        </w:rPr>
        <w:t>וזאת בין היתר בשל התנהלותו של המערער</w:t>
      </w:r>
      <w:r>
        <w:rPr>
          <w:rtl w:val="true"/>
        </w:rPr>
        <w:t xml:space="preserve">, </w:t>
      </w:r>
      <w:r>
        <w:rPr>
          <w:rtl w:val="true"/>
        </w:rPr>
        <w:t>אשר הגיש את העתירה להכריז על המשיב כבר הסגרה רק בחלוף למעלה משש וחצי שנים ממועד הגשת בקשת ההסגרה</w:t>
      </w:r>
      <w:r>
        <w:rPr>
          <w:rtl w:val="true"/>
        </w:rPr>
        <w:t xml:space="preserve">; </w:t>
      </w:r>
      <w:r>
        <w:rPr>
          <w:rtl w:val="true"/>
        </w:rPr>
        <w:t>וכי אף ממשלת צ</w:t>
      </w:r>
      <w:r>
        <w:rPr>
          <w:rtl w:val="true"/>
        </w:rPr>
        <w:t>'</w:t>
      </w:r>
      <w:r>
        <w:rPr>
          <w:rtl w:val="true"/>
        </w:rPr>
        <w:t>כיה</w:t>
      </w:r>
      <w:r>
        <w:rPr>
          <w:rtl w:val="true"/>
        </w:rPr>
        <w:t xml:space="preserve">, </w:t>
      </w:r>
      <w:r>
        <w:rPr>
          <w:rtl w:val="true"/>
        </w:rPr>
        <w:t>שביקשה את הסגרתו של המשיב</w:t>
      </w:r>
      <w:r>
        <w:rPr>
          <w:rtl w:val="true"/>
        </w:rPr>
        <w:t xml:space="preserve">, </w:t>
      </w:r>
      <w:r>
        <w:rPr>
          <w:rtl w:val="true"/>
        </w:rPr>
        <w:t>הסכימה כחלופה לבקשה להסגרתו</w:t>
      </w:r>
      <w:r>
        <w:rPr>
          <w:rtl w:val="true"/>
        </w:rPr>
        <w:t xml:space="preserve">, </w:t>
      </w:r>
      <w:r>
        <w:rPr>
          <w:rtl w:val="true"/>
        </w:rPr>
        <w:t xml:space="preserve">כי אם יתעורר קושי להסגירו לידיה בשל תושבותו הישראלית </w:t>
      </w:r>
      <w:r>
        <w:rPr>
          <w:rtl w:val="true"/>
        </w:rPr>
        <w:t>–</w:t>
      </w:r>
      <w:r>
        <w:rPr>
          <w:rtl w:val="true"/>
        </w:rPr>
        <w:t xml:space="preserve"> יישא את עונשו בישראל</w:t>
      </w:r>
      <w:r>
        <w:rPr>
          <w:rtl w:val="true"/>
        </w:rPr>
        <w:t>.</w:t>
      </w:r>
    </w:p>
    <w:p>
      <w:pPr>
        <w:pStyle w:val="Ruller41"/>
        <w:ind w:end="0"/>
        <w:jc w:val="both"/>
        <w:rPr/>
      </w:pPr>
      <w:r>
        <w:rPr>
          <w:rtl w:val="true"/>
        </w:rPr>
        <w:tab/>
      </w:r>
      <w:r>
        <w:rPr>
          <w:rtl w:val="true"/>
        </w:rPr>
        <w:t>שיקולים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תומכים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במסקנה</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הייחודיות</w:t>
      </w:r>
      <w:r>
        <w:rPr>
          <w:rtl w:val="true"/>
        </w:rPr>
        <w:t xml:space="preserve">, </w:t>
      </w:r>
      <w:r>
        <w:rPr>
          <w:rtl w:val="true"/>
        </w:rPr>
        <w:t>אין</w:t>
      </w:r>
      <w:r>
        <w:rPr>
          <w:rFonts w:eastAsia="Arial TUR;Arial" w:cs="Arial TUR;Arial"/>
          <w:rtl w:val="true"/>
        </w:rPr>
        <w:t xml:space="preserve"> </w:t>
      </w:r>
      <w:r>
        <w:rPr>
          <w:rtl w:val="true"/>
        </w:rPr>
        <w:t>להיענות</w:t>
      </w:r>
      <w:r>
        <w:rPr>
          <w:rFonts w:eastAsia="Arial TUR;Arial" w:cs="Arial TUR;Arial"/>
          <w:rtl w:val="true"/>
        </w:rPr>
        <w:t xml:space="preserve"> </w:t>
      </w:r>
      <w:r>
        <w:rPr>
          <w:rtl w:val="true"/>
        </w:rPr>
        <w:t>לבקשה</w:t>
      </w:r>
      <w:r>
        <w:rPr>
          <w:rFonts w:eastAsia="Arial TUR;Arial" w:cs="Arial TUR;Arial"/>
          <w:rtl w:val="true"/>
        </w:rPr>
        <w:t xml:space="preserve"> </w:t>
      </w:r>
      <w:r>
        <w:rPr>
          <w:rtl w:val="true"/>
        </w:rPr>
        <w:t>להסגרת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בישראל</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end"/>
        <w:rPr/>
      </w:pPr>
      <w:r>
        <w:rPr>
          <w:rtl w:val="true"/>
        </w:rPr>
      </w:r>
    </w:p>
    <w:p>
      <w:pPr>
        <w:pStyle w:val="Ruller41"/>
        <w:ind w:end="0"/>
        <w:jc w:val="end"/>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Century"/>
        </w:rPr>
      </w:pPr>
      <w:r>
        <w:rPr>
          <w:rFonts w:cs="Century" w:ascii="Century" w:hAnsi="Century"/>
        </w:rPr>
        <w:t>1</w:t>
      </w:r>
      <w:r>
        <w:rPr>
          <w:rFonts w:cs="Century" w:ascii="Century" w:hAnsi="Century"/>
          <w:rtl w:val="true"/>
        </w:rPr>
        <w:t>.</w:t>
      </w:r>
      <w:r>
        <w:rPr>
          <w:rFonts w:cs="Century" w:ascii="Century" w:hAnsi="Century"/>
          <w:rtl w:val="true"/>
        </w:rPr>
        <w:tab/>
      </w:r>
      <w:r>
        <w:rPr>
          <w:rFonts w:ascii="Century" w:hAnsi="Century" w:cs="Century"/>
          <w:rtl w:val="true"/>
        </w:rPr>
        <w:t>לא בלי התלבטות</w:t>
      </w:r>
      <w:r>
        <w:rPr>
          <w:rFonts w:cs="Century" w:ascii="Century" w:hAnsi="Century"/>
          <w:rtl w:val="true"/>
        </w:rPr>
        <w:t xml:space="preserve">, </w:t>
      </w:r>
      <w:r>
        <w:rPr>
          <w:rFonts w:ascii="Century" w:hAnsi="Century" w:cs="Century"/>
          <w:rtl w:val="true"/>
        </w:rPr>
        <w:t xml:space="preserve">החלטתי להצטרף לחוות דעתו של חברי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cs="Century" w:ascii="Century" w:hAnsi="Century"/>
          <w:rtl w:val="true"/>
        </w:rPr>
        <w:t xml:space="preserve">. </w:t>
      </w:r>
      <w:r>
        <w:rPr>
          <w:rFonts w:ascii="Century" w:hAnsi="Century" w:cs="Century"/>
          <w:rtl w:val="true"/>
        </w:rPr>
        <w:t>משפטו של המשיב</w:t>
      </w:r>
      <w:r>
        <w:rPr>
          <w:rFonts w:cs="Century" w:ascii="Century" w:hAnsi="Century"/>
          <w:rtl w:val="true"/>
        </w:rPr>
        <w:t xml:space="preserve">, </w:t>
      </w:r>
      <w:r>
        <w:rPr>
          <w:rFonts w:ascii="Century" w:hAnsi="Century" w:cs="Century"/>
          <w:rtl w:val="true"/>
        </w:rPr>
        <w:t>ולרי מיכאלוב</w:t>
      </w:r>
      <w:r>
        <w:rPr>
          <w:rFonts w:cs="Century" w:ascii="Century" w:hAnsi="Century"/>
          <w:rtl w:val="true"/>
        </w:rPr>
        <w:t xml:space="preserve">, </w:t>
      </w:r>
      <w:r>
        <w:rPr>
          <w:rFonts w:ascii="Century" w:hAnsi="Century" w:cs="Century"/>
          <w:rtl w:val="true"/>
        </w:rPr>
        <w:t>התנהל במשך מספר שנים בצ</w:t>
      </w:r>
      <w:r>
        <w:rPr>
          <w:rFonts w:cs="Century" w:ascii="Century" w:hAnsi="Century"/>
          <w:rtl w:val="true"/>
        </w:rPr>
        <w:t>'</w:t>
      </w:r>
      <w:r>
        <w:rPr>
          <w:rFonts w:ascii="Century" w:hAnsi="Century" w:cs="Century"/>
          <w:rtl w:val="true"/>
        </w:rPr>
        <w:t>כיה</w:t>
      </w:r>
      <w:r>
        <w:rPr>
          <w:rFonts w:cs="Century" w:ascii="Century" w:hAnsi="Century"/>
          <w:rtl w:val="true"/>
        </w:rPr>
        <w:t xml:space="preserve">. </w:t>
      </w:r>
      <w:r>
        <w:rPr>
          <w:rFonts w:ascii="Century" w:hAnsi="Century" w:cs="Century"/>
          <w:rtl w:val="true"/>
        </w:rPr>
        <w:t>בחלקן נתון היה במעצר מאחורי סורג ובריח</w:t>
      </w:r>
      <w:r>
        <w:rPr>
          <w:rFonts w:cs="Century" w:ascii="Century" w:hAnsi="Century"/>
          <w:rtl w:val="true"/>
        </w:rPr>
        <w:t xml:space="preserve">. </w:t>
      </w:r>
      <w:r>
        <w:rPr>
          <w:rFonts w:ascii="Century" w:hAnsi="Century" w:cs="Century"/>
          <w:rtl w:val="true"/>
        </w:rPr>
        <w:t>בשלב מסוים</w:t>
      </w:r>
      <w:r>
        <w:rPr>
          <w:rFonts w:cs="Century" w:ascii="Century" w:hAnsi="Century"/>
          <w:rtl w:val="true"/>
        </w:rPr>
        <w:t xml:space="preserve">, </w:t>
      </w:r>
      <w:r>
        <w:rPr>
          <w:rFonts w:ascii="Century" w:hAnsi="Century" w:cs="Century"/>
          <w:rtl w:val="true"/>
        </w:rPr>
        <w:t>לאחר שהורשע ונגזר דינו</w:t>
      </w:r>
      <w:r>
        <w:rPr>
          <w:rFonts w:cs="Century" w:ascii="Century" w:hAnsi="Century"/>
          <w:rtl w:val="true"/>
        </w:rPr>
        <w:t xml:space="preserve">, </w:t>
      </w:r>
      <w:r>
        <w:rPr>
          <w:rFonts w:ascii="Century" w:hAnsi="Century" w:cs="Century"/>
          <w:rtl w:val="true"/>
        </w:rPr>
        <w:t>חמק מיכאלוב מצ</w:t>
      </w:r>
      <w:r>
        <w:rPr>
          <w:rFonts w:cs="Century" w:ascii="Century" w:hAnsi="Century"/>
          <w:rtl w:val="true"/>
        </w:rPr>
        <w:t>'</w:t>
      </w:r>
      <w:r>
        <w:rPr>
          <w:rFonts w:ascii="Century" w:hAnsi="Century" w:cs="Century"/>
          <w:rtl w:val="true"/>
        </w:rPr>
        <w:t>כיה ובא לישראל</w:t>
      </w:r>
      <w:r>
        <w:rPr>
          <w:rFonts w:cs="Century" w:ascii="Century" w:hAnsi="Century"/>
          <w:rtl w:val="true"/>
        </w:rPr>
        <w:t xml:space="preserve">. </w:t>
      </w:r>
      <w:r>
        <w:rPr>
          <w:rFonts w:ascii="Century" w:hAnsi="Century" w:cs="Century"/>
          <w:rtl w:val="true"/>
        </w:rPr>
        <w:t xml:space="preserve">עובדה זו </w:t>
      </w:r>
      <w:r>
        <w:rPr>
          <w:rFonts w:ascii="Century" w:hAnsi="Century" w:cs="Century"/>
          <w:rtl w:val="true"/>
        </w:rPr>
        <w:t>–</w:t>
      </w:r>
      <w:r>
        <w:rPr>
          <w:rFonts w:ascii="Century" w:hAnsi="Century" w:cs="Century"/>
          <w:rtl w:val="true"/>
        </w:rPr>
        <w:t xml:space="preserve"> הימלטותו מן העונש </w:t>
      </w:r>
      <w:r>
        <w:rPr>
          <w:rFonts w:ascii="Century" w:hAnsi="Century" w:cs="Century"/>
          <w:rtl w:val="true"/>
        </w:rPr>
        <w:t>–</w:t>
      </w:r>
      <w:r>
        <w:rPr>
          <w:rFonts w:ascii="Century" w:hAnsi="Century" w:cs="Century"/>
          <w:rtl w:val="true"/>
        </w:rPr>
        <w:t xml:space="preserve"> הקשתה עלַי</w:t>
      </w:r>
      <w:r>
        <w:rPr>
          <w:rFonts w:cs="Century" w:ascii="Century" w:hAnsi="Century"/>
          <w:rtl w:val="true"/>
        </w:rPr>
        <w:t xml:space="preserve">. </w:t>
      </w:r>
      <w:r>
        <w:rPr>
          <w:rFonts w:ascii="Century" w:hAnsi="Century" w:cs="Century"/>
          <w:rtl w:val="true"/>
        </w:rPr>
        <w:t>וכי עלינו לחזק ידיהם של עוברי עבירה</w:t>
      </w:r>
      <w:r>
        <w:rPr>
          <w:rFonts w:cs="Century" w:ascii="Century" w:hAnsi="Century"/>
          <w:rtl w:val="true"/>
        </w:rPr>
        <w:t xml:space="preserve">? </w:t>
      </w:r>
      <w:r>
        <w:rPr>
          <w:rFonts w:ascii="Century" w:hAnsi="Century" w:cs="Century"/>
          <w:rtl w:val="true"/>
        </w:rPr>
        <w:t>לסייע בעדם לחמוק מן העונש</w:t>
      </w:r>
      <w:r>
        <w:rPr>
          <w:rFonts w:cs="Century" w:ascii="Century" w:hAnsi="Century"/>
          <w:rtl w:val="true"/>
        </w:rPr>
        <w:t xml:space="preserve">? </w:t>
      </w:r>
      <w:r>
        <w:rPr>
          <w:rFonts w:ascii="Century" w:hAnsi="Century" w:cs="Century"/>
          <w:rtl w:val="true"/>
        </w:rPr>
        <w:t>ועוד זאת</w:t>
      </w:r>
      <w:r>
        <w:rPr>
          <w:rFonts w:cs="Century" w:ascii="Century" w:hAnsi="Century"/>
          <w:rtl w:val="true"/>
        </w:rPr>
        <w:t xml:space="preserve">, </w:t>
      </w:r>
      <w:r>
        <w:rPr>
          <w:rFonts w:ascii="Century" w:hAnsi="Century" w:cs="Century"/>
          <w:rtl w:val="true"/>
        </w:rPr>
        <w:t>שמיכאלוב עשה שימוש בדרכון מזויף</w:t>
      </w:r>
      <w:r>
        <w:rPr>
          <w:rFonts w:cs="Century" w:ascii="Century" w:hAnsi="Century"/>
          <w:rtl w:val="true"/>
        </w:rPr>
        <w:t xml:space="preserve">, </w:t>
      </w:r>
      <w:r>
        <w:rPr>
          <w:rFonts w:ascii="Century" w:hAnsi="Century" w:cs="Century"/>
          <w:rtl w:val="true"/>
        </w:rPr>
        <w:t>האמת אינה נר לרגליו</w:t>
      </w:r>
      <w:r>
        <w:rPr>
          <w:rFonts w:cs="Century" w:ascii="Century" w:hAnsi="Century"/>
          <w:rtl w:val="true"/>
        </w:rPr>
        <w:t xml:space="preserve">, </w:t>
      </w:r>
      <w:r>
        <w:rPr>
          <w:rFonts w:ascii="Century" w:hAnsi="Century" w:cs="Century"/>
          <w:rtl w:val="true"/>
        </w:rPr>
        <w:t>ובכך הקשה על בירור העניין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Pr>
        <w:t>2</w:t>
      </w:r>
      <w:r>
        <w:rPr>
          <w:rFonts w:cs="Century" w:ascii="Century" w:hAnsi="Century"/>
          <w:rtl w:val="true"/>
        </w:rPr>
        <w:t>.</w:t>
        <w:tab/>
      </w:r>
      <w:r>
        <w:rPr>
          <w:rFonts w:ascii="Century" w:hAnsi="Century" w:cs="Century"/>
          <w:rtl w:val="true"/>
        </w:rPr>
        <w:t>חרף האמור</w:t>
      </w:r>
      <w:r>
        <w:rPr>
          <w:rFonts w:cs="Century" w:ascii="Century" w:hAnsi="Century"/>
          <w:rtl w:val="true"/>
        </w:rPr>
        <w:t xml:space="preserve">, </w:t>
      </w:r>
      <w:r>
        <w:rPr>
          <w:rFonts w:ascii="Century" w:hAnsi="Century" w:cs="Century"/>
          <w:rtl w:val="true"/>
        </w:rPr>
        <w:t>סבורני</w:t>
      </w:r>
      <w:r>
        <w:rPr>
          <w:rFonts w:cs="Century" w:ascii="Century" w:hAnsi="Century"/>
          <w:rtl w:val="true"/>
        </w:rPr>
        <w:t xml:space="preserve">, </w:t>
      </w:r>
      <w:r>
        <w:rPr>
          <w:rFonts w:ascii="Century" w:hAnsi="Century" w:cs="Century"/>
          <w:rtl w:val="true"/>
        </w:rPr>
        <w:t>כי לא קמה לנו עילה לשנות מהחלטתו של בית המשפט המחוזי</w:t>
      </w:r>
      <w:r>
        <w:rPr>
          <w:rFonts w:cs="Century" w:ascii="Century" w:hAnsi="Century"/>
          <w:rtl w:val="true"/>
        </w:rPr>
        <w:t xml:space="preserve">, </w:t>
      </w:r>
      <w:r>
        <w:rPr>
          <w:rFonts w:ascii="Century" w:hAnsi="Century" w:cs="Century"/>
          <w:rtl w:val="true"/>
        </w:rPr>
        <w:t>ולסטות מן הכלל הנקוט בידינו שלא להתערב בממצאים שנקבעו בערכאה הדיונית</w:t>
      </w:r>
      <w:r>
        <w:rPr>
          <w:rFonts w:cs="Century" w:ascii="Century" w:hAnsi="Century"/>
          <w:rtl w:val="true"/>
        </w:rPr>
        <w:t xml:space="preserve">. </w:t>
      </w:r>
      <w:r>
        <w:rPr>
          <w:rFonts w:ascii="Century" w:hAnsi="Century" w:cs="Century"/>
          <w:rtl w:val="true"/>
        </w:rPr>
        <w:t>בית המשפט המחוזי לא התעלם מן השקרים</w:t>
      </w:r>
      <w:r>
        <w:rPr>
          <w:rFonts w:cs="Century" w:ascii="Century" w:hAnsi="Century"/>
          <w:rtl w:val="true"/>
        </w:rPr>
        <w:t xml:space="preserve">, </w:t>
      </w:r>
      <w:r>
        <w:rPr>
          <w:rFonts w:ascii="Century" w:hAnsi="Century" w:cs="Century"/>
          <w:rtl w:val="true"/>
        </w:rPr>
        <w:t>מן המהמורות ומן הסתירות</w:t>
      </w:r>
      <w:r>
        <w:rPr>
          <w:rFonts w:cs="Century" w:ascii="Century" w:hAnsi="Century"/>
          <w:rtl w:val="true"/>
        </w:rPr>
        <w:t xml:space="preserve">, </w:t>
      </w:r>
      <w:r>
        <w:rPr>
          <w:rFonts w:ascii="Century" w:hAnsi="Century" w:cs="Century"/>
          <w:rtl w:val="true"/>
        </w:rPr>
        <w:t>ונימק באופן משכנע מדוע ראה ליתן אמון בדברי המשיב ובדברי עדיו</w:t>
      </w:r>
      <w:r>
        <w:rPr>
          <w:rFonts w:cs="Century" w:ascii="Century" w:hAnsi="Century"/>
          <w:rtl w:val="true"/>
        </w:rPr>
        <w:t xml:space="preserve">, </w:t>
      </w:r>
      <w:r>
        <w:rPr>
          <w:rFonts w:ascii="Century" w:hAnsi="Century" w:cs="Century"/>
          <w:rtl w:val="true"/>
        </w:rPr>
        <w:t xml:space="preserve">על כך שמרכז חייו </w:t>
      </w:r>
      <w:r>
        <w:rPr>
          <w:rFonts w:ascii="Century" w:hAnsi="Century" w:cs="Century"/>
          <w:rtl w:val="true"/>
        </w:rPr>
        <w:t>–</w:t>
      </w:r>
      <w:r>
        <w:rPr>
          <w:rFonts w:ascii="Century" w:hAnsi="Century" w:cs="Century"/>
          <w:rtl w:val="true"/>
        </w:rPr>
        <w:t xml:space="preserve"> בישראל</w:t>
      </w:r>
      <w:r>
        <w:rPr>
          <w:rFonts w:cs="Century" w:ascii="Century" w:hAnsi="Century"/>
          <w:rtl w:val="true"/>
        </w:rPr>
        <w:t xml:space="preserve">. </w:t>
      </w:r>
      <w:r>
        <w:rPr>
          <w:rFonts w:ascii="Century" w:hAnsi="Century" w:cs="Century"/>
          <w:rtl w:val="true"/>
        </w:rPr>
        <w:t>יש ליתן משקל של ממש לחלוף הזמן הרב</w:t>
      </w:r>
      <w:r>
        <w:rPr>
          <w:rFonts w:cs="Century" w:ascii="Century" w:hAnsi="Century"/>
          <w:rtl w:val="true"/>
        </w:rPr>
        <w:t xml:space="preserve">, </w:t>
      </w:r>
      <w:r>
        <w:rPr>
          <w:rFonts w:ascii="Century" w:hAnsi="Century" w:cs="Century"/>
          <w:rtl w:val="true"/>
        </w:rPr>
        <w:t>גם בעטייה של המדינה</w:t>
      </w:r>
      <w:r>
        <w:rPr>
          <w:rFonts w:cs="Century" w:ascii="Century" w:hAnsi="Century"/>
          <w:rtl w:val="true"/>
        </w:rPr>
        <w:t xml:space="preserve">, </w:t>
      </w:r>
      <w:r>
        <w:rPr>
          <w:rFonts w:ascii="Century" w:hAnsi="Century" w:cs="Century"/>
          <w:rtl w:val="true"/>
        </w:rPr>
        <w:t>בעיקר מאז ביקשה צ</w:t>
      </w:r>
      <w:r>
        <w:rPr>
          <w:rFonts w:cs="Century" w:ascii="Century" w:hAnsi="Century"/>
          <w:rtl w:val="true"/>
        </w:rPr>
        <w:t>'</w:t>
      </w:r>
      <w:r>
        <w:rPr>
          <w:rFonts w:ascii="Century" w:hAnsi="Century" w:cs="Century"/>
          <w:rtl w:val="true"/>
        </w:rPr>
        <w:t>כיה את הסגרתו של מיכאלוב</w:t>
      </w:r>
      <w:r>
        <w:rPr>
          <w:rFonts w:cs="Century" w:ascii="Century" w:hAnsi="Century"/>
          <w:rtl w:val="true"/>
        </w:rPr>
        <w:t xml:space="preserve">, </w:t>
      </w:r>
      <w:r>
        <w:rPr>
          <w:rFonts w:ascii="Century" w:hAnsi="Century" w:cs="Century"/>
          <w:rtl w:val="true"/>
        </w:rPr>
        <w:t>ועד אשר הוגשה עתירה להכרזתו בר</w:t>
      </w:r>
      <w:r>
        <w:rPr>
          <w:rFonts w:cs="Century" w:ascii="Century" w:hAnsi="Century"/>
          <w:rtl w:val="true"/>
        </w:rPr>
        <w:t>-</w:t>
      </w:r>
      <w:r>
        <w:rPr>
          <w:rFonts w:ascii="Century" w:hAnsi="Century" w:cs="Century"/>
          <w:rtl w:val="true"/>
        </w:rPr>
        <w:t>הסגרה</w:t>
      </w:r>
      <w:r>
        <w:rPr>
          <w:rFonts w:cs="Century" w:ascii="Century" w:hAnsi="Century"/>
          <w:rtl w:val="true"/>
        </w:rPr>
        <w:t xml:space="preserve">. </w:t>
      </w:r>
      <w:r>
        <w:rPr>
          <w:rFonts w:ascii="Century" w:hAnsi="Century" w:cs="Century"/>
          <w:rtl w:val="true"/>
        </w:rPr>
        <w:t>אסביר</w:t>
      </w:r>
      <w:r>
        <w:rPr>
          <w:rFonts w:cs="Century" w:ascii="Century" w:hAnsi="Century"/>
          <w:rtl w:val="true"/>
        </w:rPr>
        <w:t xml:space="preserve">. </w:t>
      </w:r>
      <w:hyperlink r:id="rId3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w:t>
        </w:r>
        <w:r>
          <w:rPr>
            <w:rStyle w:val="Hyperlink"/>
            <w:rFonts w:ascii="Century" w:hAnsi="Century" w:cs="Century"/>
            <w:rtl w:val="true"/>
          </w:rPr>
          <w:t>א</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3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ההסגרה</w:t>
        </w:r>
      </w:hyperlink>
      <w:r>
        <w:rPr>
          <w:rFonts w:cs="Century" w:ascii="Century" w:hAnsi="Century"/>
          <w:rtl w:val="true"/>
        </w:rPr>
        <w:t xml:space="preserve">, </w:t>
      </w:r>
      <w:r>
        <w:rPr>
          <w:rFonts w:ascii="Century" w:hAnsi="Century" w:cs="Century"/>
          <w:rtl w:val="true"/>
        </w:rPr>
        <w:t>התשי</w:t>
      </w:r>
      <w:r>
        <w:rPr>
          <w:rFonts w:cs="Century" w:ascii="Century" w:hAnsi="Century"/>
          <w:rtl w:val="true"/>
        </w:rPr>
        <w:t>"</w:t>
      </w:r>
      <w:r>
        <w:rPr>
          <w:rFonts w:ascii="Century" w:hAnsi="Century" w:cs="Century"/>
          <w:rtl w:val="true"/>
        </w:rPr>
        <w:t>ד</w:t>
      </w:r>
      <w:r>
        <w:rPr>
          <w:rFonts w:cs="Century" w:ascii="Century" w:hAnsi="Century"/>
          <w:rtl w:val="true"/>
        </w:rPr>
        <w:t>-</w:t>
      </w:r>
      <w:r>
        <w:rPr>
          <w:rFonts w:cs="Century" w:ascii="Century" w:hAnsi="Century"/>
        </w:rPr>
        <w:t>1954</w:t>
      </w:r>
      <w:r>
        <w:rPr>
          <w:rFonts w:cs="Century" w:ascii="Century" w:hAnsi="Century"/>
          <w:rtl w:val="true"/>
        </w:rPr>
        <w:t xml:space="preserve">, </w:t>
      </w:r>
      <w:r>
        <w:rPr>
          <w:rFonts w:ascii="Century" w:hAnsi="Century" w:cs="Century"/>
          <w:rtl w:val="true"/>
        </w:rPr>
        <w:t>מורנו</w:t>
      </w:r>
      <w:r>
        <w:rPr>
          <w:rFonts w:cs="Century" w:ascii="Century" w:hAnsi="Century"/>
          <w:rtl w:val="true"/>
        </w:rPr>
        <w:t xml:space="preserve">: </w:t>
      </w:r>
      <w:r>
        <w:rPr>
          <w:rStyle w:val="default"/>
          <w:rFonts w:cs="Miriam" w:ascii="Century" w:hAnsi="Century"/>
          <w:b/>
          <w:spacing w:val="0"/>
          <w:szCs w:val="24"/>
          <w:rtl w:val="true"/>
        </w:rPr>
        <w:t>"</w:t>
      </w:r>
      <w:r>
        <w:rPr>
          <w:rStyle w:val="default"/>
          <w:rFonts w:ascii="Century" w:hAnsi="Century" w:cs="Miriam"/>
          <w:b/>
          <w:b/>
          <w:spacing w:val="0"/>
          <w:szCs w:val="24"/>
          <w:rtl w:val="true"/>
        </w:rPr>
        <w:t>אדם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שעבר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עבירת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הסגרה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חוק</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זה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ובעת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עשיית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העבירה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הוא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אזרח</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ותושב</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לא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יוסגר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אלא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כן</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התקיימו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שני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אלה</w:t>
      </w:r>
      <w:r>
        <w:rPr>
          <w:rStyle w:val="default"/>
          <w:rFonts w:cs="Miriam" w:ascii="Century" w:hAnsi="Century"/>
          <w:b/>
          <w:spacing w:val="0"/>
          <w:szCs w:val="24"/>
          <w:rtl w:val="true"/>
        </w:rPr>
        <w:t>:</w:t>
      </w:r>
      <w:r>
        <w:rPr>
          <w:rStyle w:val="default"/>
          <w:rFonts w:cs="Miriam" w:ascii="Century" w:hAnsi="Century"/>
          <w:b/>
          <w:spacing w:val="0"/>
          <w:szCs w:val="24"/>
          <w:rtl w:val="true"/>
        </w:rPr>
        <w:t xml:space="preserve"> (</w:t>
      </w:r>
      <w:r>
        <w:rPr>
          <w:rStyle w:val="default"/>
          <w:rFonts w:cs="Miriam" w:ascii="Century" w:hAnsi="Century"/>
          <w:b/>
          <w:spacing w:val="0"/>
          <w:szCs w:val="24"/>
        </w:rPr>
        <w:t>1</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בקשת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ההסגרה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היא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כדי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להעמידו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לדין</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במדינה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המבקשת</w:t>
      </w:r>
      <w:r>
        <w:rPr>
          <w:rStyle w:val="default"/>
          <w:rFonts w:cs="Miriam" w:ascii="Century" w:hAnsi="Century"/>
          <w:b/>
          <w:spacing w:val="0"/>
          <w:szCs w:val="24"/>
          <w:rtl w:val="true"/>
        </w:rPr>
        <w:t>;</w:t>
      </w:r>
      <w:r>
        <w:rPr>
          <w:rStyle w:val="default"/>
          <w:rFonts w:cs="Miriam" w:ascii="Century" w:hAnsi="Century"/>
          <w:b/>
          <w:spacing w:val="0"/>
          <w:szCs w:val="24"/>
          <w:rtl w:val="true"/>
        </w:rPr>
        <w:t xml:space="preserve"> (</w:t>
      </w:r>
      <w:r>
        <w:rPr>
          <w:rStyle w:val="default"/>
          <w:rFonts w:cs="Miriam" w:ascii="Century" w:hAnsi="Century"/>
          <w:b/>
          <w:spacing w:val="0"/>
          <w:szCs w:val="24"/>
        </w:rPr>
        <w:t>2</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המדינה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המבקשת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הסגרתו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התחייבה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מראש</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להעבירו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בחזרה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לשם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נשיאת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עונשו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בה</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אם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הוא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יורשע</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בדין</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ויוטל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עליו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עונש</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מאסר</w:t>
      </w:r>
      <w:r>
        <w:rPr>
          <w:rStyle w:val="default"/>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הנה כי כן</w:t>
      </w:r>
      <w:r>
        <w:rPr>
          <w:rFonts w:cs="Century" w:ascii="Century" w:hAnsi="Century"/>
          <w:rtl w:val="true"/>
        </w:rPr>
        <w:t xml:space="preserve">, </w:t>
      </w:r>
      <w:r>
        <w:rPr>
          <w:rFonts w:ascii="Century" w:hAnsi="Century" w:cs="Century"/>
          <w:rtl w:val="true"/>
        </w:rPr>
        <w:t xml:space="preserve">הכלל בכל הנוגע למי שהוא אזרח ותושב ישראל </w:t>
      </w:r>
      <w:r>
        <w:rPr>
          <w:rFonts w:ascii="Century" w:hAnsi="Century" w:cs="Century"/>
          <w:rtl w:val="true"/>
        </w:rPr>
        <w:t>–</w:t>
      </w:r>
      <w:r>
        <w:rPr>
          <w:rFonts w:ascii="Century" w:hAnsi="Century" w:cs="Century"/>
          <w:rtl w:val="true"/>
        </w:rPr>
        <w:t xml:space="preserve"> אי</w:t>
      </w:r>
      <w:r>
        <w:rPr>
          <w:rFonts w:cs="Century" w:ascii="Century" w:hAnsi="Century"/>
          <w:rtl w:val="true"/>
        </w:rPr>
        <w:t>-</w:t>
      </w:r>
      <w:r>
        <w:rPr>
          <w:rFonts w:ascii="Century" w:hAnsi="Century" w:cs="Century"/>
          <w:rtl w:val="true"/>
        </w:rPr>
        <w:t>הסגרה</w:t>
      </w:r>
      <w:r>
        <w:rPr>
          <w:rFonts w:cs="Century" w:ascii="Century" w:hAnsi="Century"/>
          <w:rtl w:val="true"/>
        </w:rPr>
        <w:t xml:space="preserve">; </w:t>
      </w:r>
      <w:r>
        <w:rPr>
          <w:rFonts w:ascii="Century" w:hAnsi="Century" w:cs="Century"/>
          <w:rtl w:val="true"/>
        </w:rPr>
        <w:t xml:space="preserve">החריג </w:t>
      </w:r>
      <w:r>
        <w:rPr>
          <w:rFonts w:ascii="Century" w:hAnsi="Century" w:cs="Century"/>
          <w:rtl w:val="true"/>
        </w:rPr>
        <w:t>–</w:t>
      </w:r>
      <w:r>
        <w:rPr>
          <w:rFonts w:ascii="Century" w:hAnsi="Century" w:cs="Century"/>
          <w:rtl w:val="true"/>
        </w:rPr>
        <w:t xml:space="preserve"> הסגרה</w:t>
      </w:r>
      <w:r>
        <w:rPr>
          <w:rFonts w:cs="Century" w:ascii="Century" w:hAnsi="Century"/>
          <w:rtl w:val="true"/>
        </w:rPr>
        <w:t xml:space="preserve">. </w:t>
      </w:r>
      <w:r>
        <w:rPr>
          <w:rFonts w:ascii="Century" w:hAnsi="Century" w:cs="Century"/>
          <w:rtl w:val="true"/>
        </w:rPr>
        <w:t>אין חולק</w:t>
      </w:r>
      <w:r>
        <w:rPr>
          <w:rFonts w:cs="Century" w:ascii="Century" w:hAnsi="Century"/>
          <w:rtl w:val="true"/>
        </w:rPr>
        <w:t xml:space="preserve">, </w:t>
      </w:r>
      <w:r>
        <w:rPr>
          <w:rFonts w:ascii="Century" w:hAnsi="Century" w:cs="Century"/>
          <w:rtl w:val="true"/>
        </w:rPr>
        <w:t>כי מיכאלוב אזרח ישראלי</w:t>
      </w:r>
      <w:r>
        <w:rPr>
          <w:rFonts w:cs="Century" w:ascii="Century" w:hAnsi="Century"/>
          <w:rtl w:val="true"/>
        </w:rPr>
        <w:t xml:space="preserve">, </w:t>
      </w:r>
      <w:r>
        <w:rPr>
          <w:rFonts w:ascii="Century" w:hAnsi="Century" w:cs="Century"/>
          <w:rtl w:val="true"/>
        </w:rPr>
        <w:t>השאלה העומדת לפתחנו מתייחסת אפוא לתושבותו בעת עשיית העבירה</w:t>
      </w:r>
      <w:r>
        <w:rPr>
          <w:rFonts w:cs="Century" w:ascii="Century" w:hAnsi="Century"/>
          <w:rtl w:val="true"/>
        </w:rPr>
        <w:t xml:space="preserve">. </w:t>
      </w:r>
      <w:r>
        <w:rPr>
          <w:rFonts w:ascii="Century" w:hAnsi="Century" w:cs="Century"/>
          <w:rtl w:val="true"/>
        </w:rPr>
        <w:t>על נימוקו והגיונו של תנאי התושבות</w:t>
      </w:r>
      <w:r>
        <w:rPr>
          <w:rFonts w:cs="Century" w:ascii="Century" w:hAnsi="Century"/>
          <w:rtl w:val="true"/>
        </w:rPr>
        <w:t xml:space="preserve">, </w:t>
      </w:r>
      <w:r>
        <w:rPr>
          <w:rFonts w:ascii="Century" w:hAnsi="Century" w:cs="Century"/>
          <w:rtl w:val="true"/>
        </w:rPr>
        <w:t xml:space="preserve">עמד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Fonts w:cs="Century" w:ascii="Century" w:hAnsi="Century"/>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51"/>
        <w:overflowPunct w:val="true"/>
        <w:autoSpaceDE w:val="true"/>
        <w:spacing w:lineRule="auto" w:line="360" w:before="0" w:after="160"/>
        <w:ind w:end="1282"/>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תכלית</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למנוע</w:t>
      </w:r>
      <w:r>
        <w:rPr>
          <w:rFonts w:ascii="Century" w:hAnsi="Century" w:eastAsia="Century" w:cs="Century"/>
          <w:b/>
          <w:b/>
          <w:spacing w:val="0"/>
          <w:szCs w:val="24"/>
          <w:rtl w:val="true"/>
        </w:rPr>
        <w:t xml:space="preserve"> </w:t>
      </w:r>
      <w:r>
        <w:rPr>
          <w:rFonts w:ascii="Century" w:hAnsi="Century" w:cs="Miriam"/>
          <w:b/>
          <w:b/>
          <w:spacing w:val="0"/>
          <w:szCs w:val="24"/>
          <w:rtl w:val="true"/>
        </w:rPr>
        <w:t>מעבריין</w:t>
      </w:r>
      <w:r>
        <w:rPr>
          <w:rFonts w:ascii="Century" w:hAnsi="Century" w:eastAsia="Century" w:cs="Century"/>
          <w:b/>
          <w:b/>
          <w:spacing w:val="0"/>
          <w:szCs w:val="24"/>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יָתר</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עלול</w:t>
      </w:r>
      <w:r>
        <w:rPr>
          <w:rFonts w:ascii="Century" w:hAnsi="Century" w:eastAsia="Century" w:cs="Century"/>
          <w:b/>
          <w:b/>
          <w:spacing w:val="0"/>
          <w:szCs w:val="24"/>
          <w:rtl w:val="true"/>
        </w:rPr>
        <w:t xml:space="preserve"> </w:t>
      </w:r>
      <w:r>
        <w:rPr>
          <w:rFonts w:ascii="Century" w:hAnsi="Century" w:cs="Miriam"/>
          <w:b/>
          <w:b/>
          <w:spacing w:val="0"/>
          <w:szCs w:val="24"/>
          <w:rtl w:val="true"/>
        </w:rPr>
        <w:t>לשאת</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בהידרשו</w:t>
      </w:r>
      <w:r>
        <w:rPr>
          <w:rFonts w:ascii="Century" w:hAnsi="Century" w:eastAsia="Century" w:cs="Century"/>
          <w:b/>
          <w:b/>
          <w:spacing w:val="0"/>
          <w:szCs w:val="24"/>
          <w:rtl w:val="true"/>
        </w:rPr>
        <w:t xml:space="preserve"> </w:t>
      </w:r>
      <w:r>
        <w:rPr>
          <w:rFonts w:ascii="Century" w:hAnsi="Century" w:cs="Miriam"/>
          <w:b/>
          <w:b/>
          <w:spacing w:val="0"/>
          <w:szCs w:val="24"/>
          <w:rtl w:val="true"/>
        </w:rPr>
        <w:t>לרצות</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הרחק</w:t>
      </w:r>
      <w:r>
        <w:rPr>
          <w:rFonts w:ascii="Century" w:hAnsi="Century" w:eastAsia="Century" w:cs="Century"/>
          <w:b/>
          <w:b/>
          <w:spacing w:val="0"/>
          <w:szCs w:val="24"/>
          <w:rtl w:val="true"/>
        </w:rPr>
        <w:t xml:space="preserve"> </w:t>
      </w:r>
      <w:r>
        <w:rPr>
          <w:rFonts w:ascii="Century" w:hAnsi="Century" w:cs="Miriam"/>
          <w:b/>
          <w:b/>
          <w:spacing w:val="0"/>
          <w:szCs w:val="24"/>
          <w:rtl w:val="true"/>
        </w:rPr>
        <w:t>ממשפחתו</w:t>
      </w:r>
      <w:r>
        <w:rPr>
          <w:rFonts w:cs="Miriam" w:ascii="Century" w:hAnsi="Century"/>
          <w:b/>
          <w:spacing w:val="0"/>
          <w:szCs w:val="24"/>
          <w:rtl w:val="true"/>
        </w:rPr>
        <w:t xml:space="preserve">, </w:t>
      </w:r>
      <w:r>
        <w:rPr>
          <w:rFonts w:ascii="Century" w:hAnsi="Century" w:cs="Miriam"/>
          <w:b/>
          <w:b/>
          <w:spacing w:val="0"/>
          <w:szCs w:val="24"/>
          <w:rtl w:val="true"/>
        </w:rPr>
        <w:t>מקרוביו</w:t>
      </w:r>
      <w:r>
        <w:rPr>
          <w:rFonts w:ascii="Century" w:hAnsi="Century" w:eastAsia="Century" w:cs="Century"/>
          <w:b/>
          <w:b/>
          <w:spacing w:val="0"/>
          <w:szCs w:val="24"/>
          <w:rtl w:val="true"/>
        </w:rPr>
        <w:t xml:space="preserve"> </w:t>
      </w:r>
      <w:r>
        <w:rPr>
          <w:rFonts w:ascii="Century" w:hAnsi="Century" w:cs="Miriam"/>
          <w:b/>
          <w:b/>
          <w:spacing w:val="0"/>
          <w:szCs w:val="24"/>
          <w:rtl w:val="true"/>
        </w:rPr>
        <w:t>ומידידיו</w:t>
      </w:r>
      <w:r>
        <w:rPr>
          <w:rFonts w:cs="Miriam" w:ascii="Century" w:hAnsi="Century"/>
          <w:b/>
          <w:spacing w:val="0"/>
          <w:szCs w:val="24"/>
          <w:rtl w:val="true"/>
        </w:rPr>
        <w:t xml:space="preserve">, </w:t>
      </w:r>
      <w:r>
        <w:rPr>
          <w:rFonts w:ascii="Century" w:hAnsi="Century" w:cs="Miriam"/>
          <w:b/>
          <w:b/>
          <w:spacing w:val="0"/>
          <w:szCs w:val="24"/>
          <w:rtl w:val="true"/>
        </w:rPr>
        <w:t>בקרב</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שאורחותיהם</w:t>
      </w:r>
      <w:r>
        <w:rPr>
          <w:rFonts w:ascii="Century" w:hAnsi="Century" w:eastAsia="Century" w:cs="Century"/>
          <w:b/>
          <w:b/>
          <w:spacing w:val="0"/>
          <w:szCs w:val="24"/>
          <w:rtl w:val="true"/>
        </w:rPr>
        <w:t xml:space="preserve"> </w:t>
      </w:r>
      <w:r>
        <w:rPr>
          <w:rFonts w:ascii="Century" w:hAnsi="Century" w:cs="Miriam"/>
          <w:b/>
          <w:b/>
          <w:spacing w:val="0"/>
          <w:szCs w:val="24"/>
          <w:rtl w:val="true"/>
        </w:rPr>
        <w:t>אינ</w:t>
      </w:r>
      <w:r>
        <w:rPr>
          <w:rFonts w:ascii="Century" w:hAnsi="Century" w:cs="Miriam"/>
          <w:b/>
          <w:b/>
          <w:spacing w:val="0"/>
          <w:szCs w:val="24"/>
          <w:rtl w:val="true"/>
        </w:rPr>
        <w:t>ן</w:t>
      </w:r>
      <w:r>
        <w:rPr>
          <w:rFonts w:ascii="Century" w:hAnsi="Century" w:eastAsia="Century" w:cs="Century"/>
          <w:b/>
          <w:b/>
          <w:spacing w:val="0"/>
          <w:szCs w:val="24"/>
          <w:rtl w:val="true"/>
        </w:rPr>
        <w:t xml:space="preserve"> </w:t>
      </w:r>
      <w:r>
        <w:rPr>
          <w:rFonts w:ascii="Century" w:hAnsi="Century" w:cs="Miriam"/>
          <w:b/>
          <w:b/>
          <w:spacing w:val="0"/>
          <w:szCs w:val="24"/>
          <w:rtl w:val="true"/>
        </w:rPr>
        <w:t>אורחותיו</w:t>
      </w:r>
      <w:r>
        <w:rPr>
          <w:rFonts w:cs="Miriam" w:ascii="Century" w:hAnsi="Century"/>
          <w:b/>
          <w:spacing w:val="0"/>
          <w:szCs w:val="24"/>
          <w:rtl w:val="true"/>
        </w:rPr>
        <w:t xml:space="preserve">, </w:t>
      </w:r>
      <w:r>
        <w:rPr>
          <w:rFonts w:ascii="Century" w:hAnsi="Century" w:cs="Miriam"/>
          <w:b/>
          <w:b/>
          <w:spacing w:val="0"/>
          <w:szCs w:val="24"/>
          <w:rtl w:val="true"/>
        </w:rPr>
        <w:t>שמנהגיהם</w:t>
      </w:r>
      <w:r>
        <w:rPr>
          <w:rFonts w:ascii="Century" w:hAnsi="Century" w:eastAsia="Century" w:cs="Century"/>
          <w:b/>
          <w:b/>
          <w:spacing w:val="0"/>
          <w:szCs w:val="24"/>
          <w:rtl w:val="true"/>
        </w:rPr>
        <w:t xml:space="preserve"> </w:t>
      </w:r>
      <w:r>
        <w:rPr>
          <w:rFonts w:ascii="Century" w:hAnsi="Century" w:cs="Miriam"/>
          <w:b/>
          <w:b/>
          <w:spacing w:val="0"/>
          <w:szCs w:val="24"/>
          <w:rtl w:val="true"/>
        </w:rPr>
        <w:t>אינם</w:t>
      </w:r>
      <w:r>
        <w:rPr>
          <w:rFonts w:ascii="Century" w:hAnsi="Century" w:eastAsia="Century" w:cs="Century"/>
          <w:b/>
          <w:b/>
          <w:spacing w:val="0"/>
          <w:szCs w:val="24"/>
          <w:rtl w:val="true"/>
        </w:rPr>
        <w:t xml:space="preserve"> </w:t>
      </w:r>
      <w:r>
        <w:rPr>
          <w:rFonts w:ascii="Century" w:hAnsi="Century" w:cs="Miriam"/>
          <w:b/>
          <w:b/>
          <w:spacing w:val="0"/>
          <w:szCs w:val="24"/>
          <w:rtl w:val="true"/>
        </w:rPr>
        <w:t>מנהגיו</w:t>
      </w:r>
      <w:r>
        <w:rPr>
          <w:rFonts w:cs="Miriam" w:ascii="Century" w:hAnsi="Century"/>
          <w:b/>
          <w:spacing w:val="0"/>
          <w:szCs w:val="24"/>
          <w:rtl w:val="true"/>
        </w:rPr>
        <w:t xml:space="preserve">, </w:t>
      </w:r>
      <w:r>
        <w:rPr>
          <w:rFonts w:ascii="Century" w:hAnsi="Century" w:cs="Miriam"/>
          <w:b/>
          <w:b/>
          <w:spacing w:val="0"/>
          <w:szCs w:val="24"/>
          <w:rtl w:val="true"/>
        </w:rPr>
        <w:t>שדרכם</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דרכו</w:t>
      </w:r>
      <w:r>
        <w:rPr>
          <w:rFonts w:cs="Miriam" w:ascii="Century" w:hAnsi="Century"/>
          <w:b/>
          <w:spacing w:val="0"/>
          <w:szCs w:val="24"/>
          <w:rtl w:val="true"/>
        </w:rPr>
        <w:t xml:space="preserve">, </w:t>
      </w:r>
      <w:r>
        <w:rPr>
          <w:rFonts w:ascii="Century" w:hAnsi="Century" w:cs="Miriam"/>
          <w:b/>
          <w:b/>
          <w:spacing w:val="0"/>
          <w:szCs w:val="24"/>
          <w:rtl w:val="true"/>
        </w:rPr>
        <w:t>ששפתם</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שפתו</w:t>
      </w:r>
      <w:r>
        <w:rPr>
          <w:rFonts w:cs="Miriam" w:ascii="Century" w:hAnsi="Century"/>
          <w:b/>
          <w:spacing w:val="0"/>
          <w:szCs w:val="24"/>
          <w:rtl w:val="true"/>
        </w:rPr>
        <w:t xml:space="preserve">, </w:t>
      </w:r>
      <w:r>
        <w:rPr>
          <w:rFonts w:ascii="Century" w:hAnsi="Century" w:cs="Miriam"/>
          <w:b/>
          <w:b/>
          <w:spacing w:val="0"/>
          <w:szCs w:val="24"/>
          <w:rtl w:val="true"/>
        </w:rPr>
        <w:t>שמאכליהם</w:t>
      </w:r>
      <w:r>
        <w:rPr>
          <w:rFonts w:ascii="Century" w:hAnsi="Century" w:eastAsia="Century" w:cs="Century"/>
          <w:b/>
          <w:b/>
          <w:spacing w:val="0"/>
          <w:szCs w:val="24"/>
          <w:rtl w:val="true"/>
        </w:rPr>
        <w:t xml:space="preserve"> </w:t>
      </w:r>
      <w:r>
        <w:rPr>
          <w:rFonts w:ascii="Century" w:hAnsi="Century" w:cs="Miriam"/>
          <w:b/>
          <w:b/>
          <w:spacing w:val="0"/>
          <w:szCs w:val="24"/>
          <w:rtl w:val="true"/>
        </w:rPr>
        <w:t>אינם</w:t>
      </w:r>
      <w:r>
        <w:rPr>
          <w:rFonts w:ascii="Century" w:hAnsi="Century" w:eastAsia="Century" w:cs="Century"/>
          <w:b/>
          <w:b/>
          <w:spacing w:val="0"/>
          <w:szCs w:val="24"/>
          <w:rtl w:val="true"/>
        </w:rPr>
        <w:t xml:space="preserve"> </w:t>
      </w:r>
      <w:r>
        <w:rPr>
          <w:rFonts w:ascii="Century" w:hAnsi="Century" w:cs="Miriam"/>
          <w:b/>
          <w:b/>
          <w:spacing w:val="0"/>
          <w:szCs w:val="24"/>
          <w:rtl w:val="true"/>
        </w:rPr>
        <w:t>מאכליו</w:t>
      </w:r>
      <w:r>
        <w:rPr>
          <w:rFonts w:cs="Miriam" w:ascii="Century" w:hAnsi="Century"/>
          <w:b/>
          <w:spacing w:val="0"/>
          <w:szCs w:val="24"/>
          <w:rtl w:val="true"/>
        </w:rPr>
        <w:t xml:space="preserve">. </w:t>
      </w:r>
      <w:r>
        <w:rPr>
          <w:rFonts w:ascii="Century" w:hAnsi="Century" w:cs="Miriam"/>
          <w:b/>
          <w:b/>
          <w:spacing w:val="0"/>
          <w:szCs w:val="24"/>
          <w:rtl w:val="true"/>
        </w:rPr>
        <w:t>כליאתו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בכלא</w:t>
      </w:r>
      <w:r>
        <w:rPr>
          <w:rFonts w:cs="Miriam" w:ascii="Century" w:hAnsi="Century"/>
          <w:b/>
          <w:spacing w:val="0"/>
          <w:szCs w:val="24"/>
          <w:rtl w:val="true"/>
        </w:rPr>
        <w:t xml:space="preserve">, </w:t>
      </w:r>
      <w:r>
        <w:rPr>
          <w:rFonts w:ascii="Century" w:hAnsi="Century" w:cs="Miriam"/>
          <w:b/>
          <w:b/>
          <w:spacing w:val="0"/>
          <w:szCs w:val="24"/>
          <w:rtl w:val="true"/>
        </w:rPr>
        <w:t>בידודו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אסיר</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העולם</w:t>
      </w:r>
      <w:r>
        <w:rPr>
          <w:rFonts w:cs="Miriam" w:ascii="Century" w:hAnsi="Century"/>
          <w:b/>
          <w:spacing w:val="0"/>
          <w:szCs w:val="24"/>
          <w:rtl w:val="true"/>
        </w:rPr>
        <w:t xml:space="preserve">, </w:t>
      </w:r>
      <w:r>
        <w:rPr>
          <w:rFonts w:ascii="Century" w:hAnsi="Century" w:cs="Miriam"/>
          <w:b/>
          <w:b/>
          <w:spacing w:val="0"/>
          <w:szCs w:val="24"/>
          <w:rtl w:val="true"/>
        </w:rPr>
        <w:t>הטלתו</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סביבה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הכיר</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cs="Miriam" w:ascii="Century" w:hAnsi="Century"/>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קשה</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לעצמו</w:t>
      </w:r>
      <w:r>
        <w:rPr>
          <w:rFonts w:ascii="Century" w:hAnsi="Century" w:eastAsia="Century" w:cs="Century"/>
          <w:b/>
          <w:b/>
          <w:spacing w:val="0"/>
          <w:szCs w:val="24"/>
          <w:rtl w:val="true"/>
        </w:rPr>
        <w:t xml:space="preserve"> </w:t>
      </w:r>
      <w:r>
        <w:rPr>
          <w:rFonts w:ascii="Century" w:hAnsi="Century" w:cs="Miriam"/>
          <w:b/>
          <w:b/>
          <w:spacing w:val="0"/>
          <w:szCs w:val="24"/>
          <w:rtl w:val="true"/>
        </w:rPr>
        <w:t>ומביא</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האדם</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יהא</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ראוי</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נוסיף</w:t>
      </w:r>
      <w:r>
        <w:rPr>
          <w:rFonts w:ascii="Century" w:hAnsi="Century" w:eastAsia="Century" w:cs="Century"/>
          <w:b/>
          <w:b/>
          <w:spacing w:val="0"/>
          <w:szCs w:val="24"/>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בהטילנו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אסיר</w:t>
      </w:r>
      <w:r>
        <w:rPr>
          <w:rFonts w:ascii="Century" w:hAnsi="Century" w:eastAsia="Century" w:cs="Century"/>
          <w:b/>
          <w:b/>
          <w:spacing w:val="0"/>
          <w:szCs w:val="24"/>
          <w:rtl w:val="true"/>
        </w:rPr>
        <w:t xml:space="preserve"> </w:t>
      </w:r>
      <w:r>
        <w:rPr>
          <w:rFonts w:ascii="Century" w:hAnsi="Century" w:cs="Miriam"/>
          <w:b/>
          <w:b/>
          <w:spacing w:val="0"/>
          <w:szCs w:val="24"/>
          <w:rtl w:val="true"/>
        </w:rPr>
        <w:t>לשאת</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יומיומית</w:t>
      </w:r>
      <w:r>
        <w:rPr>
          <w:rFonts w:cs="Miriam" w:ascii="Century" w:hAnsi="Century"/>
          <w:b/>
          <w:spacing w:val="0"/>
          <w:szCs w:val="24"/>
          <w:rtl w:val="true"/>
        </w:rPr>
        <w:t xml:space="preserve">, </w:t>
      </w:r>
      <w:r>
        <w:rPr>
          <w:rFonts w:ascii="Century" w:hAnsi="Century" w:cs="Miriam"/>
          <w:b/>
          <w:b/>
          <w:spacing w:val="0"/>
          <w:szCs w:val="24"/>
          <w:rtl w:val="true"/>
        </w:rPr>
        <w:t>שעה</w:t>
      </w:r>
      <w:r>
        <w:rPr>
          <w:rFonts w:cs="Miriam" w:ascii="Century" w:hAnsi="Century"/>
          <w:b/>
          <w:spacing w:val="0"/>
          <w:szCs w:val="24"/>
          <w:rtl w:val="true"/>
        </w:rPr>
        <w:t>-</w:t>
      </w:r>
      <w:r>
        <w:rPr>
          <w:rFonts w:ascii="Century" w:hAnsi="Century" w:cs="Miriam"/>
          <w:b/>
          <w:b/>
          <w:spacing w:val="0"/>
          <w:szCs w:val="24"/>
          <w:rtl w:val="true"/>
        </w:rPr>
        <w:t>שעה</w:t>
      </w:r>
      <w:r>
        <w:rPr>
          <w:rFonts w:cs="Miriam" w:ascii="Century" w:hAnsi="Century"/>
          <w:b/>
          <w:spacing w:val="0"/>
          <w:szCs w:val="24"/>
          <w:rtl w:val="true"/>
        </w:rPr>
        <w:t xml:space="preserve">, </w:t>
      </w:r>
      <w:r>
        <w:rPr>
          <w:rFonts w:ascii="Century" w:hAnsi="Century" w:cs="Miriam"/>
          <w:b/>
          <w:b/>
          <w:spacing w:val="0"/>
          <w:szCs w:val="24"/>
          <w:rtl w:val="true"/>
        </w:rPr>
        <w:t>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שאין</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סוף</w:t>
      </w:r>
      <w:r>
        <w:rPr>
          <w:rFonts w:cs="Miriam" w:ascii="Century" w:hAnsi="Century"/>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סביבה</w:t>
      </w:r>
      <w:r>
        <w:rPr>
          <w:rFonts w:ascii="Century" w:hAnsi="Century" w:eastAsia="Century" w:cs="Century"/>
          <w:b/>
          <w:b/>
          <w:spacing w:val="0"/>
          <w:szCs w:val="24"/>
          <w:rtl w:val="true"/>
        </w:rPr>
        <w:t xml:space="preserve"> </w:t>
      </w:r>
      <w:r>
        <w:rPr>
          <w:rFonts w:ascii="Century" w:hAnsi="Century" w:cs="Miriam"/>
          <w:b/>
          <w:b/>
          <w:spacing w:val="0"/>
          <w:szCs w:val="24"/>
          <w:rtl w:val="true"/>
        </w:rPr>
        <w:t>ועם</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שאינם</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cs="Miriam" w:ascii="Century" w:hAnsi="Century"/>
          <w:b/>
          <w:spacing w:val="0"/>
          <w:szCs w:val="24"/>
          <w:rtl w:val="true"/>
        </w:rPr>
        <w:t>-</w:t>
      </w:r>
      <w:r>
        <w:rPr>
          <w:rFonts w:ascii="Century" w:hAnsi="Century" w:cs="Miriam"/>
          <w:b/>
          <w:b/>
          <w:spacing w:val="0"/>
          <w:szCs w:val="24"/>
          <w:rtl w:val="true"/>
        </w:rPr>
        <w:t>מינו</w:t>
      </w:r>
      <w:r>
        <w:rPr>
          <w:rFonts w:cs="Miriam" w:ascii="Century" w:hAnsi="Century"/>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זרים</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באורחותיהם</w:t>
      </w:r>
      <w:r>
        <w:rPr>
          <w:rFonts w:cs="Miriam" w:ascii="Century" w:hAnsi="Century"/>
          <w:b/>
          <w:spacing w:val="0"/>
          <w:szCs w:val="24"/>
          <w:rtl w:val="true"/>
        </w:rPr>
        <w:t xml:space="preserve">, </w:t>
      </w:r>
      <w:r>
        <w:rPr>
          <w:rFonts w:ascii="Century" w:hAnsi="Century" w:cs="Miriam"/>
          <w:b/>
          <w:b/>
          <w:spacing w:val="0"/>
          <w:szCs w:val="24"/>
          <w:rtl w:val="true"/>
        </w:rPr>
        <w:t>במנהגותיהם</w:t>
      </w:r>
      <w:r>
        <w:rPr>
          <w:rFonts w:ascii="Century" w:hAnsi="Century" w:eastAsia="Century" w:cs="Century"/>
          <w:b/>
          <w:b/>
          <w:spacing w:val="0"/>
          <w:szCs w:val="24"/>
          <w:rtl w:val="true"/>
        </w:rPr>
        <w:t xml:space="preserve"> </w:t>
      </w:r>
      <w:r>
        <w:rPr>
          <w:rFonts w:ascii="Century" w:hAnsi="Century" w:cs="Miriam"/>
          <w:b/>
          <w:b/>
          <w:spacing w:val="0"/>
          <w:szCs w:val="24"/>
          <w:rtl w:val="true"/>
        </w:rPr>
        <w:t>ובשפתם</w:t>
      </w:r>
      <w:r>
        <w:rPr>
          <w:rFonts w:cs="Miriam" w:ascii="Century" w:hAnsi="Century"/>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יהפוך</w:t>
      </w:r>
      <w:r>
        <w:rPr>
          <w:rFonts w:ascii="Century" w:hAnsi="Century" w:eastAsia="Century" w:cs="Century"/>
          <w:b/>
          <w:b/>
          <w:spacing w:val="0"/>
          <w:szCs w:val="24"/>
          <w:rtl w:val="true"/>
        </w:rPr>
        <w:t xml:space="preserve"> </w:t>
      </w:r>
      <w:r>
        <w:rPr>
          <w:rFonts w:ascii="Century" w:hAnsi="Century" w:cs="Miriam"/>
          <w:b/>
          <w:b/>
          <w:spacing w:val="0"/>
          <w:szCs w:val="24"/>
          <w:rtl w:val="true"/>
        </w:rPr>
        <w:t>סבל</w:t>
      </w:r>
      <w:r>
        <w:rPr>
          <w:rFonts w:ascii="Century" w:hAnsi="Century" w:eastAsia="Century" w:cs="Century"/>
          <w:b/>
          <w:b/>
          <w:spacing w:val="0"/>
          <w:szCs w:val="24"/>
          <w:rtl w:val="true"/>
        </w:rPr>
        <w:t xml:space="preserve"> </w:t>
      </w:r>
      <w:r>
        <w:rPr>
          <w:rFonts w:ascii="Century" w:hAnsi="Century" w:cs="Miriam"/>
          <w:b/>
          <w:b/>
          <w:spacing w:val="0"/>
          <w:szCs w:val="24"/>
          <w:rtl w:val="true"/>
        </w:rPr>
        <w:t>המאסר</w:t>
      </w:r>
      <w:r>
        <w:rPr>
          <w:rFonts w:ascii="Century" w:hAnsi="Century" w:eastAsia="Century" w:cs="Century"/>
          <w:b/>
          <w:b/>
          <w:spacing w:val="0"/>
          <w:szCs w:val="24"/>
          <w:rtl w:val="true"/>
        </w:rPr>
        <w:t xml:space="preserve"> </w:t>
      </w:r>
      <w:r>
        <w:rPr>
          <w:rFonts w:ascii="Century" w:hAnsi="Century" w:cs="Miriam"/>
          <w:b/>
          <w:b/>
          <w:spacing w:val="0"/>
          <w:szCs w:val="24"/>
          <w:rtl w:val="true"/>
        </w:rPr>
        <w:t>לסבל</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נסבל</w:t>
      </w:r>
      <w:r>
        <w:rPr>
          <w:rFonts w:cs="Miriam" w:ascii="Century" w:hAnsi="Century"/>
          <w:b/>
          <w:spacing w:val="0"/>
          <w:szCs w:val="24"/>
          <w:rtl w:val="true"/>
        </w:rPr>
        <w:t xml:space="preserve">, </w:t>
      </w:r>
      <w:r>
        <w:rPr>
          <w:rFonts w:ascii="Century" w:hAnsi="Century" w:cs="Miriam"/>
          <w:b/>
          <w:b/>
          <w:spacing w:val="0"/>
          <w:szCs w:val="24"/>
          <w:rtl w:val="true"/>
        </w:rPr>
        <w:t>וההתמודדות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הבלתי</w:t>
      </w:r>
      <w:r>
        <w:rPr>
          <w:rFonts w:ascii="Century" w:hAnsi="Century" w:eastAsia="Century" w:cs="Century"/>
          <w:b/>
          <w:b/>
          <w:spacing w:val="0"/>
          <w:szCs w:val="24"/>
          <w:rtl w:val="true"/>
        </w:rPr>
        <w:t xml:space="preserve"> </w:t>
      </w:r>
      <w:r>
        <w:rPr>
          <w:rFonts w:ascii="Century" w:hAnsi="Century" w:cs="Miriam"/>
          <w:b/>
          <w:b/>
          <w:spacing w:val="0"/>
          <w:szCs w:val="24"/>
          <w:rtl w:val="true"/>
        </w:rPr>
        <w:t>נודע</w:t>
      </w:r>
      <w:r>
        <w:rPr>
          <w:rFonts w:ascii="Century" w:hAnsi="Century" w:eastAsia="Century" w:cs="Century"/>
          <w:b/>
          <w:b/>
          <w:spacing w:val="0"/>
          <w:szCs w:val="24"/>
          <w:rtl w:val="true"/>
        </w:rPr>
        <w:t xml:space="preserve"> </w:t>
      </w:r>
      <w:r>
        <w:rPr>
          <w:rFonts w:ascii="Century" w:hAnsi="Century" w:cs="Miriam"/>
          <w:b/>
          <w:b/>
          <w:spacing w:val="0"/>
          <w:szCs w:val="24"/>
          <w:rtl w:val="true"/>
        </w:rPr>
        <w:t>להתמודדות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קשה</w:t>
      </w:r>
      <w:r>
        <w:rPr>
          <w:rFonts w:cs="Miriam" w:ascii="Century" w:hAnsi="Century"/>
          <w:b/>
          <w:spacing w:val="0"/>
          <w:szCs w:val="24"/>
          <w:rtl w:val="true"/>
        </w:rPr>
        <w:t>-</w:t>
      </w:r>
      <w:r>
        <w:rPr>
          <w:rFonts w:ascii="Century" w:hAnsi="Century" w:cs="Miriam"/>
          <w:b/>
          <w:b/>
          <w:spacing w:val="0"/>
          <w:szCs w:val="24"/>
          <w:rtl w:val="true"/>
        </w:rPr>
        <w:t>מנשוא</w:t>
      </w:r>
      <w:r>
        <w:rPr>
          <w:rFonts w:cs="Miriam" w:ascii="Century" w:hAnsi="Century"/>
          <w:b/>
          <w:spacing w:val="0"/>
          <w:szCs w:val="24"/>
          <w:rtl w:val="true"/>
        </w:rPr>
        <w:t xml:space="preserve">" </w:t>
      </w:r>
      <w:r>
        <w:rPr>
          <w:rFonts w:cs="Century" w:ascii="Century" w:hAnsi="Century"/>
          <w:rtl w:val="true"/>
        </w:rPr>
        <w:t>(</w:t>
      </w:r>
      <w:hyperlink r:id="rId37">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8612/00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ברגר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היועץ</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המשפטי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לממשלה</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439</w:t>
      </w:r>
      <w:r>
        <w:rPr>
          <w:rFonts w:cs="Century" w:ascii="Century" w:hAnsi="Century"/>
          <w:rtl w:val="true"/>
        </w:rPr>
        <w:t xml:space="preserve">, </w:t>
      </w:r>
      <w:r>
        <w:rPr>
          <w:rFonts w:cs="Century" w:ascii="Century" w:hAnsi="Century"/>
        </w:rPr>
        <w:t>458</w:t>
      </w:r>
      <w:r>
        <w:rPr>
          <w:rFonts w:cs="Century" w:ascii="Century" w:hAnsi="Century"/>
          <w:rtl w:val="true"/>
        </w:rPr>
        <w:t xml:space="preserve"> (</w:t>
      </w:r>
      <w:r>
        <w:rPr>
          <w:rFonts w:cs="Century" w:ascii="Century" w:hAnsi="Century"/>
        </w:rPr>
        <w:t>2001</w:t>
      </w:r>
      <w:r>
        <w:rPr>
          <w:rFonts w:cs="Century" w:ascii="Century" w:hAnsi="Century"/>
          <w:rtl w:val="true"/>
        </w:rPr>
        <w:t>)).</w:t>
      </w:r>
    </w:p>
    <w:p>
      <w:pPr>
        <w:pStyle w:val="Ruller51"/>
        <w:overflowPunct w:val="true"/>
        <w:autoSpaceDE w:val="true"/>
        <w:spacing w:before="0" w:after="160"/>
        <w:ind w:end="1282"/>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על רקע האמור</w:t>
      </w:r>
      <w:r>
        <w:rPr>
          <w:rFonts w:cs="Century" w:ascii="Century" w:hAnsi="Century"/>
          <w:rtl w:val="true"/>
        </w:rPr>
        <w:t xml:space="preserve">, </w:t>
      </w:r>
      <w:r>
        <w:rPr>
          <w:rFonts w:ascii="Century" w:hAnsi="Century" w:cs="Century"/>
          <w:rtl w:val="true"/>
        </w:rPr>
        <w:t xml:space="preserve">שומה עלינו לבחון את התקיימותו של תנאי </w:t>
      </w:r>
      <w:r>
        <w:rPr>
          <w:rFonts w:ascii="Century" w:hAnsi="Century" w:cs="Miriam"/>
          <w:b/>
          <w:b/>
          <w:spacing w:val="0"/>
          <w:szCs w:val="24"/>
          <w:rtl w:val="true"/>
        </w:rPr>
        <w:t>התושבות</w:t>
      </w:r>
      <w:r>
        <w:rPr>
          <w:rFonts w:ascii="Century" w:hAnsi="Century" w:cs="Century"/>
          <w:rtl w:val="true"/>
        </w:rPr>
        <w:t xml:space="preserve"> בענייננו</w:t>
      </w:r>
      <w:r>
        <w:rPr>
          <w:rFonts w:cs="Century" w:ascii="Century" w:hAnsi="Century"/>
          <w:rtl w:val="true"/>
        </w:rPr>
        <w:t xml:space="preserve">. </w:t>
      </w:r>
      <w:r>
        <w:rPr>
          <w:rFonts w:ascii="Century" w:hAnsi="Century" w:cs="Century"/>
          <w:rtl w:val="true"/>
        </w:rPr>
        <w:t>בערעורה</w:t>
      </w:r>
      <w:r>
        <w:rPr>
          <w:rFonts w:cs="Century" w:ascii="Century" w:hAnsi="Century"/>
          <w:rtl w:val="true"/>
        </w:rPr>
        <w:t xml:space="preserve">, </w:t>
      </w:r>
      <w:r>
        <w:rPr>
          <w:rFonts w:ascii="Century" w:hAnsi="Century" w:cs="Century"/>
          <w:rtl w:val="true"/>
        </w:rPr>
        <w:t>הראתה המדינה</w:t>
      </w:r>
      <w:r>
        <w:rPr>
          <w:rFonts w:cs="Century" w:ascii="Century" w:hAnsi="Century"/>
          <w:rtl w:val="true"/>
        </w:rPr>
        <w:t xml:space="preserve">, </w:t>
      </w:r>
      <w:r>
        <w:rPr>
          <w:rFonts w:ascii="Century" w:hAnsi="Century" w:cs="Century"/>
          <w:rtl w:val="true"/>
        </w:rPr>
        <w:t>כי מיכאלוב</w:t>
      </w:r>
      <w:r>
        <w:rPr>
          <w:rFonts w:cs="Century" w:ascii="Century" w:hAnsi="Century"/>
          <w:rtl w:val="true"/>
        </w:rPr>
        <w:t xml:space="preserve">, </w:t>
      </w:r>
      <w:r>
        <w:rPr>
          <w:rFonts w:ascii="Century" w:hAnsi="Century" w:cs="Century"/>
          <w:rtl w:val="true"/>
        </w:rPr>
        <w:t>החל להאחז בצ</w:t>
      </w:r>
      <w:r>
        <w:rPr>
          <w:rFonts w:cs="Century" w:ascii="Century" w:hAnsi="Century"/>
          <w:rtl w:val="true"/>
        </w:rPr>
        <w:t>'</w:t>
      </w:r>
      <w:r>
        <w:rPr>
          <w:rFonts w:ascii="Century" w:hAnsi="Century" w:cs="Century"/>
          <w:rtl w:val="true"/>
        </w:rPr>
        <w:t>כיה</w:t>
      </w:r>
      <w:r>
        <w:rPr>
          <w:rFonts w:cs="Century" w:ascii="Century" w:hAnsi="Century"/>
          <w:rtl w:val="true"/>
        </w:rPr>
        <w:t xml:space="preserve">, </w:t>
      </w:r>
      <w:r>
        <w:rPr>
          <w:rFonts w:ascii="Century" w:hAnsi="Century" w:cs="Century"/>
          <w:rtl w:val="true"/>
        </w:rPr>
        <w:t>לתקוע בה יתד</w:t>
      </w:r>
      <w:r>
        <w:rPr>
          <w:rFonts w:cs="Century" w:ascii="Century" w:hAnsi="Century"/>
          <w:rtl w:val="true"/>
        </w:rPr>
        <w:t xml:space="preserve">. </w:t>
      </w:r>
      <w:r>
        <w:rPr>
          <w:rFonts w:ascii="Century" w:hAnsi="Century" w:cs="Century"/>
          <w:rtl w:val="true"/>
        </w:rPr>
        <w:t>מצא לו שם אישה מבנות המקום</w:t>
      </w:r>
      <w:r>
        <w:rPr>
          <w:rFonts w:cs="Century" w:ascii="Century" w:hAnsi="Century"/>
          <w:rtl w:val="true"/>
        </w:rPr>
        <w:t xml:space="preserve">, </w:t>
      </w:r>
      <w:r>
        <w:rPr>
          <w:rFonts w:ascii="Century" w:hAnsi="Century" w:cs="Century"/>
          <w:rtl w:val="true"/>
        </w:rPr>
        <w:t>עבד בה למחייתו</w:t>
      </w:r>
      <w:r>
        <w:rPr>
          <w:rFonts w:cs="Century" w:ascii="Century" w:hAnsi="Century"/>
          <w:rtl w:val="true"/>
        </w:rPr>
        <w:t xml:space="preserve">, </w:t>
      </w:r>
      <w:r>
        <w:rPr>
          <w:rFonts w:ascii="Century" w:hAnsi="Century" w:cs="Century"/>
          <w:rtl w:val="true"/>
        </w:rPr>
        <w:t>שכר דירה</w:t>
      </w:r>
      <w:r>
        <w:rPr>
          <w:rFonts w:cs="Century" w:ascii="Century" w:hAnsi="Century"/>
          <w:rtl w:val="true"/>
        </w:rPr>
        <w:t xml:space="preserve">, </w:t>
      </w:r>
      <w:r>
        <w:rPr>
          <w:rFonts w:ascii="Century" w:hAnsi="Century" w:cs="Century"/>
          <w:rtl w:val="true"/>
        </w:rPr>
        <w:t>החזיק מכונית</w:t>
      </w:r>
      <w:r>
        <w:rPr>
          <w:rFonts w:cs="Century" w:ascii="Century" w:hAnsi="Century"/>
          <w:rtl w:val="true"/>
        </w:rPr>
        <w:t xml:space="preserve">, </w:t>
      </w:r>
      <w:r>
        <w:rPr>
          <w:rFonts w:ascii="Century" w:hAnsi="Century" w:cs="Century"/>
          <w:rtl w:val="true"/>
        </w:rPr>
        <w:t>והחל להתרועע עם אנשי המקום</w:t>
      </w:r>
      <w:r>
        <w:rPr>
          <w:rFonts w:cs="Century" w:ascii="Century" w:hAnsi="Century"/>
          <w:rtl w:val="true"/>
        </w:rPr>
        <w:t xml:space="preserve">. </w:t>
      </w:r>
      <w:r>
        <w:rPr>
          <w:rFonts w:ascii="Century" w:hAnsi="Century" w:cs="Century"/>
          <w:rtl w:val="true"/>
        </w:rPr>
        <w:t>מיכאלוב גם החל לבחון אפשרות לרכוש לו ולבת זוגו</w:t>
      </w:r>
      <w:r>
        <w:rPr>
          <w:rFonts w:cs="Century" w:ascii="Century" w:hAnsi="Century"/>
          <w:rtl w:val="true"/>
        </w:rPr>
        <w:t xml:space="preserve">, </w:t>
      </w:r>
      <w:r>
        <w:rPr>
          <w:rFonts w:ascii="Century" w:hAnsi="Century" w:cs="Century"/>
          <w:rtl w:val="true"/>
        </w:rPr>
        <w:t>דירת קבע בצ</w:t>
      </w:r>
      <w:r>
        <w:rPr>
          <w:rFonts w:cs="Century" w:ascii="Century" w:hAnsi="Century"/>
          <w:rtl w:val="true"/>
        </w:rPr>
        <w:t>'</w:t>
      </w:r>
      <w:r>
        <w:rPr>
          <w:rFonts w:ascii="Century" w:hAnsi="Century" w:cs="Century"/>
          <w:rtl w:val="true"/>
        </w:rPr>
        <w:t>כיה</w:t>
      </w:r>
      <w:r>
        <w:rPr>
          <w:rFonts w:cs="Century" w:ascii="Century" w:hAnsi="Century"/>
          <w:rtl w:val="true"/>
        </w:rPr>
        <w:t xml:space="preserve">. </w:t>
      </w:r>
      <w:r>
        <w:rPr>
          <w:rFonts w:ascii="Century" w:hAnsi="Century" w:cs="Century"/>
          <w:rtl w:val="true"/>
        </w:rPr>
        <w:t>דומה</w:t>
      </w:r>
      <w:r>
        <w:rPr>
          <w:rFonts w:cs="Century" w:ascii="Century" w:hAnsi="Century"/>
          <w:rtl w:val="true"/>
        </w:rPr>
        <w:t xml:space="preserve">, </w:t>
      </w:r>
      <w:r>
        <w:rPr>
          <w:rFonts w:ascii="Century" w:hAnsi="Century" w:cs="Century"/>
          <w:rtl w:val="true"/>
        </w:rPr>
        <w:t>כי מעצרו סתם את הגולל על חלומותיו ועל דבריו</w:t>
      </w:r>
      <w:r>
        <w:rPr>
          <w:rFonts w:cs="Century" w:ascii="Century" w:hAnsi="Century"/>
          <w:rtl w:val="true"/>
        </w:rPr>
        <w:t xml:space="preserve">, </w:t>
      </w:r>
      <w:r>
        <w:rPr>
          <w:rFonts w:ascii="Century" w:hAnsi="Century" w:cs="Century"/>
          <w:rtl w:val="true"/>
        </w:rPr>
        <w:t>ומשהורשע ונגזר דינו פנה לשוב למדינת ישראל</w:t>
      </w:r>
      <w:r>
        <w:rPr>
          <w:rFonts w:cs="Century" w:ascii="Century" w:hAnsi="Century"/>
          <w:rtl w:val="true"/>
        </w:rPr>
        <w:t xml:space="preserve">. </w:t>
      </w:r>
      <w:r>
        <w:rPr>
          <w:rFonts w:ascii="Century" w:hAnsi="Century" w:cs="Century"/>
          <w:rtl w:val="true"/>
        </w:rPr>
        <w:t>על סמך האמור</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שהראיות שהוצגו לפניו מלמדות</w:t>
      </w:r>
      <w:r>
        <w:rPr>
          <w:rFonts w:cs="Century" w:ascii="Century" w:hAnsi="Century"/>
          <w:rtl w:val="true"/>
        </w:rPr>
        <w:t xml:space="preserve">, </w:t>
      </w:r>
      <w:r>
        <w:rPr>
          <w:rFonts w:ascii="Century" w:hAnsi="Century" w:cs="Century"/>
          <w:rtl w:val="true"/>
        </w:rPr>
        <w:t xml:space="preserve">כי מיכאלוב </w:t>
      </w:r>
      <w:r>
        <w:rPr>
          <w:rFonts w:cs="Miriam" w:ascii="Century" w:hAnsi="Century"/>
          <w:b/>
          <w:spacing w:val="0"/>
          <w:szCs w:val="24"/>
          <w:rtl w:val="true"/>
        </w:rPr>
        <w:t>"</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החל</w:t>
      </w:r>
      <w:r>
        <w:rPr>
          <w:rFonts w:ascii="Century" w:hAnsi="Century" w:eastAsia="Century" w:cs="Century"/>
          <w:b/>
          <w:b/>
          <w:spacing w:val="0"/>
          <w:szCs w:val="24"/>
          <w:rtl w:val="true"/>
        </w:rPr>
        <w:t xml:space="preserve"> </w:t>
      </w:r>
      <w:r>
        <w:rPr>
          <w:rFonts w:ascii="Century" w:hAnsi="Century" w:cs="Miriam"/>
          <w:b/>
          <w:b/>
          <w:spacing w:val="0"/>
          <w:szCs w:val="24"/>
          <w:rtl w:val="true"/>
        </w:rPr>
        <w:t>לבסס</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מרכז</w:t>
      </w:r>
      <w:r>
        <w:rPr>
          <w:rFonts w:ascii="Century" w:hAnsi="Century" w:eastAsia="Century" w:cs="Century"/>
          <w:b/>
          <w:b/>
          <w:spacing w:val="0"/>
          <w:szCs w:val="24"/>
          <w:rtl w:val="true"/>
        </w:rPr>
        <w:t xml:space="preserve"> </w:t>
      </w:r>
      <w:r>
        <w:rPr>
          <w:rFonts w:ascii="Century" w:hAnsi="Century" w:cs="Miriam"/>
          <w:b/>
          <w:b/>
          <w:spacing w:val="0"/>
          <w:szCs w:val="24"/>
          <w:rtl w:val="true"/>
        </w:rPr>
        <w:t>חייו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בצ</w:t>
      </w:r>
      <w:r>
        <w:rPr>
          <w:rFonts w:cs="Miriam" w:ascii="Century" w:hAnsi="Century"/>
          <w:b/>
          <w:spacing w:val="0"/>
          <w:szCs w:val="24"/>
          <w:rtl w:val="true"/>
        </w:rPr>
        <w:t>'</w:t>
      </w:r>
      <w:r>
        <w:rPr>
          <w:rFonts w:ascii="Century" w:hAnsi="Century" w:cs="Miriam"/>
          <w:b/>
          <w:b/>
          <w:spacing w:val="0"/>
          <w:szCs w:val="24"/>
          <w:rtl w:val="true"/>
        </w:rPr>
        <w:t>כיה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32</w:t>
      </w:r>
      <w:r>
        <w:rPr>
          <w:rFonts w:cs="Century" w:ascii="Century" w:hAnsi="Century"/>
          <w:rtl w:val="true"/>
        </w:rPr>
        <w:t xml:space="preserve">). </w:t>
      </w:r>
      <w:r>
        <w:rPr>
          <w:rFonts w:ascii="Century" w:hAnsi="Century" w:cs="Century"/>
          <w:rtl w:val="true"/>
        </w:rPr>
        <w:t xml:space="preserve">היינו </w:t>
      </w:r>
      <w:r>
        <w:rPr>
          <w:rFonts w:ascii="Century" w:hAnsi="Century" w:cs="Century"/>
          <w:rtl w:val="true"/>
        </w:rPr>
        <w:t>–</w:t>
      </w:r>
      <w:r>
        <w:rPr>
          <w:rFonts w:ascii="Century" w:hAnsi="Century" w:cs="Century"/>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עשיית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תושבותו של מיכאלוב בצ</w:t>
      </w:r>
      <w:r>
        <w:rPr>
          <w:rFonts w:cs="Century" w:ascii="Century" w:hAnsi="Century"/>
          <w:rtl w:val="true"/>
        </w:rPr>
        <w:t>'</w:t>
      </w:r>
      <w:r>
        <w:rPr>
          <w:rFonts w:ascii="Century" w:hAnsi="Century" w:cs="Century"/>
          <w:rtl w:val="true"/>
        </w:rPr>
        <w:t>כיה טרם התבססה</w:t>
      </w:r>
      <w:r>
        <w:rPr>
          <w:rFonts w:cs="Century" w:ascii="Century" w:hAnsi="Century"/>
          <w:rtl w:val="true"/>
        </w:rPr>
        <w:t xml:space="preserve">. </w:t>
      </w:r>
      <w:r>
        <w:rPr>
          <w:rFonts w:ascii="Century" w:hAnsi="Century" w:cs="Century"/>
          <w:rtl w:val="true"/>
        </w:rPr>
        <w:t>בעת ההיא</w:t>
      </w:r>
      <w:r>
        <w:rPr>
          <w:rFonts w:cs="Century" w:ascii="Century" w:hAnsi="Century"/>
          <w:rtl w:val="true"/>
        </w:rPr>
        <w:t xml:space="preserve">, </w:t>
      </w:r>
      <w:r>
        <w:rPr>
          <w:rFonts w:ascii="Century" w:hAnsi="Century" w:cs="Century"/>
          <w:rtl w:val="true"/>
        </w:rPr>
        <w:t>נותרה זיקתו העיקרית למדינת ישראל</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לא נוכל להתעלם מן הזמן הרב שחלף מאז ששב מיכאלוב לישראל ועד עתה </w:t>
      </w:r>
      <w:r>
        <w:rPr>
          <w:rFonts w:cs="Century" w:ascii="Century" w:hAnsi="Century"/>
          <w:rtl w:val="true"/>
        </w:rPr>
        <w:t>(</w:t>
      </w:r>
      <w:r>
        <w:rPr>
          <w:rFonts w:ascii="Century" w:hAnsi="Century" w:cs="Century"/>
          <w:rtl w:val="true"/>
        </w:rPr>
        <w:t>כ</w:t>
      </w:r>
      <w:r>
        <w:rPr>
          <w:rFonts w:cs="Century" w:ascii="Century" w:hAnsi="Century"/>
          <w:rtl w:val="true"/>
        </w:rPr>
        <w:t>-</w:t>
      </w:r>
      <w:r>
        <w:rPr>
          <w:rFonts w:cs="Century" w:ascii="Century" w:hAnsi="Century"/>
        </w:rPr>
        <w:t>13</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גם לא משיהוי מצדה של המדינה בהגשת העתירה </w:t>
      </w:r>
      <w:r>
        <w:rPr>
          <w:rFonts w:cs="Century" w:ascii="Century" w:hAnsi="Century"/>
          <w:rtl w:val="true"/>
        </w:rPr>
        <w:t>(</w:t>
      </w:r>
      <w:r>
        <w:rPr>
          <w:rFonts w:ascii="Century" w:hAnsi="Century" w:cs="Century"/>
          <w:rtl w:val="true"/>
        </w:rPr>
        <w:t>כ</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וחצי שנים</w:t>
      </w:r>
      <w:r>
        <w:rPr>
          <w:rFonts w:cs="Century" w:ascii="Century" w:hAnsi="Century"/>
          <w:rtl w:val="true"/>
        </w:rPr>
        <w:t xml:space="preserve">). </w:t>
      </w:r>
      <w:r>
        <w:rPr>
          <w:rFonts w:ascii="Century" w:hAnsi="Century" w:cs="Century"/>
          <w:rtl w:val="true"/>
        </w:rPr>
        <w:t>תקופה זו</w:t>
      </w:r>
      <w:r>
        <w:rPr>
          <w:rFonts w:cs="Century" w:ascii="Century" w:hAnsi="Century"/>
          <w:rtl w:val="true"/>
        </w:rPr>
        <w:t xml:space="preserve">, </w:t>
      </w:r>
      <w:r>
        <w:rPr>
          <w:rFonts w:ascii="Century" w:hAnsi="Century" w:cs="Century"/>
          <w:rtl w:val="true"/>
        </w:rPr>
        <w:t>לבטח לא תרמה לביסוס זיקתו של מיכאלוב לצ</w:t>
      </w:r>
      <w:r>
        <w:rPr>
          <w:rFonts w:cs="Century" w:ascii="Century" w:hAnsi="Century"/>
          <w:rtl w:val="true"/>
        </w:rPr>
        <w:t>'</w:t>
      </w:r>
      <w:r>
        <w:rPr>
          <w:rFonts w:ascii="Century" w:hAnsi="Century" w:cs="Century"/>
          <w:rtl w:val="true"/>
        </w:rPr>
        <w:t>כיה</w:t>
      </w:r>
      <w:r>
        <w:rPr>
          <w:rFonts w:cs="Century" w:ascii="Century" w:hAnsi="Century"/>
          <w:rtl w:val="true"/>
        </w:rPr>
        <w:t xml:space="preserve">. </w:t>
      </w:r>
      <w:r>
        <w:rPr>
          <w:rFonts w:ascii="Century" w:hAnsi="Century" w:cs="Century"/>
          <w:rtl w:val="true"/>
        </w:rPr>
        <w:t>ההיפך הוא הנכון</w:t>
      </w:r>
      <w:r>
        <w:rPr>
          <w:rFonts w:cs="Century" w:ascii="Century" w:hAnsi="Century"/>
          <w:rtl w:val="true"/>
        </w:rPr>
        <w:t xml:space="preserve">. </w:t>
      </w:r>
      <w:r>
        <w:rPr>
          <w:rFonts w:ascii="Century" w:hAnsi="Century" w:cs="Century"/>
          <w:rtl w:val="true"/>
        </w:rPr>
        <w:t>במהלך אותן שנים</w:t>
      </w:r>
      <w:r>
        <w:rPr>
          <w:rFonts w:cs="Century" w:ascii="Century" w:hAnsi="Century"/>
          <w:rtl w:val="true"/>
        </w:rPr>
        <w:t xml:space="preserve">, </w:t>
      </w:r>
      <w:r>
        <w:rPr>
          <w:rFonts w:ascii="Century" w:hAnsi="Century" w:cs="Century"/>
          <w:rtl w:val="true"/>
        </w:rPr>
        <w:t>מיכאלוב נטע אוהלו בישראל</w:t>
      </w:r>
      <w:r>
        <w:rPr>
          <w:rFonts w:cs="Century" w:ascii="Century" w:hAnsi="Century"/>
          <w:rtl w:val="true"/>
        </w:rPr>
        <w:t xml:space="preserve">, </w:t>
      </w:r>
      <w:r>
        <w:rPr>
          <w:rFonts w:ascii="Century" w:hAnsi="Century" w:cs="Century"/>
          <w:rtl w:val="true"/>
        </w:rPr>
        <w:t>שב למשפחתו ולסביבתו הטבעית</w:t>
      </w:r>
      <w:r>
        <w:rPr>
          <w:rFonts w:cs="Century" w:ascii="Century" w:hAnsi="Century"/>
          <w:rtl w:val="true"/>
        </w:rPr>
        <w:t xml:space="preserve">, </w:t>
      </w:r>
      <w:r>
        <w:rPr>
          <w:rFonts w:ascii="Century" w:hAnsi="Century" w:cs="Century"/>
          <w:rtl w:val="true"/>
        </w:rPr>
        <w:t>עמו גם בת זוגו שבינתיים נעשתה אשתו</w:t>
      </w:r>
      <w:r>
        <w:rPr>
          <w:rFonts w:cs="Century" w:ascii="Century" w:hAnsi="Century"/>
          <w:rtl w:val="true"/>
        </w:rPr>
        <w:t xml:space="preserve">. </w:t>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אפשר שחוויית המאסר בצ</w:t>
      </w:r>
      <w:r>
        <w:rPr>
          <w:rFonts w:cs="Century" w:ascii="Century" w:hAnsi="Century"/>
          <w:rtl w:val="true"/>
        </w:rPr>
        <w:t>'</w:t>
      </w:r>
      <w:r>
        <w:rPr>
          <w:rFonts w:ascii="Century" w:hAnsi="Century" w:cs="Century"/>
          <w:rtl w:val="true"/>
        </w:rPr>
        <w:t xml:space="preserve">כיה </w:t>
      </w:r>
      <w:r>
        <w:rPr>
          <w:rFonts w:ascii="Century" w:hAnsi="Century" w:cs="Century"/>
          <w:rtl w:val="true"/>
        </w:rPr>
        <w:t>–</w:t>
      </w:r>
      <w:r>
        <w:rPr>
          <w:rFonts w:ascii="Century" w:hAnsi="Century" w:cs="Century"/>
          <w:rtl w:val="true"/>
        </w:rPr>
        <w:t xml:space="preserve"> תעצים באופן משמעותי את עונשו</w:t>
      </w:r>
      <w:r>
        <w:rPr>
          <w:rFonts w:cs="Century" w:ascii="Century" w:hAnsi="Century"/>
          <w:rtl w:val="true"/>
        </w:rPr>
        <w:t xml:space="preserve">, </w:t>
      </w:r>
      <w:r>
        <w:rPr>
          <w:rFonts w:ascii="Century" w:hAnsi="Century" w:cs="Century"/>
          <w:rtl w:val="true"/>
        </w:rPr>
        <w:t>תקשה על שיקומו</w:t>
      </w:r>
      <w:r>
        <w:rPr>
          <w:rFonts w:cs="Century" w:ascii="Century" w:hAnsi="Century"/>
          <w:rtl w:val="true"/>
        </w:rPr>
        <w:t xml:space="preserve">. </w:t>
      </w:r>
      <w:r>
        <w:rPr>
          <w:rFonts w:ascii="Century" w:hAnsi="Century" w:cs="Century"/>
          <w:rtl w:val="true"/>
        </w:rPr>
        <w:t>יפים לעניין זה דבריו של המלומד ש</w:t>
      </w:r>
      <w:r>
        <w:rPr>
          <w:rFonts w:cs="Century" w:ascii="Century" w:hAnsi="Century"/>
          <w:rtl w:val="true"/>
        </w:rPr>
        <w:t>"</w:t>
      </w:r>
      <w:r>
        <w:rPr>
          <w:rFonts w:ascii="Century" w:hAnsi="Century" w:cs="Century"/>
          <w:rtl w:val="true"/>
        </w:rPr>
        <w:t>ז פלר</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מטרות</w:t>
      </w:r>
      <w:r>
        <w:rPr>
          <w:rFonts w:ascii="Century" w:hAnsi="Century" w:eastAsia="Century" w:cs="Century"/>
          <w:b/>
          <w:b/>
          <w:spacing w:val="0"/>
          <w:szCs w:val="24"/>
          <w:rtl w:val="true"/>
        </w:rPr>
        <w:t xml:space="preserve"> </w:t>
      </w:r>
      <w:r>
        <w:rPr>
          <w:rFonts w:ascii="Century" w:hAnsi="Century" w:cs="Miriam"/>
          <w:b/>
          <w:b/>
          <w:spacing w:val="0"/>
          <w:szCs w:val="24"/>
          <w:rtl w:val="true"/>
        </w:rPr>
        <w:t>הענישה</w:t>
      </w:r>
      <w:r>
        <w:rPr>
          <w:rFonts w:ascii="Century" w:hAnsi="Century" w:eastAsia="Century" w:cs="Century"/>
          <w:b/>
          <w:b/>
          <w:spacing w:val="0"/>
          <w:szCs w:val="24"/>
          <w:rtl w:val="true"/>
        </w:rPr>
        <w:t xml:space="preserve"> </w:t>
      </w:r>
      <w:r>
        <w:rPr>
          <w:rFonts w:ascii="Century" w:hAnsi="Century" w:cs="Miriam"/>
          <w:b/>
          <w:b/>
          <w:spacing w:val="0"/>
          <w:szCs w:val="24"/>
          <w:rtl w:val="true"/>
        </w:rPr>
        <w:t>מסוכלות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שירוש</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מסביבתו</w:t>
      </w:r>
      <w:r>
        <w:rPr>
          <w:rFonts w:ascii="Century" w:hAnsi="Century" w:eastAsia="Century" w:cs="Century"/>
          <w:b/>
          <w:b/>
          <w:spacing w:val="0"/>
          <w:szCs w:val="24"/>
          <w:rtl w:val="true"/>
        </w:rPr>
        <w:t xml:space="preserve"> </w:t>
      </w:r>
      <w:r>
        <w:rPr>
          <w:rFonts w:ascii="Century" w:hAnsi="Century" w:cs="Miriam"/>
          <w:b/>
          <w:b/>
          <w:spacing w:val="0"/>
          <w:szCs w:val="24"/>
          <w:rtl w:val="true"/>
        </w:rPr>
        <w:t>החברתית</w:t>
      </w:r>
      <w:r>
        <w:rPr>
          <w:rFonts w:cs="Miriam" w:ascii="Century" w:hAnsi="Century"/>
          <w:b/>
          <w:spacing w:val="0"/>
          <w:szCs w:val="24"/>
          <w:rtl w:val="true"/>
        </w:rPr>
        <w:t xml:space="preserve">, </w:t>
      </w:r>
      <w:r>
        <w:rPr>
          <w:rFonts w:ascii="Century" w:hAnsi="Century" w:cs="Miriam"/>
          <w:b/>
          <w:b/>
          <w:spacing w:val="0"/>
          <w:szCs w:val="24"/>
          <w:rtl w:val="true"/>
        </w:rPr>
        <w:t>המשפחתית</w:t>
      </w:r>
      <w:r>
        <w:rPr>
          <w:rFonts w:ascii="Century" w:hAnsi="Century" w:eastAsia="Century" w:cs="Century"/>
          <w:b/>
          <w:b/>
          <w:spacing w:val="0"/>
          <w:szCs w:val="24"/>
          <w:rtl w:val="true"/>
        </w:rPr>
        <w:t xml:space="preserve"> </w:t>
      </w:r>
      <w:r>
        <w:rPr>
          <w:rFonts w:ascii="Century" w:hAnsi="Century" w:cs="Miriam"/>
          <w:b/>
          <w:b/>
          <w:spacing w:val="0"/>
          <w:szCs w:val="24"/>
          <w:rtl w:val="true"/>
        </w:rPr>
        <w:t>והתרבותית</w:t>
      </w:r>
      <w:r>
        <w:rPr>
          <w:rFonts w:cs="Miriam" w:ascii="Century" w:hAnsi="Century"/>
          <w:b/>
          <w:spacing w:val="0"/>
          <w:szCs w:val="24"/>
          <w:rtl w:val="true"/>
        </w:rPr>
        <w:t xml:space="preserve">, </w:t>
      </w:r>
      <w:r>
        <w:rPr>
          <w:rFonts w:ascii="Century" w:hAnsi="Century" w:cs="Miriam"/>
          <w:b/>
          <w:b/>
          <w:spacing w:val="0"/>
          <w:szCs w:val="24"/>
          <w:rtl w:val="true"/>
        </w:rPr>
        <w:t>המעוניינת</w:t>
      </w:r>
      <w:r>
        <w:rPr>
          <w:rFonts w:ascii="Century" w:hAnsi="Century" w:eastAsia="Century" w:cs="Century"/>
          <w:b/>
          <w:b/>
          <w:spacing w:val="0"/>
          <w:szCs w:val="24"/>
          <w:rtl w:val="true"/>
        </w:rPr>
        <w:t xml:space="preserve"> </w:t>
      </w:r>
      <w:r>
        <w:rPr>
          <w:rFonts w:ascii="Century" w:hAnsi="Century" w:cs="Miriam"/>
          <w:b/>
          <w:b/>
          <w:spacing w:val="0"/>
          <w:szCs w:val="24"/>
          <w:rtl w:val="true"/>
        </w:rPr>
        <w:t>והמסוגלת</w:t>
      </w:r>
      <w:r>
        <w:rPr>
          <w:rFonts w:ascii="Century" w:hAnsi="Century" w:eastAsia="Century" w:cs="Century"/>
          <w:b/>
          <w:b/>
          <w:spacing w:val="0"/>
          <w:szCs w:val="24"/>
          <w:rtl w:val="true"/>
        </w:rPr>
        <w:t xml:space="preserve"> </w:t>
      </w:r>
      <w:r>
        <w:rPr>
          <w:rFonts w:ascii="Century" w:hAnsi="Century" w:cs="Miriam"/>
          <w:b/>
          <w:b/>
          <w:spacing w:val="0"/>
          <w:szCs w:val="24"/>
          <w:rtl w:val="true"/>
        </w:rPr>
        <w:t>לתרום</w:t>
      </w:r>
      <w:r>
        <w:rPr>
          <w:rFonts w:ascii="Century" w:hAnsi="Century" w:eastAsia="Century" w:cs="Century"/>
          <w:b/>
          <w:b/>
          <w:spacing w:val="0"/>
          <w:szCs w:val="24"/>
          <w:rtl w:val="true"/>
        </w:rPr>
        <w:t xml:space="preserve"> </w:t>
      </w:r>
      <w:r>
        <w:rPr>
          <w:rFonts w:ascii="Century" w:hAnsi="Century" w:cs="Miriam"/>
          <w:b/>
          <w:b/>
          <w:spacing w:val="0"/>
          <w:szCs w:val="24"/>
          <w:rtl w:val="true"/>
        </w:rPr>
        <w:t>לתיקונו</w:t>
      </w:r>
      <w:r>
        <w:rPr>
          <w:rFonts w:cs="Miriam" w:ascii="Century" w:hAnsi="Century"/>
          <w:b/>
          <w:spacing w:val="0"/>
          <w:szCs w:val="24"/>
          <w:rtl w:val="true"/>
        </w:rPr>
        <w:t xml:space="preserve">, </w:t>
      </w:r>
      <w:r>
        <w:rPr>
          <w:rFonts w:ascii="Century" w:hAnsi="Century" w:cs="Miriam"/>
          <w:b/>
          <w:b/>
          <w:spacing w:val="0"/>
          <w:szCs w:val="24"/>
          <w:rtl w:val="true"/>
        </w:rPr>
        <w:t>לשיקומו</w:t>
      </w:r>
      <w:r>
        <w:rPr>
          <w:rFonts w:ascii="Century" w:hAnsi="Century" w:eastAsia="Century" w:cs="Century"/>
          <w:b/>
          <w:b/>
          <w:spacing w:val="0"/>
          <w:szCs w:val="24"/>
          <w:rtl w:val="true"/>
        </w:rPr>
        <w:t xml:space="preserve"> </w:t>
      </w:r>
      <w:r>
        <w:rPr>
          <w:rFonts w:ascii="Century" w:hAnsi="Century" w:cs="Miriam"/>
          <w:b/>
          <w:b/>
          <w:spacing w:val="0"/>
          <w:szCs w:val="24"/>
          <w:rtl w:val="true"/>
        </w:rPr>
        <w:t>ולהשתלבותו</w:t>
      </w:r>
      <w:r>
        <w:rPr>
          <w:rFonts w:ascii="Century" w:hAnsi="Century" w:eastAsia="Century" w:cs="Century"/>
          <w:b/>
          <w:b/>
          <w:spacing w:val="0"/>
          <w:szCs w:val="24"/>
          <w:rtl w:val="true"/>
        </w:rPr>
        <w:t xml:space="preserve"> </w:t>
      </w:r>
      <w:r>
        <w:rPr>
          <w:rFonts w:ascii="Century" w:hAnsi="Century" w:cs="Miriam"/>
          <w:b/>
          <w:b/>
          <w:spacing w:val="0"/>
          <w:szCs w:val="24"/>
          <w:rtl w:val="true"/>
        </w:rPr>
        <w:t>בחיים</w:t>
      </w:r>
      <w:r>
        <w:rPr>
          <w:rFonts w:ascii="Century" w:hAnsi="Century" w:eastAsia="Century" w:cs="Century"/>
          <w:b/>
          <w:b/>
          <w:spacing w:val="0"/>
          <w:szCs w:val="24"/>
          <w:rtl w:val="true"/>
        </w:rPr>
        <w:t xml:space="preserve"> </w:t>
      </w:r>
      <w:r>
        <w:rPr>
          <w:rFonts w:ascii="Century" w:hAnsi="Century" w:cs="Miriam"/>
          <w:b/>
          <w:b/>
          <w:spacing w:val="0"/>
          <w:szCs w:val="24"/>
          <w:rtl w:val="true"/>
        </w:rPr>
        <w:t>תקינים</w:t>
      </w:r>
      <w:r>
        <w:rPr>
          <w:rFonts w:ascii="Century" w:hAnsi="Century" w:eastAsia="Century" w:cs="Century"/>
          <w:b/>
          <w:b/>
          <w:spacing w:val="0"/>
          <w:szCs w:val="24"/>
          <w:rtl w:val="true"/>
        </w:rPr>
        <w:t xml:space="preserve"> </w:t>
      </w:r>
      <w:r>
        <w:rPr>
          <w:rFonts w:ascii="Century" w:hAnsi="Century" w:cs="Miriam"/>
          <w:b/>
          <w:b/>
          <w:spacing w:val="0"/>
          <w:szCs w:val="24"/>
          <w:rtl w:val="true"/>
        </w:rPr>
        <w:t>מכל</w:t>
      </w:r>
      <w:r>
        <w:rPr>
          <w:rFonts w:ascii="Century" w:hAnsi="Century" w:eastAsia="Century" w:cs="Century"/>
          <w:b/>
          <w:b/>
          <w:spacing w:val="0"/>
          <w:szCs w:val="24"/>
          <w:rtl w:val="true"/>
        </w:rPr>
        <w:t xml:space="preserve"> </w:t>
      </w:r>
      <w:r>
        <w:rPr>
          <w:rFonts w:ascii="Century" w:hAnsi="Century" w:cs="Miriam"/>
          <w:b/>
          <w:b/>
          <w:spacing w:val="0"/>
          <w:szCs w:val="24"/>
          <w:rtl w:val="true"/>
        </w:rPr>
        <w:t>הבחינות</w:t>
      </w:r>
      <w:r>
        <w:rPr>
          <w:rFonts w:ascii="Century" w:hAnsi="Century" w:eastAsia="Century" w:cs="Century"/>
          <w:b/>
          <w:b/>
          <w:spacing w:val="0"/>
          <w:szCs w:val="24"/>
          <w:rtl w:val="true"/>
        </w:rPr>
        <w:t xml:space="preserve"> </w:t>
      </w:r>
      <w:r>
        <w:rPr>
          <w:rFonts w:ascii="Century" w:hAnsi="Century" w:cs="Miriam"/>
          <w:b/>
          <w:b/>
          <w:spacing w:val="0"/>
          <w:szCs w:val="24"/>
          <w:rtl w:val="true"/>
        </w:rPr>
        <w:t>ועל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העברתו</w:t>
      </w:r>
      <w:r>
        <w:rPr>
          <w:rFonts w:ascii="Century" w:hAnsi="Century" w:eastAsia="Century" w:cs="Century"/>
          <w:b/>
          <w:b/>
          <w:spacing w:val="0"/>
          <w:szCs w:val="24"/>
          <w:rtl w:val="true"/>
        </w:rPr>
        <w:t xml:space="preserve"> </w:t>
      </w:r>
      <w:r>
        <w:rPr>
          <w:rFonts w:ascii="Century" w:hAnsi="Century" w:cs="Miriam"/>
          <w:b/>
          <w:b/>
          <w:spacing w:val="0"/>
          <w:szCs w:val="24"/>
          <w:rtl w:val="true"/>
        </w:rPr>
        <w:t>לשלטון</w:t>
      </w:r>
      <w:r>
        <w:rPr>
          <w:rFonts w:cs="Miriam" w:ascii="Century" w:hAnsi="Century"/>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וסביבה</w:t>
      </w:r>
      <w:r>
        <w:rPr>
          <w:rFonts w:ascii="Century" w:hAnsi="Century" w:eastAsia="Century" w:cs="Century"/>
          <w:b/>
          <w:b/>
          <w:spacing w:val="0"/>
          <w:szCs w:val="24"/>
          <w:rtl w:val="true"/>
        </w:rPr>
        <w:t xml:space="preserve"> </w:t>
      </w:r>
      <w:r>
        <w:rPr>
          <w:rFonts w:ascii="Century" w:hAnsi="Century" w:cs="Miriam"/>
          <w:b/>
          <w:b/>
          <w:spacing w:val="0"/>
          <w:szCs w:val="24"/>
          <w:rtl w:val="true"/>
        </w:rPr>
        <w:t>זרים</w:t>
      </w:r>
      <w:r>
        <w:rPr>
          <w:rFonts w:cs="Miriam" w:ascii="Century" w:hAnsi="Century"/>
          <w:b/>
          <w:spacing w:val="0"/>
          <w:szCs w:val="24"/>
          <w:rtl w:val="true"/>
        </w:rPr>
        <w:t xml:space="preserve">, </w:t>
      </w:r>
      <w:r>
        <w:rPr>
          <w:rFonts w:ascii="Century" w:hAnsi="Century" w:cs="Miriam"/>
          <w:b/>
          <w:b/>
          <w:spacing w:val="0"/>
          <w:szCs w:val="24"/>
          <w:rtl w:val="true"/>
        </w:rPr>
        <w:t>שיישפט</w:t>
      </w:r>
      <w:r>
        <w:rPr>
          <w:rFonts w:ascii="Century" w:hAnsi="Century" w:eastAsia="Century" w:cs="Century"/>
          <w:b/>
          <w:b/>
          <w:spacing w:val="0"/>
          <w:szCs w:val="24"/>
          <w:rtl w:val="true"/>
        </w:rPr>
        <w:t xml:space="preserve"> </w:t>
      </w:r>
      <w:r>
        <w:rPr>
          <w:rFonts w:ascii="Century" w:hAnsi="Century" w:cs="Miriam"/>
          <w:b/>
          <w:b/>
          <w:spacing w:val="0"/>
          <w:szCs w:val="24"/>
          <w:rtl w:val="true"/>
        </w:rPr>
        <w:t>ושיובא</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עונשו</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w:t>
      </w:r>
      <w:r>
        <w:rPr>
          <w:rFonts w:cs="Century" w:ascii="Century" w:hAnsi="Century"/>
          <w:rtl w:val="true"/>
        </w:rPr>
        <w:t>"</w:t>
      </w:r>
      <w:r>
        <w:rPr>
          <w:rFonts w:ascii="Century" w:hAnsi="Century" w:cs="Century"/>
          <w:rtl w:val="true"/>
        </w:rPr>
        <w:t xml:space="preserve">ז פלר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ascii="Century" w:hAnsi="Century" w:eastAsia="Century" w:cs="Century"/>
          <w:b/>
          <w:b/>
          <w:spacing w:val="0"/>
          <w:szCs w:val="24"/>
          <w:rtl w:val="true"/>
        </w:rPr>
        <w:t xml:space="preserve"> </w:t>
      </w:r>
      <w:r>
        <w:rPr>
          <w:rFonts w:cs="Century" w:ascii="Century" w:hAnsi="Century"/>
        </w:rPr>
        <w:t>122</w:t>
      </w:r>
      <w:r>
        <w:rPr>
          <w:rFonts w:cs="Century" w:ascii="Century" w:hAnsi="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ם</w:t>
      </w:r>
      <w:r>
        <w:rPr>
          <w:rFonts w:cs="Century" w:ascii="Century" w:hAnsi="Century"/>
          <w:rtl w:val="true"/>
        </w:rPr>
        <w:t>))</w:t>
      </w:r>
      <w:r>
        <w:rPr>
          <w:rtl w:val="true"/>
        </w:rPr>
        <w:t>.</w:t>
      </w:r>
      <w:r>
        <w:rPr>
          <w:rtl w:val="true"/>
        </w:rPr>
        <w:t xml:space="preserve"> </w:t>
      </w:r>
      <w:r>
        <w:rPr>
          <w:rtl w:val="true"/>
        </w:rPr>
        <w:t>סביבתו</w:t>
      </w:r>
      <w:r>
        <w:rPr>
          <w:rFonts w:eastAsia="Arial TUR;Arial" w:cs="Arial TUR;Arial"/>
          <w:rtl w:val="true"/>
        </w:rPr>
        <w:t xml:space="preserve"> </w:t>
      </w:r>
      <w:r>
        <w:rPr>
          <w:rtl w:val="true"/>
        </w:rPr>
        <w:t>המשפחתית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מיכאלוב</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בישראל</w:t>
      </w:r>
      <w:r>
        <w:rPr>
          <w:rtl w:val="true"/>
        </w:rPr>
        <w:t xml:space="preserve">, </w:t>
      </w:r>
      <w:r>
        <w:rPr>
          <w:rtl w:val="true"/>
        </w:rPr>
        <w:t>עשויה</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לשיקומו</w:t>
      </w:r>
      <w:r>
        <w:rPr>
          <w:rtl w:val="true"/>
        </w:rPr>
        <w:t xml:space="preserve">, </w:t>
      </w:r>
      <w:r>
        <w:rPr>
          <w:rtl w:val="true"/>
        </w:rPr>
        <w:t>הרבה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סביבה</w:t>
      </w:r>
      <w:r>
        <w:rPr>
          <w:rFonts w:eastAsia="Arial TUR;Arial" w:cs="Arial TUR;Arial"/>
          <w:rtl w:val="true"/>
        </w:rPr>
        <w:t xml:space="preserve"> </w:t>
      </w:r>
      <w:r>
        <w:rPr>
          <w:rtl w:val="true"/>
        </w:rPr>
        <w:t>זרה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בצ</w:t>
      </w:r>
      <w:r>
        <w:rPr>
          <w:rtl w:val="true"/>
        </w:rPr>
        <w:t>'</w:t>
      </w:r>
      <w:r>
        <w:rPr>
          <w:rtl w:val="true"/>
        </w:rPr>
        <w:t>כיה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אוסיף</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בקשתה</w:t>
      </w:r>
      <w:r>
        <w:rPr>
          <w:rFonts w:ascii="Century" w:hAnsi="Century" w:eastAsia="Century" w:cs="Century"/>
          <w:b/>
          <w:b/>
          <w:spacing w:val="0"/>
          <w:szCs w:val="24"/>
          <w:rtl w:val="true"/>
        </w:rPr>
        <w:t xml:space="preserve"> </w:t>
      </w:r>
      <w:r>
        <w:rPr>
          <w:rFonts w:ascii="Century" w:hAnsi="Century" w:cs="Miriam"/>
          <w:b/>
          <w:b/>
          <w:spacing w:val="0"/>
          <w:szCs w:val="24"/>
          <w:rtl w:val="true"/>
        </w:rPr>
        <w:t>החלופית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ממשלת</w:t>
      </w:r>
      <w:r>
        <w:rPr>
          <w:rFonts w:ascii="Century" w:hAnsi="Century" w:eastAsia="Century" w:cs="Century"/>
          <w:b/>
          <w:b/>
          <w:spacing w:val="0"/>
          <w:szCs w:val="24"/>
          <w:rtl w:val="true"/>
        </w:rPr>
        <w:t xml:space="preserve"> </w:t>
      </w:r>
      <w:r>
        <w:rPr>
          <w:rFonts w:ascii="Century" w:hAnsi="Century" w:cs="Miriam"/>
          <w:b/>
          <w:b/>
          <w:spacing w:val="0"/>
          <w:szCs w:val="24"/>
          <w:rtl w:val="true"/>
        </w:rPr>
        <w:t>צ</w:t>
      </w:r>
      <w:r>
        <w:rPr>
          <w:rFonts w:cs="Miriam" w:ascii="Century" w:hAnsi="Century"/>
          <w:b/>
          <w:spacing w:val="0"/>
          <w:szCs w:val="24"/>
          <w:rtl w:val="true"/>
        </w:rPr>
        <w:t>'</w:t>
      </w:r>
      <w:r>
        <w:rPr>
          <w:rFonts w:ascii="Century" w:hAnsi="Century" w:cs="Miriam"/>
          <w:b/>
          <w:b/>
          <w:spacing w:val="0"/>
          <w:szCs w:val="24"/>
          <w:rtl w:val="true"/>
        </w:rPr>
        <w:t>כיה</w:t>
      </w:r>
      <w:r>
        <w:rPr>
          <w:rFonts w:cs="Miriam" w:ascii="Century" w:hAnsi="Century"/>
          <w:b/>
          <w:spacing w:val="0"/>
          <w:szCs w:val="24"/>
          <w:rtl w:val="true"/>
        </w:rPr>
        <w:t xml:space="preserve">, </w:t>
      </w:r>
      <w:r>
        <w:rPr>
          <w:rFonts w:ascii="Century" w:hAnsi="Century" w:cs="Miriam"/>
          <w:b/>
          <w:b/>
          <w:spacing w:val="0"/>
          <w:szCs w:val="24"/>
          <w:rtl w:val="true"/>
        </w:rPr>
        <w:t>לפיה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תתאפשר</w:t>
      </w:r>
      <w:r>
        <w:rPr>
          <w:rFonts w:ascii="Century" w:hAnsi="Century" w:eastAsia="Century" w:cs="Century"/>
          <w:b/>
          <w:b/>
          <w:spacing w:val="0"/>
          <w:szCs w:val="24"/>
          <w:rtl w:val="true"/>
        </w:rPr>
        <w:t xml:space="preserve"> </w:t>
      </w:r>
      <w:r>
        <w:rPr>
          <w:rFonts w:ascii="Century" w:hAnsi="Century" w:cs="Miriam"/>
          <w:b/>
          <w:b/>
          <w:spacing w:val="0"/>
          <w:szCs w:val="24"/>
          <w:rtl w:val="true"/>
        </w:rPr>
        <w:t>הסגרה</w:t>
      </w:r>
      <w:r>
        <w:rPr>
          <w:rFonts w:cs="Miriam" w:ascii="Century" w:hAnsi="Century"/>
          <w:b/>
          <w:spacing w:val="0"/>
          <w:szCs w:val="24"/>
          <w:rtl w:val="true"/>
        </w:rPr>
        <w:t xml:space="preserve">, </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שמתבקשת</w:t>
      </w:r>
      <w:r>
        <w:rPr>
          <w:rFonts w:ascii="Century" w:hAnsi="Century" w:eastAsia="Century" w:cs="Century"/>
          <w:b/>
          <w:b/>
          <w:spacing w:val="0"/>
          <w:szCs w:val="24"/>
          <w:rtl w:val="true"/>
        </w:rPr>
        <w:t xml:space="preserve"> </w:t>
      </w:r>
      <w:r>
        <w:rPr>
          <w:rFonts w:ascii="Century" w:hAnsi="Century" w:cs="Miriam"/>
          <w:b/>
          <w:b/>
          <w:spacing w:val="0"/>
          <w:szCs w:val="24"/>
          <w:rtl w:val="true"/>
        </w:rPr>
        <w:t>אכיפת</w:t>
      </w:r>
      <w:r>
        <w:rPr>
          <w:rFonts w:ascii="Century" w:hAnsi="Century" w:eastAsia="Century" w:cs="Century"/>
          <w:b/>
          <w:b/>
          <w:spacing w:val="0"/>
          <w:szCs w:val="24"/>
          <w:rtl w:val="true"/>
        </w:rPr>
        <w:t xml:space="preserve"> </w:t>
      </w:r>
      <w:r>
        <w:rPr>
          <w:rFonts w:ascii="Century" w:hAnsi="Century" w:cs="Miriam"/>
          <w:b/>
          <w:b/>
          <w:spacing w:val="0"/>
          <w:szCs w:val="24"/>
          <w:rtl w:val="true"/>
        </w:rPr>
        <w:t>המאסר</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סעיף </w:t>
      </w:r>
      <w:r>
        <w:rPr>
          <w:rFonts w:cs="Century" w:ascii="Century" w:hAnsi="Century"/>
        </w:rPr>
        <w:t>50</w:t>
      </w:r>
      <w:r>
        <w:rPr>
          <w:rFonts w:cs="Century" w:ascii="Century" w:hAnsi="Century"/>
          <w:rtl w:val="true"/>
        </w:rPr>
        <w:t xml:space="preserve"> </w:t>
      </w:r>
      <w:r>
        <w:rPr>
          <w:rFonts w:ascii="Century" w:hAnsi="Century" w:cs="Century"/>
          <w:rtl w:val="true"/>
        </w:rPr>
        <w:t>להודעת הערעור</w:t>
      </w:r>
      <w:r>
        <w:rPr>
          <w:rFonts w:cs="Century" w:ascii="Century" w:hAnsi="Century"/>
          <w:rtl w:val="true"/>
        </w:rPr>
        <w:t xml:space="preserve">), </w:t>
      </w:r>
      <w:r>
        <w:rPr>
          <w:rFonts w:ascii="Century" w:hAnsi="Century" w:cs="Century"/>
          <w:rtl w:val="true"/>
        </w:rPr>
        <w:t>הפיסה במעט את דעתי</w:t>
      </w:r>
      <w:r>
        <w:rPr>
          <w:rFonts w:cs="Century" w:ascii="Century" w:hAnsi="Century"/>
          <w:rtl w:val="true"/>
        </w:rPr>
        <w:t xml:space="preserve">, </w:t>
      </w:r>
      <w:r>
        <w:rPr>
          <w:rFonts w:ascii="Century" w:hAnsi="Century" w:cs="Century"/>
          <w:rtl w:val="true"/>
        </w:rPr>
        <w:t>באשר לחשש מפני פגיעה ביחסי המדינה עם צ</w:t>
      </w:r>
      <w:r>
        <w:rPr>
          <w:rFonts w:cs="Century" w:ascii="Century" w:hAnsi="Century"/>
          <w:rtl w:val="true"/>
        </w:rPr>
        <w:t>'</w:t>
      </w:r>
      <w:r>
        <w:rPr>
          <w:rFonts w:ascii="Century" w:hAnsi="Century" w:cs="Century"/>
          <w:rtl w:val="true"/>
        </w:rPr>
        <w:t>כיה על רקע דחיית בקשת ההסגרה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Century"/>
          <w:rtl w:val="true"/>
        </w:rPr>
        <w:t>לפיכך</w:t>
      </w:r>
      <w:r>
        <w:rPr>
          <w:rFonts w:cs="Century" w:ascii="Century" w:hAnsi="Century"/>
          <w:rtl w:val="true"/>
        </w:rPr>
        <w:t xml:space="preserve">, </w:t>
      </w:r>
      <w:r>
        <w:rPr>
          <w:rFonts w:ascii="Century" w:hAnsi="Century" w:cs="Century"/>
          <w:rtl w:val="true"/>
        </w:rPr>
        <w:t>החלטתי לצרף את עמדתי לעמדת חברַי</w:t>
      </w:r>
      <w:r>
        <w:rPr>
          <w:rFonts w:cs="Century" w:ascii="Century" w:hAnsi="Century"/>
          <w:rtl w:val="true"/>
        </w:rPr>
        <w:t xml:space="preserve">, </w:t>
      </w:r>
      <w:r>
        <w:rPr>
          <w:rFonts w:ascii="Century" w:hAnsi="Century" w:cs="Century"/>
          <w:rtl w:val="true"/>
        </w:rPr>
        <w:t>ולדחות את ערעור המדינה</w:t>
      </w:r>
      <w:r>
        <w:rPr>
          <w:rFonts w:cs="Century" w:ascii="Century" w:hAnsi="Century"/>
          <w:rtl w:val="true"/>
        </w:rPr>
        <w:t xml:space="preserve">. </w:t>
      </w:r>
    </w:p>
    <w:p>
      <w:pPr>
        <w:pStyle w:val="Ruller41"/>
        <w:ind w:end="0"/>
        <w:jc w:val="start"/>
        <w:rPr>
          <w:rFonts w:ascii="Century" w:hAnsi="Century" w:cs="Century"/>
        </w:rPr>
      </w:pPr>
      <w:r>
        <w:rPr>
          <w:rFonts w:cs="Century" w:ascii="Century" w:hAnsi="Century"/>
          <w:rtl w:val="true"/>
        </w:rPr>
      </w:r>
    </w:p>
    <w:p>
      <w:pPr>
        <w:pStyle w:val="Ruller41"/>
        <w:ind w:end="0"/>
        <w:jc w:val="start"/>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start"/>
        <w:rPr/>
      </w:pPr>
      <w:r>
        <w:rPr>
          <w:rtl w:val="true"/>
        </w:rPr>
      </w:r>
    </w:p>
    <w:p>
      <w:pPr>
        <w:pStyle w:val="Ruller41"/>
        <w:ind w:end="0"/>
        <w:jc w:val="start"/>
        <w:rPr/>
      </w:pPr>
      <w:r>
        <w:rPr>
          <w:rtl w:val="true"/>
        </w:rPr>
      </w:r>
    </w:p>
    <w:p>
      <w:pPr>
        <w:pStyle w:val="Ruller41"/>
        <w:ind w:end="0"/>
        <w:jc w:val="start"/>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1"/>
        <w:ind w:end="0"/>
        <w:jc w:val="start"/>
        <w:rPr/>
      </w:pPr>
      <w:r>
        <w:rPr>
          <w:rtl w:val="true"/>
        </w:rPr>
      </w:r>
    </w:p>
    <w:p>
      <w:pPr>
        <w:pStyle w:val="Ruller41"/>
        <w:ind w:end="0"/>
        <w:jc w:val="start"/>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ל</w:t>
      </w:r>
      <w:r>
        <w:rPr>
          <w:rtl w:val="true"/>
        </w:rPr>
        <w:t xml:space="preserve">' </w:t>
      </w:r>
      <w:r>
        <w:rPr>
          <w:rtl w:val="true"/>
        </w:rPr>
        <w:t>בשבט</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25.2.2020</w:t>
      </w:r>
      <w:r>
        <w:rPr>
          <w:rtl w:val="true"/>
        </w:rPr>
        <w:t xml:space="preserve">). </w:t>
      </w:r>
      <w:bookmarkEnd w:id="16"/>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416"/>
        <w:gridCol w:w="3159"/>
        <w:gridCol w:w="2788"/>
      </w:tblGrid>
      <w:tr>
        <w:trPr/>
        <w:tc>
          <w:tcPr>
            <w:tcW w:w="2416"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3159"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19078470</w:t>
      </w:r>
      <w:r>
        <w:rPr>
          <w:sz w:val="16"/>
          <w:rtl w:val="true"/>
        </w:rPr>
        <w:t>_</w:t>
      </w:r>
      <w:r>
        <w:rPr>
          <w:sz w:val="16"/>
        </w:rPr>
        <w:t>N03.docx</w:t>
      </w:r>
      <w:r>
        <w:rPr>
          <w:sz w:val="16"/>
          <w:rtl w:val="true"/>
        </w:rPr>
        <w:t xml:space="preserve">   </w:t>
      </w:r>
      <w:r>
        <w:rPr>
          <w:sz w:val="16"/>
          <w:sz w:val="16"/>
          <w:rtl w:val="true"/>
        </w:rPr>
        <w:t>רח</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8">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54678313-7847/19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0"/>
      <w:footerReference w:type="default" r:id="rId4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altName w:val="Verdan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7847/19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היועץ המשפטי לממשלה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ולרי מיכאלוב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Verdana" w:hAnsi="Tahoma;Verdana" w:cs="Tahoma;Verdana"/>
      <w:sz w:val="18"/>
      <w:szCs w:val="18"/>
    </w:rPr>
  </w:style>
  <w:style w:type="character" w:styleId="Ruller4">
    <w:name w:val="Ruller4 תו"/>
    <w:qFormat/>
    <w:rPr>
      <w:rFonts w:ascii="Arial TUR;Arial" w:hAnsi="Arial TUR;Arial" w:cs="FrankRuehl"/>
      <w:spacing w:val="10"/>
      <w:sz w:val="22"/>
      <w:szCs w:val="28"/>
    </w:rPr>
  </w:style>
  <w:style w:type="character" w:styleId="default">
    <w:name w:val="default"/>
    <w:qFormat/>
    <w:rPr/>
  </w:style>
  <w:style w:type="character" w:styleId="Ruller5">
    <w:name w:val="Ruller5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Verdana" w:hAnsi="Tahoma;Verdana" w:cs="Tahoma;Verdan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623047" TargetMode="External"/><Relationship Id="rId3" Type="http://schemas.openxmlformats.org/officeDocument/2006/relationships/hyperlink" Target="http://www.nevo.co.il/law/71723" TargetMode="External"/><Relationship Id="rId4" Type="http://schemas.openxmlformats.org/officeDocument/2006/relationships/hyperlink" Target="http://www.nevo.co.il/law/71723/1a" TargetMode="External"/><Relationship Id="rId5" Type="http://schemas.openxmlformats.org/officeDocument/2006/relationships/hyperlink" Target="http://www.nevo.co.il/law/71723/1a.a" TargetMode="External"/><Relationship Id="rId6" Type="http://schemas.openxmlformats.org/officeDocument/2006/relationships/hyperlink" Target="http://www.nevo.co.il/law/71723/9" TargetMode="External"/><Relationship Id="rId7" Type="http://schemas.openxmlformats.org/officeDocument/2006/relationships/hyperlink" Target="http://www.nevo.co.il/law/74386" TargetMode="External"/><Relationship Id="rId8" Type="http://schemas.openxmlformats.org/officeDocument/2006/relationships/hyperlink" Target="http://www.nevo.co.il/law/71723/9" TargetMode="External"/><Relationship Id="rId9" Type="http://schemas.openxmlformats.org/officeDocument/2006/relationships/hyperlink" Target="http://www.nevo.co.il/law/71723" TargetMode="External"/><Relationship Id="rId10" Type="http://schemas.openxmlformats.org/officeDocument/2006/relationships/hyperlink" Target="http://www.nevo.co.il/law/71723/1a.a" TargetMode="External"/><Relationship Id="rId11" Type="http://schemas.openxmlformats.org/officeDocument/2006/relationships/hyperlink" Target="http://www.nevo.co.il/law/71723" TargetMode="External"/><Relationship Id="rId12" Type="http://schemas.openxmlformats.org/officeDocument/2006/relationships/hyperlink" Target="http://www.nevo.co.il/law/71723/1a.a" TargetMode="External"/><Relationship Id="rId13" Type="http://schemas.openxmlformats.org/officeDocument/2006/relationships/hyperlink" Target="http://www.nevo.co.il/law/71723" TargetMode="External"/><Relationship Id="rId14" Type="http://schemas.openxmlformats.org/officeDocument/2006/relationships/hyperlink" Target="http://www.nevo.co.il/case/25623047" TargetMode="External"/><Relationship Id="rId15" Type="http://schemas.openxmlformats.org/officeDocument/2006/relationships/hyperlink" Target="http://www.nevo.co.il/law/71723/9" TargetMode="External"/><Relationship Id="rId16" Type="http://schemas.openxmlformats.org/officeDocument/2006/relationships/hyperlink" Target="http://www.nevo.co.il/law/71723" TargetMode="External"/><Relationship Id="rId17" Type="http://schemas.openxmlformats.org/officeDocument/2006/relationships/hyperlink" Target="http://www.nevo.co.il/law/71723/1a.a" TargetMode="External"/><Relationship Id="rId18" Type="http://schemas.openxmlformats.org/officeDocument/2006/relationships/hyperlink" Target="http://www.nevo.co.il/law/71723" TargetMode="External"/><Relationship Id="rId19" Type="http://schemas.openxmlformats.org/officeDocument/2006/relationships/hyperlink" Target="http://www.nevo.co.il/law/74386" TargetMode="External"/><Relationship Id="rId20" Type="http://schemas.openxmlformats.org/officeDocument/2006/relationships/hyperlink" Target="http://www.nevo.co.il/law/71723/1a.a" TargetMode="External"/><Relationship Id="rId21" Type="http://schemas.openxmlformats.org/officeDocument/2006/relationships/hyperlink" Target="http://www.nevo.co.il/law/71723" TargetMode="External"/><Relationship Id="rId22" Type="http://schemas.openxmlformats.org/officeDocument/2006/relationships/hyperlink" Target="http://www.nevo.co.il/case/5871190" TargetMode="External"/><Relationship Id="rId23" Type="http://schemas.openxmlformats.org/officeDocument/2006/relationships/hyperlink" Target="http://www.nevo.co.il/case/5838050" TargetMode="External"/><Relationship Id="rId24" Type="http://schemas.openxmlformats.org/officeDocument/2006/relationships/hyperlink" Target="http://www.nevo.co.il/case/5775651" TargetMode="External"/><Relationship Id="rId25" Type="http://schemas.openxmlformats.org/officeDocument/2006/relationships/hyperlink" Target="http://www.nevo.co.il/case/5951380" TargetMode="External"/><Relationship Id="rId26" Type="http://schemas.openxmlformats.org/officeDocument/2006/relationships/hyperlink" Target="http://www.nevo.co.il/case/5845435" TargetMode="External"/><Relationship Id="rId27" Type="http://schemas.openxmlformats.org/officeDocument/2006/relationships/hyperlink" Target="http://www.nevo.co.il/law/71723" TargetMode="External"/><Relationship Id="rId28" Type="http://schemas.openxmlformats.org/officeDocument/2006/relationships/hyperlink" Target="http://www.nevo.co.il/case/25386888" TargetMode="External"/><Relationship Id="rId29" Type="http://schemas.openxmlformats.org/officeDocument/2006/relationships/hyperlink" Target="http://www.nevo.co.il/case/25690639" TargetMode="External"/><Relationship Id="rId30" Type="http://schemas.openxmlformats.org/officeDocument/2006/relationships/hyperlink" Target="http://www.nevo.co.il/case/23143751" TargetMode="External"/><Relationship Id="rId31" Type="http://schemas.openxmlformats.org/officeDocument/2006/relationships/hyperlink" Target="http://www.nevo.co.il/case/23353988" TargetMode="External"/><Relationship Id="rId32" Type="http://schemas.openxmlformats.org/officeDocument/2006/relationships/hyperlink" Target="http://www.nevo.co.il/law/71723/1a" TargetMode="External"/><Relationship Id="rId33" Type="http://schemas.openxmlformats.org/officeDocument/2006/relationships/hyperlink" Target="http://www.nevo.co.il/case/5845435" TargetMode="External"/><Relationship Id="rId34" Type="http://schemas.openxmlformats.org/officeDocument/2006/relationships/hyperlink" Target="http://www.nevo.co.il/case/5594425" TargetMode="External"/><Relationship Id="rId35" Type="http://schemas.openxmlformats.org/officeDocument/2006/relationships/hyperlink" Target="http://www.nevo.co.il/law/71723/1a.a" TargetMode="External"/><Relationship Id="rId36" Type="http://schemas.openxmlformats.org/officeDocument/2006/relationships/hyperlink" Target="http://www.nevo.co.il/law/71723" TargetMode="External"/><Relationship Id="rId37" Type="http://schemas.openxmlformats.org/officeDocument/2006/relationships/hyperlink" Target="http://www.nevo.co.il/case/5845435" TargetMode="External"/><Relationship Id="rId38" Type="http://schemas.openxmlformats.org/officeDocument/2006/relationships/hyperlink" Target="http://supreme.court.gov.il/"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2020-02-26T10:59:00Z</dcterms:created>
  <dc:creator>h4</dc:creator>
  <dc:description/>
  <cp:keywords/>
  <dc:language>en-IL</dc:language>
  <cp:lastModifiedBy>orly</cp:lastModifiedBy>
  <cp:lastPrinted>2020-02-25T11:50:00Z</cp:lastPrinted>
  <dcterms:modified xsi:type="dcterms:W3CDTF">2020-02-26T10:59:00Z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היועץ המשפטי לממשלה</vt:lpwstr>
  </property>
  <property fmtid="{D5CDD505-2E9C-101B-9397-08002B2CF9AE}" pid="3" name="APPELLANT1">
    <vt:lpwstr/>
  </property>
  <property fmtid="{D5CDD505-2E9C-101B-9397-08002B2CF9AE}" pid="4" name="APPELLANT2">
    <vt:lpwstr/>
  </property>
  <property fmtid="{D5CDD505-2E9C-101B-9397-08002B2CF9AE}" pid="5" name="APPELLEE">
    <vt:lpwstr>ולרי מיכאלוב</vt:lpwstr>
  </property>
  <property fmtid="{D5CDD505-2E9C-101B-9397-08002B2CF9AE}" pid="6" name="APPELLEE1">
    <vt:lpwstr/>
  </property>
  <property fmtid="{D5CDD505-2E9C-101B-9397-08002B2CF9AE}" pid="7" name="APPELLEE2">
    <vt:lpwstr/>
  </property>
  <property fmtid="{D5CDD505-2E9C-101B-9397-08002B2CF9AE}" pid="8" name="CASESLISTTMP1">
    <vt:lpwstr>25623047:2;5871190;5838050;5775651;5951380;5845435:3;25386888;25690639;23143751;23353988;5594425</vt:lpwstr>
  </property>
  <property fmtid="{D5CDD505-2E9C-101B-9397-08002B2CF9AE}" pid="9" name="CITY">
    <vt:lpwstr/>
  </property>
  <property fmtid="{D5CDD505-2E9C-101B-9397-08002B2CF9AE}" pid="10" name="DATE">
    <vt:lpwstr>20200225</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סולברג;ד' מינץ;י' אלרון</vt:lpwstr>
  </property>
  <property fmtid="{D5CDD505-2E9C-101B-9397-08002B2CF9AE}" pid="14" name="LAWLISTTMP1">
    <vt:lpwstr>71723/009;001a.a:3;001a</vt:lpwstr>
  </property>
  <property fmtid="{D5CDD505-2E9C-101B-9397-08002B2CF9AE}" pid="15" name="LAWLISTTMP2">
    <vt:lpwstr>74386</vt:lpwstr>
  </property>
  <property fmtid="{D5CDD505-2E9C-101B-9397-08002B2CF9AE}" pid="16" name="LAWYER">
    <vt:lpwstr>מיכאל כרמל;ינאי גורני;יובל קפלינסקי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הסגרה</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28</vt:lpwstr>
  </property>
  <property fmtid="{D5CDD505-2E9C-101B-9397-08002B2CF9AE}" pid="38" name="NOSE21">
    <vt:lpwstr>סייגים להסגרה</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610</vt:lpwstr>
  </property>
  <property fmtid="{D5CDD505-2E9C-101B-9397-08002B2CF9AE}" pid="49" name="NOSE31">
    <vt:lpwstr>תושבות ישראלית</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4220</vt:lpwstr>
  </property>
  <property fmtid="{D5CDD505-2E9C-101B-9397-08002B2CF9AE}" pid="60" name="PADIDATE">
    <vt:lpwstr>20200226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7847</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410120200225</vt:lpwstr>
  </property>
  <property fmtid="{D5CDD505-2E9C-101B-9397-08002B2CF9AE}" pid="70" name="TYPE_N_DATE">
    <vt:lpwstr>41020200225</vt:lpwstr>
  </property>
  <property fmtid="{D5CDD505-2E9C-101B-9397-08002B2CF9AE}" pid="71" name="VOLUME">
    <vt:lpwstr/>
  </property>
  <property fmtid="{D5CDD505-2E9C-101B-9397-08002B2CF9AE}" pid="72" name="WORDNUMPAGES">
    <vt:lpwstr>13</vt:lpwstr>
  </property>
</Properties>
</file>