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7850/21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דסוקי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              </w:t>
              </w:r>
              <w:r>
                <w:rPr>
                  <w:rStyle w:val="Hyperlink"/>
                  <w:sz w:val="24"/>
                  <w:szCs w:val="24"/>
                </w:rPr>
                <w:t>50334-03-20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1.6.2022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שניתן בעקבות הרשעת המערער על יסוד הודאתו במסגרת הסדר טיעון בעבירות של חבלה בכוונה מחמירה ובנשיאת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בו הושתו על המערער </w:t>
      </w:r>
      <w:r>
        <w:rPr>
          <w:rFonts w:cs="Times New Roman" w:ascii="Times New Roman" w:hAnsi="Times New Roman"/>
          <w:spacing w:val="0"/>
          <w:szCs w:val="26"/>
        </w:rPr>
        <w:t>51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לצד עונשים נלווים וכן הופעל עונש מאסר על תנאי מחציתו במצטבר כך שהמערער יירצה באופן כולל </w:t>
      </w:r>
      <w:r>
        <w:rPr>
          <w:rFonts w:cs="Times New Roman" w:ascii="Times New Roman" w:hAnsi="Times New Roman"/>
          <w:spacing w:val="0"/>
          <w:szCs w:val="26"/>
        </w:rPr>
        <w:t>57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בעונש מוצדק לחלוטין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מתון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הסדר טיעון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הסדר טיעון – טווח ענישה מוסכם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שניתן בעקבות הרשעת המערער על יסוד הודאתו במסגרת הסדר טיעון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בחבלה בכוונה מחמירה ובנשיאת נשק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בו הושתו על המערער </w:t>
      </w:r>
      <w:r>
        <w:rPr>
          <w:rFonts w:cs="Times New Roman" w:ascii="Times New Roman" w:hAnsi="Times New Roman"/>
          <w:spacing w:val="0"/>
          <w:szCs w:val="26"/>
        </w:rPr>
        <w:t>51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 מאסר על תנאי ופיצוי למתלונן בסך </w:t>
      </w:r>
      <w:r>
        <w:rPr>
          <w:rFonts w:cs="Times New Roman" w:ascii="Times New Roman" w:hAnsi="Times New Roman"/>
          <w:spacing w:val="0"/>
          <w:szCs w:val="26"/>
        </w:rPr>
        <w:t>75,000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לעונשים האמורים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הופעל נגד המערער עונש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מותנה </w:t>
      </w:r>
      <w:r>
        <w:rPr>
          <w:rFonts w:ascii="Times New Roman" w:hAnsi="Times New Roman" w:cs="Times New Roman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מחציתו במצטבר ומחציתו בחופף לו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כך שהמערער יירצה באופן כולל </w:t>
      </w:r>
      <w:r>
        <w:rPr>
          <w:rFonts w:cs="Times New Roman" w:ascii="Times New Roman" w:hAnsi="Times New Roman"/>
          <w:spacing w:val="0"/>
          <w:szCs w:val="26"/>
        </w:rPr>
        <w:t>57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החל מיום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עניינה של הפרשה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תכנון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במרכזה של 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 המתלונן שהיה מסוכסך עם אחיו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לא תתערב בעונש שנקבע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חריגות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סטייה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נופלת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דכאן איננו בא בגדר אותם 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נדרש 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לכל השיקולים הצריכים לעניין ולא נפל בו שום פגם או טעות מהותית המצדיקים את התערבות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בהקשה זה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דוחה את טענת המערער לפיה הודאתו במסגרת הסדר הטיעון צריכה לזכותו בהקלה משמעותית יותר בעונשו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בעניין זה מצויה בדל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 אמותיו של מתחם הסבירות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בחומרת מעשיו של המערער ובעברו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נדחתה טענת המערער לפיה שגה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בקבעו מתחם ענישה שהרף העליון שלו גבוה יותר מטווח הענישה שהוסכם במסגרת הסדר הטיעון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 מתחם הענישה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כבול להסכמות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מוסמך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ואפילו 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לקבוע את מתחם הענישה הראוי בהתאם להוראותיו של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ובהתייחס לנסיבות המקרה שלפניו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קביעה נורמטיבית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בדבר האיזון הראוי בעיני החברה בין כלל השיקולים הרלבנטיים על פי המתכונת הקבועה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להבדיל מטווח הענישה המוסכם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תלוי בכוח המיקוח של מי מהצדדים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בהעדפותיהם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שבצדק 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את מתחם הענישה ללא תלות בהסכמות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גזר על המערער עונש אשר אינו חורג מטווח הענישה שהוסכם בהסדר הטיעון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ומסיבה זו בלבד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רואה מקום להתערב בעונש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לגופם של 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בעונש מוצדק לחלוטין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מתון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חומרתן הרבה של עבירות אלימות המבוצעות תוך שימוש בנשק חם ועל הצורך להילחם במבצעיהן ביד קשה תוך הטלת עונשים מרתיעים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דברים אלו חלים ביתר שאת כאשר מדובר בנאשם אשר השתמש בפועל בנשק חם וגרם לפציעתו החמורה של נפגע העבירה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תוך סיכון ביטחונם של </w:t>
      </w:r>
      <w:r>
        <w:rPr>
          <w:rFonts w:ascii="Times New Roman" w:hAnsi="Times New Roman" w:cs="Times New Roman"/>
          <w:spacing w:val="0"/>
          <w:szCs w:val="26"/>
          <w:rtl w:val="true"/>
        </w:rPr>
        <w:t>אזרחים שלווים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עוברי אורח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 כאלה הם בגדר מכת מדינה אשר מחייבת את בתי המשפט להירתם למאבק בעבריינים באמצעות ענישה מחמירה ובלתי מתפשרת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שומה עלינו לזכור כי מדובר במשחק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סכום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אפס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שופט שמרחם על עבריין נשק ומקל בעונשו אינו מרחם על הקורבן הבא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נדחתה הטענה לפיה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לא נתן משקל ראוי להסכם הסולחה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זאת מאחר שהסכם הסולחה ממילא בוטל על ידי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לעמדת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סולחה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הקלה משמעותית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מסכים עם העמדה שהושמעה בפסיקה כי הסכם סולחה אינו ממצה את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איתותה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העבריין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מחליש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וחושף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ללחצים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פסולים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לפנינו ערעור על גזר דינו של בית המשפט המחוזי מרכז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לוד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אשר ניתן ביום </w:t>
      </w:r>
      <w:r>
        <w:rPr>
          <w:rFonts w:cs="Century" w:ascii="Century" w:hAnsi="Century"/>
          <w:sz w:val="22"/>
        </w:rPr>
        <w:t>9.9.2021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50334-03-20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בעקבות הרשעת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על יסוד הודאתו במסגרת הסדר טיעון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בחבלה בכוונה מחמירה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עבירה לפי </w:t>
      </w:r>
      <w:hyperlink r:id="rId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329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0">
        <w:r>
          <w:rPr>
            <w:rStyle w:val="Hyperlink"/>
            <w:rFonts w:cs="Century" w:ascii="Century" w:hAnsi="Century"/>
            <w:sz w:val="22"/>
          </w:rPr>
          <w:t>329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2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ובנשיאת 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עבירה לפי </w:t>
      </w:r>
      <w:hyperlink r:id="rId1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144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בגזר דין זה הושתו על המערער עונשים כדלקמן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Century" w:ascii="Century" w:hAnsi="Century"/>
          <w:sz w:val="22"/>
        </w:rPr>
        <w:t>51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בניכוי ימי מעצרו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על תנאי לבל יעבור במשך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 מהכלא עבירת אלימות או נשק מסוג פשע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 לבל יעבור במשך שנתיים מיום שחרורו מהכלא עבירת אלימות או נשק מסוג עוון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וכן פיצוי לקורבן העבירה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בסך </w:t>
      </w:r>
      <w:r>
        <w:rPr>
          <w:rFonts w:cs="Century" w:ascii="Century" w:hAnsi="Century"/>
          <w:sz w:val="22"/>
        </w:rPr>
        <w:t>75,000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 לעונשים האמורים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הופעל נגד המערער עונש </w:t>
      </w:r>
      <w:r>
        <w:rPr>
          <w:rFonts w:ascii="Century" w:hAnsi="Century" w:cs="Century"/>
          <w:sz w:val="22"/>
          <w:sz w:val="22"/>
          <w:rtl w:val="true"/>
        </w:rPr>
        <w:t xml:space="preserve">מאסר מותנה </w:t>
      </w:r>
      <w:r>
        <w:rPr>
          <w:rFonts w:ascii="Century" w:hAnsi="Century" w:cs="Century"/>
          <w:sz w:val="22"/>
          <w:sz w:val="22"/>
          <w:rtl w:val="true"/>
        </w:rPr>
        <w:t>בן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</w:t>
      </w:r>
      <w:r>
        <w:rPr>
          <w:rFonts w:ascii="Century" w:hAnsi="Century" w:cs="Century"/>
          <w:sz w:val="22"/>
          <w:sz w:val="22"/>
          <w:rtl w:val="true"/>
        </w:rPr>
        <w:t>עמד לחובת</w:t>
      </w:r>
      <w:r>
        <w:rPr>
          <w:rFonts w:ascii="Century" w:hAnsi="Century" w:cs="Century"/>
          <w:sz w:val="22"/>
          <w:sz w:val="22"/>
          <w:rtl w:val="true"/>
        </w:rPr>
        <w:t>ו בגין הרשעתו ב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516-10-16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המותנה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ונקבע כי מחציתו תרוצה במצטבר לעונש המאסר דלעיל ומחציתו בחופף לו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כך שהמערער יירצה באופן כולל </w:t>
      </w:r>
      <w:r>
        <w:rPr>
          <w:rFonts w:cs="Century" w:ascii="Century" w:hAnsi="Century"/>
          <w:sz w:val="22"/>
        </w:rPr>
        <w:t>57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 החל מיום מעצרו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18"/>
          <w:szCs w:val="20"/>
        </w:rPr>
      </w:pPr>
      <w:r>
        <w:rPr>
          <w:rFonts w:cs="Miriam" w:ascii="Century" w:hAnsi="Century"/>
          <w:b/>
          <w:spacing w:val="0"/>
          <w:sz w:val="18"/>
          <w:szCs w:val="20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שבהן הודה המערער 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9.3.2020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 xml:space="preserve">נפגשו באקראי אחיו של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</w:t>
      </w:r>
      <w:r>
        <w:rPr>
          <w:rtl w:val="true"/>
        </w:rPr>
        <w:t xml:space="preserve">) </w:t>
      </w:r>
      <w:r>
        <w:rPr>
          <w:rtl w:val="true"/>
        </w:rPr>
        <w:t xml:space="preserve">והמתלונן </w:t>
      </w:r>
      <w:r>
        <w:rPr>
          <w:rtl w:val="true"/>
        </w:rPr>
        <w:t>–</w:t>
      </w:r>
      <w:r>
        <w:rPr>
          <w:rtl w:val="true"/>
        </w:rPr>
        <w:t xml:space="preserve"> אשר היו מסוכסכים זה מכבר </w:t>
      </w:r>
      <w:r>
        <w:rPr>
          <w:rtl w:val="true"/>
        </w:rPr>
        <w:t>–</w:t>
      </w:r>
      <w:r>
        <w:rPr>
          <w:rtl w:val="true"/>
        </w:rPr>
        <w:t xml:space="preserve"> והתפתחה ביניהם תגרה</w:t>
      </w:r>
      <w:r>
        <w:rPr>
          <w:rtl w:val="true"/>
        </w:rPr>
        <w:t xml:space="preserve">, </w:t>
      </w:r>
      <w:r>
        <w:rPr>
          <w:rtl w:val="true"/>
        </w:rPr>
        <w:t>במסגרתה איים האח על המתלונן</w:t>
      </w:r>
      <w:r>
        <w:rPr>
          <w:rtl w:val="true"/>
        </w:rPr>
        <w:t>: "</w:t>
      </w:r>
      <w:r>
        <w:rPr>
          <w:rtl w:val="true"/>
        </w:rPr>
        <w:t>אני אירה בך</w:t>
      </w:r>
      <w:r>
        <w:rPr>
          <w:rtl w:val="true"/>
        </w:rPr>
        <w:t xml:space="preserve">, </w:t>
      </w:r>
      <w:r>
        <w:rPr>
          <w:rtl w:val="true"/>
        </w:rPr>
        <w:t>אם אני לא אירה בך אני בן זונה ותירק לי בפנים</w:t>
      </w:r>
      <w:r>
        <w:rPr>
          <w:rtl w:val="true"/>
        </w:rPr>
        <w:t xml:space="preserve">". </w:t>
      </w:r>
      <w:r>
        <w:rPr>
          <w:rtl w:val="true"/>
        </w:rPr>
        <w:t xml:space="preserve">ביום </w:t>
      </w:r>
      <w:r>
        <w:rPr/>
        <w:t>10.3.2020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19:35</w:t>
      </w:r>
      <w:r>
        <w:rPr>
          <w:rtl w:val="true"/>
        </w:rPr>
        <w:t xml:space="preserve">, </w:t>
      </w:r>
      <w:r>
        <w:rPr>
          <w:rtl w:val="true"/>
        </w:rPr>
        <w:t>יצא המתלונן מביתו במכוניתו</w:t>
      </w:r>
      <w:r>
        <w:rPr>
          <w:rtl w:val="true"/>
        </w:rPr>
        <w:t xml:space="preserve">, </w:t>
      </w:r>
      <w:r>
        <w:rPr>
          <w:rtl w:val="true"/>
        </w:rPr>
        <w:t>והמערער עקב אחריו ברכבו שלו כשהוא מצויד באקדח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color w:val="FF0000"/>
          <w:rtl w:val="true"/>
        </w:rPr>
        <w:t xml:space="preserve"> </w:t>
      </w:r>
      <w:r>
        <w:rPr>
          <w:rtl w:val="true"/>
        </w:rPr>
        <w:t>לקרבת בית הכנסת ברמלה</w:t>
      </w:r>
      <w:r>
        <w:rPr>
          <w:rtl w:val="true"/>
        </w:rPr>
        <w:t xml:space="preserve">, </w:t>
      </w:r>
      <w:r>
        <w:rPr>
          <w:rtl w:val="true"/>
        </w:rPr>
        <w:t>עצר המערער את רכבו במקביל למכוניתו של המתלונן ושאל לשלומו</w:t>
      </w:r>
      <w:r>
        <w:rPr>
          <w:rtl w:val="true"/>
        </w:rPr>
        <w:t xml:space="preserve">. </w:t>
      </w:r>
      <w:r>
        <w:rPr>
          <w:rtl w:val="true"/>
        </w:rPr>
        <w:t>בעוד המתלונן ענה למערער</w:t>
      </w:r>
      <w:r>
        <w:rPr>
          <w:rtl w:val="true"/>
        </w:rPr>
        <w:t xml:space="preserve">, </w:t>
      </w:r>
      <w:r>
        <w:rPr>
          <w:rtl w:val="true"/>
        </w:rPr>
        <w:t>נטל המערער את האקדח לידו וירה דרך חלון רכבו שלוש יריות לעבר המתלונן</w:t>
      </w:r>
      <w:r>
        <w:rPr>
          <w:rtl w:val="true"/>
        </w:rPr>
        <w:t xml:space="preserve">, </w:t>
      </w:r>
      <w:r>
        <w:rPr>
          <w:rtl w:val="true"/>
        </w:rPr>
        <w:t>כאשר ירייה אחת פגעה במתלונן בירכו השמאלית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הסדר הטיעון הוסכם כי המדינה תעתור לעונש אשר יכלול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כולל הפעלת המאסר המותנה</w:t>
      </w:r>
      <w:r>
        <w:rPr>
          <w:rtl w:val="true"/>
        </w:rPr>
        <w:t xml:space="preserve">), </w:t>
      </w:r>
      <w:r>
        <w:rPr>
          <w:rtl w:val="true"/>
        </w:rPr>
        <w:t>מאסר מותנה ופיצוי למתלונן</w:t>
      </w:r>
      <w:r>
        <w:rPr>
          <w:rtl w:val="true"/>
        </w:rPr>
        <w:t xml:space="preserve">; </w:t>
      </w:r>
      <w:r>
        <w:rPr>
          <w:rtl w:val="true"/>
        </w:rPr>
        <w:t>ואילו המערער יוכל לטעון לעונש באופן חופשי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9.9.2021</w:t>
      </w:r>
      <w:r>
        <w:rPr>
          <w:rtl w:val="true"/>
        </w:rPr>
        <w:t xml:space="preserve"> </w:t>
      </w:r>
      <w:r>
        <w:rPr>
          <w:rtl w:val="true"/>
        </w:rPr>
        <w:t>גזר בית 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 נקבע כי המערער פגע בערכים המוגנים של חיי אדם</w:t>
      </w:r>
      <w:r>
        <w:rPr>
          <w:rtl w:val="true"/>
        </w:rPr>
        <w:t xml:space="preserve">, </w:t>
      </w:r>
      <w:r>
        <w:rPr>
          <w:rtl w:val="true"/>
        </w:rPr>
        <w:t>שלמות גופו ונפשו</w:t>
      </w:r>
      <w:r>
        <w:rPr>
          <w:rtl w:val="true"/>
        </w:rPr>
        <w:t xml:space="preserve">, </w:t>
      </w:r>
      <w:r>
        <w:rPr>
          <w:rtl w:val="true"/>
        </w:rPr>
        <w:t>ביטחונו האישי</w:t>
      </w:r>
      <w:r>
        <w:rPr>
          <w:rtl w:val="true"/>
        </w:rPr>
        <w:t xml:space="preserve">, </w:t>
      </w:r>
      <w:r>
        <w:rPr>
          <w:rtl w:val="true"/>
        </w:rPr>
        <w:t>וכן בביטחון הציבור</w:t>
      </w:r>
      <w:r>
        <w:rPr>
          <w:rtl w:val="true"/>
        </w:rPr>
        <w:t xml:space="preserve">. </w:t>
      </w:r>
      <w:r>
        <w:rPr>
          <w:rtl w:val="true"/>
        </w:rPr>
        <w:t>בית המשפט עמד על חומרתן של עבירות אלימות</w:t>
      </w:r>
      <w:r>
        <w:rPr>
          <w:rtl w:val="true"/>
        </w:rPr>
        <w:t xml:space="preserve">, </w:t>
      </w:r>
      <w:r>
        <w:rPr>
          <w:rtl w:val="true"/>
        </w:rPr>
        <w:t>במיוחד של אלו המבוצעות תוך שימוש בנשק חם</w:t>
      </w:r>
      <w:r>
        <w:rPr>
          <w:rtl w:val="true"/>
        </w:rPr>
        <w:t xml:space="preserve">, </w:t>
      </w:r>
      <w:r>
        <w:rPr>
          <w:rtl w:val="true"/>
        </w:rPr>
        <w:t xml:space="preserve">וכן על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ביחס לעבירות כאלה</w:t>
      </w:r>
      <w:r>
        <w:rPr>
          <w:rtl w:val="true"/>
        </w:rPr>
        <w:t xml:space="preserve">. </w:t>
      </w:r>
      <w:r>
        <w:rPr>
          <w:rtl w:val="true"/>
        </w:rPr>
        <w:t>כמו כן הביא בית המשפט בחשבון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תוך שהוא מתייחס לחלקו המרכזי של המערער בביצוע העבירה כמבצע יחיד</w:t>
      </w:r>
      <w:r>
        <w:rPr>
          <w:rtl w:val="true"/>
        </w:rPr>
        <w:t xml:space="preserve">; </w:t>
      </w:r>
      <w:r>
        <w:rPr>
          <w:rtl w:val="true"/>
        </w:rPr>
        <w:t>לתכנונה המוקדם של העבירה</w:t>
      </w:r>
      <w:r>
        <w:rPr>
          <w:rtl w:val="true"/>
        </w:rPr>
        <w:t xml:space="preserve">; </w:t>
      </w:r>
      <w:r>
        <w:rPr>
          <w:rtl w:val="true"/>
        </w:rPr>
        <w:t>ולפוטנציאל הפגיעה בעוברי אורח</w:t>
      </w:r>
      <w:r>
        <w:rPr>
          <w:rtl w:val="true"/>
        </w:rPr>
        <w:t xml:space="preserve">, </w:t>
      </w:r>
      <w:r>
        <w:rPr>
          <w:rtl w:val="true"/>
        </w:rPr>
        <w:t>נוכח ביצוע מעשי הירי ברחוב בשעת ערב מוקדמת</w:t>
      </w:r>
      <w:r>
        <w:rPr>
          <w:rtl w:val="true"/>
        </w:rPr>
        <w:t xml:space="preserve">. </w:t>
      </w:r>
      <w:r>
        <w:rPr>
          <w:rtl w:val="true"/>
        </w:rPr>
        <w:t>בית המשפט נדרש גם לתסקיר נפגע העבירה ממנו עולה כי למתלונן נגרמו נזקים פיזיים</w:t>
      </w:r>
      <w:r>
        <w:rPr>
          <w:rtl w:val="true"/>
        </w:rPr>
        <w:t xml:space="preserve">, </w:t>
      </w:r>
      <w:r>
        <w:rPr>
          <w:rtl w:val="true"/>
        </w:rPr>
        <w:t>תפקודיים ורגשיים חמורים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אשר ממשיכים ללוות אותו עד היום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" w:hAnsi="David" w:cs="David"/>
          <w:color w:val="000000"/>
        </w:rPr>
      </w:pPr>
      <w:r>
        <w:rPr>
          <w:rtl w:val="true"/>
        </w:rPr>
        <w:t>בבואו לקבוע את עונשו האינדיווידואלי של המערער בגבולות המתחם</w:t>
      </w:r>
      <w:r>
        <w:rPr>
          <w:rtl w:val="true"/>
        </w:rPr>
        <w:t xml:space="preserve">, </w:t>
      </w:r>
      <w:r>
        <w:rPr>
          <w:rtl w:val="true"/>
        </w:rPr>
        <w:t>נתן בית המשפט דעתו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לעברו הפלילי של המערער אשר כולל שמונה הרשעות בעבירות אלימות</w:t>
      </w:r>
      <w:r>
        <w:rPr>
          <w:rtl w:val="true"/>
        </w:rPr>
        <w:t xml:space="preserve">, </w:t>
      </w:r>
      <w:r>
        <w:rPr>
          <w:rtl w:val="true"/>
        </w:rPr>
        <w:t>פריצה וגניבה</w:t>
      </w:r>
      <w:r>
        <w:rPr>
          <w:rtl w:val="true"/>
        </w:rPr>
        <w:t xml:space="preserve">, </w:t>
      </w:r>
      <w:r>
        <w:rPr>
          <w:rtl w:val="true"/>
        </w:rPr>
        <w:t>פגיעה ברכוש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הפרעה לשוטר</w:t>
      </w:r>
      <w:r>
        <w:rPr>
          <w:rtl w:val="true"/>
        </w:rPr>
        <w:t xml:space="preserve">, </w:t>
      </w:r>
      <w:r>
        <w:rPr>
          <w:rtl w:val="true"/>
        </w:rPr>
        <w:t>החזקת סכין</w:t>
      </w:r>
      <w:r>
        <w:rPr>
          <w:rtl w:val="true"/>
        </w:rPr>
        <w:t xml:space="preserve">, </w:t>
      </w:r>
      <w:r>
        <w:rPr>
          <w:rtl w:val="true"/>
        </w:rPr>
        <w:t>סחר בסמים וקשירת קשר לביצוע פשע בנסיבות דומות לנסיבות ביצוע העבירה במקרה הנוכחי</w:t>
      </w:r>
      <w:r>
        <w:rPr>
          <w:rtl w:val="true"/>
        </w:rPr>
        <w:t xml:space="preserve">, </w:t>
      </w:r>
      <w:r>
        <w:rPr>
          <w:rtl w:val="true"/>
        </w:rPr>
        <w:t>וכן לצורך החברתי לקיים את הרתעת היחיד ואת הרתעת הרבים ביחס לעבירות הקשורות לירי בנשק חם</w:t>
      </w:r>
      <w:r>
        <w:rPr>
          <w:rtl w:val="true"/>
        </w:rPr>
        <w:t xml:space="preserve">;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להודאת המערער בעבירות אשר יוחסו לו</w:t>
      </w:r>
      <w:r>
        <w:rPr>
          <w:rtl w:val="true"/>
        </w:rPr>
        <w:t xml:space="preserve">, </w:t>
      </w:r>
      <w:r>
        <w:rPr>
          <w:rtl w:val="true"/>
        </w:rPr>
        <w:t>ללקיחת האחריות על מעשיו ולהבעת חרטה על ביצועם</w:t>
      </w:r>
      <w:r>
        <w:rPr>
          <w:rtl w:val="true"/>
        </w:rPr>
        <w:t xml:space="preserve">, </w:t>
      </w:r>
      <w:r>
        <w:rPr>
          <w:rtl w:val="true"/>
        </w:rPr>
        <w:t>וכן לתקופה הממושכת בה שהה המערער במעצר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לא יחס משקל רב להסכם הסולחה אשר נערך בין משפחת המערער למשפחת המתלונן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הסולחה</w:t>
      </w:r>
      <w:r>
        <w:rPr>
          <w:rtl w:val="true"/>
        </w:rPr>
        <w:t xml:space="preserve">).  </w:t>
      </w:r>
    </w:p>
    <w:p>
      <w:pPr>
        <w:pStyle w:val="Ruller42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האיזון הכולל שעשה בית המשפט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בשים לב לעמדת המדינה לפיה ראוי להשית על המערער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לריצוי בפועל </w:t>
      </w:r>
      <w:r>
        <w:rPr>
          <w:rtl w:val="true"/>
        </w:rPr>
        <w:t>–</w:t>
      </w:r>
      <w:r>
        <w:rPr>
          <w:rtl w:val="true"/>
        </w:rPr>
        <w:t xml:space="preserve"> הובילו אל המסקנה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 xml:space="preserve">יש לגזור על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עונש בחלקו הנמוך יחסית של מתחם העונש</w:t>
      </w:r>
      <w:r>
        <w:rPr>
          <w:rtl w:val="true"/>
        </w:rPr>
        <w:t>" (</w:t>
      </w:r>
      <w:r>
        <w:rPr>
          <w:rtl w:val="true"/>
        </w:rPr>
        <w:t xml:space="preserve">שכאמור נע בין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22.3.2020</w:t>
      </w:r>
      <w:r>
        <w:rPr>
          <w:rtl w:val="true"/>
        </w:rPr>
        <w:t xml:space="preserve">. </w:t>
      </w:r>
      <w:r>
        <w:rPr>
          <w:rtl w:val="true"/>
        </w:rPr>
        <w:t>כמצויין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 xml:space="preserve">לצד </w:t>
      </w:r>
      <w:r>
        <w:rPr>
          <w:rFonts w:ascii="David" w:hAnsi="David" w:cs="David"/>
          <w:color w:val="000000"/>
          <w:rtl w:val="true"/>
        </w:rPr>
        <w:t>ה</w:t>
      </w:r>
      <w:r>
        <w:rPr>
          <w:rFonts w:ascii="David" w:hAnsi="David" w:cs="David"/>
          <w:color w:val="000000"/>
          <w:rtl w:val="true"/>
        </w:rPr>
        <w:t>עונש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שגה בית משפט קמא בקבעו מתחם ענישה החורג מהסכמת הצדדים במסגרת הסדר הטיעון</w:t>
      </w:r>
      <w:r>
        <w:rPr>
          <w:rtl w:val="true"/>
        </w:rPr>
        <w:t xml:space="preserve">, </w:t>
      </w:r>
      <w:r>
        <w:rPr>
          <w:rtl w:val="true"/>
        </w:rPr>
        <w:t>וכי הדבר גרם להחמרת עונשו</w:t>
      </w:r>
      <w:r>
        <w:rPr>
          <w:rtl w:val="true"/>
        </w:rPr>
        <w:t xml:space="preserve">. </w:t>
      </w:r>
      <w:r>
        <w:rPr>
          <w:rtl w:val="true"/>
        </w:rPr>
        <w:t>כמו כן נטען כי בית המשפט לא העניק משקל ראוי בעת גזירת הדין להודאתו של המערער במיוחס לו</w:t>
      </w:r>
      <w:r>
        <w:rPr>
          <w:rtl w:val="true"/>
        </w:rPr>
        <w:t xml:space="preserve">, </w:t>
      </w:r>
      <w:r>
        <w:rPr>
          <w:rtl w:val="true"/>
        </w:rPr>
        <w:t>אשר הובילה לחסכון בזמן שיפוטי יקר</w:t>
      </w:r>
      <w:r>
        <w:rPr>
          <w:rtl w:val="true"/>
        </w:rPr>
        <w:t xml:space="preserve">, </w:t>
      </w:r>
      <w:r>
        <w:rPr>
          <w:rtl w:val="true"/>
        </w:rPr>
        <w:t>וכן להסכם הסולחה ולפיצוי ששולם למתלונן במסגרתו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העונש שהושת עליו מהווה תמריץ שלילי עבור נאשמים אחרים ליטול אחריות למעשיהם ואינו עולה בקנה אחד עם העיקרון של עידוד הסדרי טיעון</w:t>
      </w:r>
      <w:r>
        <w:rPr>
          <w:rtl w:val="true"/>
        </w:rPr>
        <w:t xml:space="preserve">. 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נקבע מחדש את מתחם הענישה ההולם בנסיבות המקרה</w:t>
      </w:r>
      <w:r>
        <w:rPr>
          <w:rtl w:val="true"/>
        </w:rPr>
        <w:t xml:space="preserve">, </w:t>
      </w:r>
      <w:r>
        <w:rPr>
          <w:rtl w:val="true"/>
        </w:rPr>
        <w:t xml:space="preserve">ונקל בעונש שהושת עליו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סומכת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ומבקשת</w:t>
      </w:r>
      <w:r>
        <w:rPr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 xml:space="preserve">המדינה טוענת כי העונש שהושת על המערער הולם את מדיניות הענישה הנוהגת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 xml:space="preserve">ואף מצוי ברף העונש הנמוך של מתחם הענישה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נוכח התחשבותו של בית משפט קמא בהודאת המערער במיוחס לו ובחיסכון בזמן שיפוטי</w:t>
      </w:r>
      <w:r>
        <w:rPr>
          <w:rtl w:val="true"/>
        </w:rPr>
        <w:t xml:space="preserve">, </w:t>
      </w:r>
      <w:r>
        <w:rPr>
          <w:rtl w:val="true"/>
        </w:rPr>
        <w:t>וכן בשים לב ליתר השיקולים עליהם נתן בית המשפט את דעתו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עברו הפלילי המכביד של המערער</w:t>
      </w:r>
      <w:r>
        <w:rPr>
          <w:rtl w:val="true"/>
        </w:rPr>
        <w:t xml:space="preserve">, </w:t>
      </w:r>
      <w:r>
        <w:rPr>
          <w:rtl w:val="true"/>
        </w:rPr>
        <w:t>חומרת העבירה בה הוא נמצא אשם והנזקים שעבירה זו גרמה למתלונן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)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Arial TUR;Arial" w:hAnsi="Arial TUR;Arial" w:cs="Arial TUR;Arial"/>
          <w:rtl w:val="true"/>
        </w:rPr>
        <w:t>הלכה היא עמנו כי ערכאת הערעור לא תתערב</w:t>
      </w:r>
      <w:r>
        <w:rPr>
          <w:rtl w:val="true"/>
        </w:rPr>
        <w:t xml:space="preserve"> בעונש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של ממש</w:t>
      </w:r>
      <w:r>
        <w:rPr>
          <w:rtl w:val="true"/>
        </w:rPr>
        <w:t xml:space="preserve">, </w:t>
      </w:r>
      <w:r>
        <w:rPr>
          <w:rtl w:val="true"/>
        </w:rPr>
        <w:t>כדוגמת סטייה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נופלת טעות מהותית בגזר הדין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28.1.2013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9.1.2019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המקרה דכאן איננו בא בגדר אותם המקרים החריגים אשר מצדיקים את התערבותנו בעונש שהושת על המערער על ידי בית משפט קמא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tl w:val="true"/>
        </w:rPr>
        <w:t xml:space="preserve">עיון בגזר דינו של בית משפט קמא מעלה כי </w:t>
      </w:r>
      <w:r>
        <w:rPr>
          <w:rFonts w:ascii="Arial TUR;Arial" w:hAnsi="Arial TUR;Arial" w:cs="Arial TUR;Arial"/>
          <w:rtl w:val="true"/>
        </w:rPr>
        <w:t>הוא נדרש לכל השיקולים הצריכים לעניין וכי לא נפל בו שום פגם או טעות מהותית המצדיקים את התערבותנו</w:t>
      </w:r>
      <w:r>
        <w:rPr>
          <w:rFonts w:cs="Arial TUR;Arial" w:ascii="Arial TUR;Arial" w:hAnsi="Arial TUR;Arial"/>
          <w:rtl w:val="true"/>
        </w:rPr>
        <w:t xml:space="preserve">.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Style w:val="Strong"/>
          <w:sz w:val="28"/>
          <w:sz w:val="28"/>
          <w:rtl w:val="true"/>
        </w:rPr>
        <w:t xml:space="preserve">השיקולים לקולת העונש – </w:t>
      </w:r>
      <w:r>
        <w:rPr>
          <w:rStyle w:val="Strong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ובהם</w:t>
      </w:r>
      <w:r>
        <w:rPr>
          <w:rStyle w:val="Strong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יוחסו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Style w:val="Strong"/>
          <w:sz w:val="28"/>
          <w:sz w:val="28"/>
          <w:rtl w:val="true"/>
        </w:rPr>
        <w:t>זכו להתייחסות הולמת</w:t>
      </w:r>
      <w:r>
        <w:rPr>
          <w:rFonts w:ascii="Arial TUR;Arial" w:hAnsi="Arial TUR;Arial" w:cs="Arial TUR;Arial"/>
          <w:rtl w:val="true"/>
        </w:rPr>
        <w:t xml:space="preserve"> בגזר הדין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ואף הובילו את בית המשפט למקם את עונשו של המערער ברף </w:t>
      </w:r>
      <w:r>
        <w:rPr>
          <w:rtl w:val="true"/>
        </w:rPr>
        <w:t>הנמוך של מתחם הענישה</w:t>
      </w:r>
      <w:r>
        <w:rPr>
          <w:rFonts w:ascii="Arial TUR;Arial" w:hAnsi="Arial TUR;Arial" w:cs="Arial TUR;Arial"/>
          <w:rtl w:val="true"/>
        </w:rPr>
        <w:t xml:space="preserve"> שקבע</w:t>
      </w:r>
      <w:r>
        <w:rPr>
          <w:rFonts w:cs="Arial TUR;Arial" w:ascii="Arial TUR;Arial" w:hAnsi="Arial TUR;Arial"/>
          <w:rtl w:val="true"/>
        </w:rPr>
        <w:t xml:space="preserve">. </w:t>
      </w:r>
      <w:r>
        <w:rPr>
          <w:rtl w:val="true"/>
        </w:rPr>
        <w:t xml:space="preserve">סבורני כי אין מקום לשעות לטרוניה שהעלה המערער לפיה הודאתו במסגרת הסדר הטיעון </w:t>
      </w:r>
      <w:r>
        <w:rPr>
          <w:rFonts w:ascii="Arial TUR;Arial" w:hAnsi="Arial TUR;Arial" w:cs="Arial TUR;Arial"/>
          <w:rtl w:val="true"/>
        </w:rPr>
        <w:t xml:space="preserve">צריכה לזכותו בהקלה משמעותית יותר בעונשו </w:t>
      </w:r>
      <w:r>
        <w:rPr>
          <w:rFonts w:ascii="Arial TUR;Arial" w:hAnsi="Arial TUR;Arial" w:cs="Arial TUR;Arial"/>
          <w:rtl w:val="true"/>
        </w:rPr>
        <w:t>–</w:t>
      </w:r>
      <w:r>
        <w:rPr>
          <w:rFonts w:ascii="Arial TUR;Arial" w:hAnsi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קביעתו של בית משפט קמא בעניין זה מצויה בדל</w:t>
      </w:r>
      <w:r>
        <w:rPr>
          <w:rtl w:val="true"/>
        </w:rPr>
        <w:t>"</w:t>
      </w:r>
      <w:r>
        <w:rPr>
          <w:rtl w:val="true"/>
        </w:rPr>
        <w:t>ת אמותיו של מתחם הסבירות</w:t>
      </w:r>
      <w:r>
        <w:rPr>
          <w:rtl w:val="true"/>
        </w:rPr>
        <w:t xml:space="preserve">, </w:t>
      </w:r>
      <w:r>
        <w:rPr>
          <w:rtl w:val="true"/>
        </w:rPr>
        <w:t xml:space="preserve">בהתחשב </w:t>
      </w:r>
      <w:r>
        <w:rPr>
          <w:rFonts w:ascii="Arial TUR;Arial" w:hAnsi="Arial TUR;Arial" w:cs="Arial TUR;Arial"/>
          <w:rtl w:val="true"/>
        </w:rPr>
        <w:t xml:space="preserve">בחומרת מעשיו של המערער ובעברו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Fonts w:cs="Arial TUR;Arial" w:ascii="Arial TUR;Arial" w:hAnsi="Arial TUR;Arial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tl w:val="true"/>
        </w:rPr>
        <w:t>סבורני כי עלינו לדחות את טענת המערער לפיה שגה בית משפט קמא בקבעו מתחם ענישה שהרף העליון שלו גבוה יותר מטווח הענישה שהוסכם במסגרת הסדר הטיעון</w:t>
      </w:r>
      <w:r>
        <w:rPr>
          <w:rtl w:val="true"/>
        </w:rPr>
        <w:t xml:space="preserve">. </w:t>
      </w:r>
      <w:r>
        <w:rPr>
          <w:rtl w:val="true"/>
        </w:rPr>
        <w:t>בקביעת מתחם הענישה בית המשפט אינו כבול להסכמות הצדדים</w:t>
      </w:r>
      <w:r>
        <w:rPr>
          <w:rtl w:val="true"/>
        </w:rPr>
        <w:t xml:space="preserve">, </w:t>
      </w:r>
      <w:r>
        <w:rPr>
          <w:rtl w:val="true"/>
        </w:rPr>
        <w:t>והוא מוסמך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ואפילו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 xml:space="preserve">לקבוע את מתחם הענישה הראוי בהתאם להוראותיו של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ובהתייחס לנסיבות המקרה שלפניו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1548/18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28.11.2018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921/17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17-16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</w:rPr>
        <w:t>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אם לא כך יהיה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שיקול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דעתו של בית המשפט לדחות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הסדרי טיעון אשר נערכים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בין הצדדים</w:t>
      </w:r>
      <w:r>
        <w:rPr>
          <w:rtl w:val="true"/>
        </w:rPr>
        <w:t xml:space="preserve"> יישלל ממנו מניה וביה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תוצאה בלתי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רצויה ומנוגדת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להלכה פסוקה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.12.2018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Fonts w:cs="Arial TUR;Arial" w:ascii="Arial TUR;Arial" w:hAnsi="Arial TUR;Arial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tl w:val="true"/>
        </w:rPr>
        <w:t xml:space="preserve">טענות </w:t>
      </w:r>
      <w:r>
        <w:rPr>
          <w:rFonts w:ascii="Arial TUR;Arial" w:hAnsi="Arial TUR;Arial" w:cs="Arial TUR;Arial"/>
          <w:rtl w:val="true"/>
        </w:rPr>
        <w:t xml:space="preserve">המערער אשר הועלו בעניין דנן פוסחות על ההבחנה 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שלגביו הוסכם בהסדר טיעון ספציפי כזה או אחר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cs="Century"/>
          <w:sz w:val="22"/>
          <w:sz w:val="22"/>
          <w:rtl w:val="true"/>
        </w:rPr>
        <w:t xml:space="preserve"> המשקף את הדין הכללי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הבחנה חשובה זו נמצאת עמנו זה מכבר</w:t>
      </w:r>
      <w:r>
        <w:rPr>
          <w:rtl w:val="true"/>
        </w:rPr>
        <w:t xml:space="preserve">; </w:t>
      </w:r>
      <w:r>
        <w:rPr>
          <w:rtl w:val="true"/>
        </w:rPr>
        <w:t xml:space="preserve">וכך היא סוכמה 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rFonts w:ascii="Arial TUR;Arial" w:hAnsi="Arial TUR;Arial" w:cs="Arial TUR;Arial"/>
        </w:rPr>
      </w:pPr>
      <w:r>
        <w:rPr>
          <w:rFonts w:cs="Arial TUR;Arial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טווח 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>. 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ככזה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בהעדפותיהם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המוסדי</w:t>
      </w:r>
      <w:r>
        <w:rPr>
          <w:rtl w:val="true"/>
        </w:rPr>
        <w:t>ות</w:t>
      </w:r>
      <w:r>
        <w:rPr>
          <w:rtl w:val="true"/>
        </w:rPr>
        <w:t>)."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נמצאנו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למדים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אם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כי בצדק קבע בית משפט קמא את מתחם הענישה ללא תלות בהסכמות הצדדים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shd w:fill="FFFFFF" w:val="clear"/>
          <w:rtl w:val="true"/>
        </w:rPr>
        <w:t>לא זו אף זו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בית המשפט גזר על המערער עונש אשר אינו חורג מטווח הענישה שהוסכם בהסדר הטיעון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ומסיבה זו בלבד</w:t>
      </w:r>
      <w:r>
        <w:rPr>
          <w:rFonts w:ascii="Century" w:hAnsi="Century" w:cs="Century"/>
          <w:rtl w:val="true"/>
        </w:rPr>
        <w:t xml:space="preserve"> אינני רואה מקום להתערב בעונש שנגזר על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color w:val="000000"/>
          <w:sz w:val="27"/>
          <w:szCs w:val="27"/>
        </w:rPr>
      </w:pP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מדובר בעונש מוצדק לחלוטין</w:t>
      </w:r>
      <w:r>
        <w:rPr>
          <w:rtl w:val="true"/>
        </w:rPr>
        <w:t xml:space="preserve">, </w:t>
      </w:r>
      <w:r>
        <w:rPr>
          <w:rtl w:val="true"/>
        </w:rPr>
        <w:t>ואף מתון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עמד לא אחת על חומרתן הרבה של עבירות אלימות המבוצעות תוך שימוש בנשק חם ועל הצורך להילחם במבצעיהן ביד קשה תוך הטלת עונשים מרתיעים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color w:val="000000"/>
          <w:sz w:val="27"/>
          <w:szCs w:val="27"/>
          <w:rtl w:val="true"/>
        </w:rPr>
        <w:t xml:space="preserve"> </w:t>
      </w:r>
      <w:hyperlink r:id="rId23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8045/17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בראנסי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7"/>
          <w:szCs w:val="27"/>
          <w:rtl w:val="true"/>
        </w:rPr>
        <w:t>(</w:t>
      </w:r>
      <w:r>
        <w:rPr>
          <w:color w:val="000000"/>
          <w:sz w:val="27"/>
          <w:szCs w:val="27"/>
        </w:rPr>
        <w:t>16.</w:t>
      </w:r>
      <w:r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.2018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5476/21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.10.2021</w:t>
      </w:r>
      <w:r>
        <w:rPr>
          <w:rtl w:val="true"/>
        </w:rPr>
        <w:t>)‏‏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9306/20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ברגות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4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כפי שה</w:t>
      </w:r>
      <w:r>
        <w:rPr>
          <w:rtl w:val="true"/>
        </w:rPr>
        <w:t>זדמן לי להעיר</w:t>
      </w:r>
      <w:r>
        <w:rPr>
          <w:rtl w:val="true"/>
        </w:rPr>
        <w:t xml:space="preserve">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ביטון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 xml:space="preserve">): </w:t>
      </w:r>
    </w:p>
    <w:p>
      <w:pPr>
        <w:pStyle w:val="Ruller42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). 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מתפשרת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במשחק</w:t>
      </w:r>
      <w:r>
        <w:rPr>
          <w:rtl w:val="true"/>
        </w:rPr>
        <w:t>-</w:t>
      </w:r>
      <w:r>
        <w:rPr>
          <w:rtl w:val="true"/>
        </w:rPr>
        <w:t>סכום</w:t>
      </w:r>
      <w:r>
        <w:rPr>
          <w:rtl w:val="true"/>
        </w:rPr>
        <w:t>-</w:t>
      </w:r>
      <w:r>
        <w:rPr>
          <w:rtl w:val="true"/>
        </w:rPr>
        <w:t>אפס</w:t>
      </w:r>
      <w:r>
        <w:rPr>
          <w:rtl w:val="true"/>
        </w:rPr>
        <w:t xml:space="preserve">: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לא נמלא את </w:t>
      </w:r>
      <w:r>
        <w:rPr>
          <w:rtl w:val="true"/>
        </w:rPr>
        <w:t xml:space="preserve">חובתנו </w:t>
      </w:r>
      <w:r>
        <w:rPr>
          <w:rtl w:val="true"/>
        </w:rPr>
        <w:t xml:space="preserve">כדבעי </w:t>
      </w:r>
      <w:r>
        <w:rPr>
          <w:rtl w:val="true"/>
        </w:rPr>
        <w:t>אם נקל בעונשו של המערער אפילו במקצ</w:t>
      </w:r>
      <w:r>
        <w:rPr>
          <w:rtl w:val="true"/>
        </w:rPr>
        <w:t>ת</w:t>
      </w:r>
      <w:r>
        <w:rPr>
          <w:color w:val="000000"/>
          <w:sz w:val="27"/>
          <w:szCs w:val="27"/>
          <w:rtl w:val="true"/>
        </w:rPr>
        <w:t xml:space="preserve">. </w:t>
      </w:r>
      <w:r>
        <w:rPr>
          <w:rtl w:val="true"/>
        </w:rPr>
        <w:t>אוסיף ואעיר</w:t>
      </w:r>
      <w:r>
        <w:rPr>
          <w:rtl w:val="true"/>
        </w:rPr>
        <w:t xml:space="preserve">, </w:t>
      </w:r>
      <w:r>
        <w:rPr>
          <w:rtl w:val="true"/>
        </w:rPr>
        <w:t>כי למרות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העונש שהושת עליו </w:t>
      </w:r>
      <w:r>
        <w:rPr>
          <w:rtl w:val="true"/>
        </w:rPr>
        <w:t>נמצא הרחק מהעונש המרבי שקבע המחוקק</w:t>
      </w:r>
      <w:r>
        <w:rPr>
          <w:rtl w:val="true"/>
        </w:rPr>
        <w:t xml:space="preserve"> בגין העבירות שהלה ביצע</w:t>
      </w:r>
      <w:r>
        <w:rPr>
          <w:rtl w:val="true"/>
        </w:rPr>
        <w:t xml:space="preserve">, </w:t>
      </w:r>
      <w:r>
        <w:rPr>
          <w:rtl w:val="true"/>
        </w:rPr>
        <w:t>ועל כן לא ניתן לתארו כבלתי מידתי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2239/21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30.9.2021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8937/20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5.9.2021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לבסוף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אין בידי לקבל את טענת המערער לפיה בית המשפט לא נתן משקל ראוי להסכם הסולחה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זאת מאחר שהסכם הסולחה ממילא בוטל על ידי הצדדים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 xml:space="preserve">ונראה כי הכספים אשר שולמו במסגרתו הוחזרו למשפחת המערער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בעניין זה ראו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 xml:space="preserve">הודעת המדינה לבית המשפט מיום </w:t>
      </w:r>
      <w:r>
        <w:rPr>
          <w:shd w:fill="FFFFFF" w:val="clear"/>
        </w:rPr>
        <w:t>24.8.2021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מכל מקום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סבורני כי </w:t>
      </w:r>
      <w:r>
        <w:rPr>
          <w:rtl w:val="true"/>
        </w:rPr>
        <w:t xml:space="preserve">סולחה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מצדיקה</w:t>
      </w:r>
      <w:r>
        <w:rPr>
          <w:rtl w:val="true"/>
        </w:rPr>
        <w:t xml:space="preserve"> הקלה משמעותית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מקובלים עלי 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ב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4406/19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</w:rPr>
        <w:t>.11.2019</w:t>
      </w:r>
      <w:r>
        <w:rPr>
          <w:rFonts w:cs="Century" w:ascii="Century" w:hAnsi="Century"/>
          <w:sz w:val="22"/>
          <w:rtl w:val="true"/>
        </w:rPr>
        <w:t>)</w:t>
      </w:r>
      <w:r>
        <w:rPr>
          <w:shd w:fill="FFFFFF" w:val="clear"/>
          <w:rtl w:val="true"/>
        </w:rPr>
        <w:t>:</w:t>
      </w:r>
    </w:p>
    <w:p>
      <w:pPr>
        <w:pStyle w:val="Ruller42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גושפנקה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סולחות</w:t>
      </w:r>
      <w:r>
        <w:rPr>
          <w:rtl w:val="true"/>
        </w:rPr>
        <w:t xml:space="preserve">"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" </w:t>
      </w:r>
      <w:r>
        <w:rPr>
          <w:rtl w:val="true"/>
        </w:rPr>
        <w:t>לדרכי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" </w:t>
      </w:r>
      <w:r>
        <w:rPr>
          <w:rtl w:val="true"/>
        </w:rPr>
        <w:t>חותר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איתותה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על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הנני מציע לחבריי כי נדחה את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הערעור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9.6.2022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21078500</w:t>
      </w:r>
      <w:r>
        <w:rPr>
          <w:sz w:val="16"/>
          <w:rtl w:val="true"/>
        </w:rPr>
        <w:t>_</w:t>
      </w:r>
      <w:r>
        <w:rPr>
          <w:sz w:val="16"/>
        </w:rPr>
        <w:t>F02.docx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54678313-7850/21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7850/21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איאד דסוקי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Strong">
    <w:name w:val="Strong"/>
    <w:qFormat/>
    <w:rPr>
      <w:rFonts w:cs="FrankRuehl"/>
      <w:b w:val="false"/>
      <w:bC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6604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6566049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case/21480624" TargetMode="External"/><Relationship Id="rId14" Type="http://schemas.openxmlformats.org/officeDocument/2006/relationships/hyperlink" Target="http://www.nevo.co.il/case/5875466" TargetMode="External"/><Relationship Id="rId15" Type="http://schemas.openxmlformats.org/officeDocument/2006/relationships/hyperlink" Target="http://www.nevo.co.il/case/6247428" TargetMode="External"/><Relationship Id="rId16" Type="http://schemas.openxmlformats.org/officeDocument/2006/relationships/hyperlink" Target="http://www.nevo.co.il/case/6247208" TargetMode="External"/><Relationship Id="rId17" Type="http://schemas.openxmlformats.org/officeDocument/2006/relationships/hyperlink" Target="http://www.nevo.co.il/case/2415666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3751050" TargetMode="External"/><Relationship Id="rId20" Type="http://schemas.openxmlformats.org/officeDocument/2006/relationships/hyperlink" Target="http://www.nevo.co.il/case/22201884" TargetMode="External"/><Relationship Id="rId21" Type="http://schemas.openxmlformats.org/officeDocument/2006/relationships/hyperlink" Target="http://www.nevo.co.il/case/23825973" TargetMode="External"/><Relationship Id="rId22" Type="http://schemas.openxmlformats.org/officeDocument/2006/relationships/hyperlink" Target="http://www.nevo.co.il/case/5569233" TargetMode="External"/><Relationship Id="rId23" Type="http://schemas.openxmlformats.org/officeDocument/2006/relationships/hyperlink" Target="http://www.nevo.co.il/case/23750625" TargetMode="External"/><Relationship Id="rId24" Type="http://schemas.openxmlformats.org/officeDocument/2006/relationships/hyperlink" Target="http://www.nevo.co.il/case/27849953" TargetMode="External"/><Relationship Id="rId25" Type="http://schemas.openxmlformats.org/officeDocument/2006/relationships/hyperlink" Target="http://www.nevo.co.il/case/27292055" TargetMode="External"/><Relationship Id="rId26" Type="http://schemas.openxmlformats.org/officeDocument/2006/relationships/hyperlink" Target="http://www.nevo.co.il/case/27309272" TargetMode="External"/><Relationship Id="rId27" Type="http://schemas.openxmlformats.org/officeDocument/2006/relationships/hyperlink" Target="http://www.nevo.co.il/case/27513364" TargetMode="External"/><Relationship Id="rId28" Type="http://schemas.openxmlformats.org/officeDocument/2006/relationships/hyperlink" Target="http://www.nevo.co.il/case/27256366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s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2022-06-12T09:06:00Z</dcterms:created>
  <dc:creator>h4</dc:creator>
  <dc:description/>
  <cp:keywords/>
  <dc:language>en-IL</dc:language>
  <cp:lastModifiedBy>orly</cp:lastModifiedBy>
  <cp:lastPrinted>2022-06-09T16:15:00Z</cp:lastPrinted>
  <dcterms:modified xsi:type="dcterms:W3CDTF">2022-06-12T09:06:00Z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איאד דסוקי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26566049:2;21480624;5875466;6247428;6247208;24156669;23751050;22201884;23825973;5569233;23750625;27849953;27292055;27309272;27513364;27256366;25824863</vt:lpwstr>
  </property>
  <property fmtid="{D5CDD505-2E9C-101B-9397-08002B2CF9AE}" pid="9" name="CITY">
    <vt:lpwstr/>
  </property>
  <property fmtid="{D5CDD505-2E9C-101B-9397-08002B2CF9AE}" pid="10" name="DATE">
    <vt:lpwstr>20220609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שטיין;ג' כנפי שטייניץ</vt:lpwstr>
  </property>
  <property fmtid="{D5CDD505-2E9C-101B-9397-08002B2CF9AE}" pid="14" name="LAWLISTTMP1">
    <vt:lpwstr>70301/329.a.1;329.a.2;144.b</vt:lpwstr>
  </property>
  <property fmtid="{D5CDD505-2E9C-101B-9397-08002B2CF9AE}" pid="15" name="LAWYER">
    <vt:lpwstr>יעל שרף;ווליד כבוב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>עונשין</vt:lpwstr>
  </property>
  <property fmtid="{D5CDD505-2E9C-101B-9397-08002B2CF9AE}" pid="31" name="NOSE15">
    <vt:lpwstr>דיון פלילי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הסדר טיעון</vt:lpwstr>
  </property>
  <property fmtid="{D5CDD505-2E9C-101B-9397-08002B2CF9AE}" pid="41" name="NOSE24">
    <vt:lpwstr>ענישה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1446;1446;461;1446;504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הסדר טיעון</vt:lpwstr>
  </property>
  <property fmtid="{D5CDD505-2E9C-101B-9397-08002B2CF9AE}" pid="51" name="NOSE33">
    <vt:lpwstr>טווח ענישה מוסכם</vt:lpwstr>
  </property>
  <property fmtid="{D5CDD505-2E9C-101B-9397-08002B2CF9AE}" pid="52" name="NOSE34">
    <vt:lpwstr>מתחם הענישה</vt:lpwstr>
  </property>
  <property fmtid="{D5CDD505-2E9C-101B-9397-08002B2CF9AE}" pid="53" name="NOSE35">
    <vt:lpwstr>התערבות במידת העונש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13800;15822;15483;14985;15230</vt:lpwstr>
  </property>
  <property fmtid="{D5CDD505-2E9C-101B-9397-08002B2CF9AE}" pid="59" name="PADIDATE">
    <vt:lpwstr>20220612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7850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410120220609</vt:lpwstr>
  </property>
  <property fmtid="{D5CDD505-2E9C-101B-9397-08002B2CF9AE}" pid="69" name="TYPE_N_DATE">
    <vt:lpwstr>41020220609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