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7852/20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7969/20</w:t>
            </w:r>
            <w:r>
              <w:rPr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7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28"/>
        <w:gridCol w:w="5239"/>
      </w:tblGrid>
      <w:tr>
        <w:trPr>
          <w:trHeight w:val="287" w:hRule="atLeast"/>
        </w:trPr>
        <w:tc>
          <w:tcPr>
            <w:tcW w:w="3128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12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12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7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7"/>
        <w:gridCol w:w="3129"/>
        <w:gridCol w:w="137"/>
        <w:gridCol w:w="4964"/>
      </w:tblGrid>
      <w:tr>
        <w:trPr>
          <w:trHeight w:val="287" w:hRule="atLeast"/>
        </w:trPr>
        <w:tc>
          <w:tcPr>
            <w:tcW w:w="3266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bookmarkStart w:id="3" w:name="FirstAppellant"/>
            <w:bookmarkEnd w:id="3"/>
            <w:r>
              <w:rPr>
                <w:rFonts w:ascii="David;Malgun Gothic Semilight" w:hAnsi="David;Malgun Gothic Semilight"/>
                <w:rtl w:val="true"/>
              </w:rPr>
              <w:t>המערערת ב</w:t>
            </w:r>
            <w:r>
              <w:rPr>
                <w:rFonts w:ascii="David;Malgun Gothic Semilight" w:hAnsi="David;Malgun Gothic Semilight"/>
                <w:rtl w:val="true"/>
              </w:rPr>
              <w:t>ע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"</w:t>
            </w:r>
            <w:r>
              <w:rPr>
                <w:rFonts w:ascii="David;Malgun Gothic Semilight" w:hAnsi="David;Malgun Gothic Semilight"/>
                <w:rtl w:val="true"/>
              </w:rPr>
              <w:t xml:space="preserve">פ </w:t>
            </w:r>
            <w:r>
              <w:rPr>
                <w:rFonts w:cs="David;Malgun Gothic Semilight" w:ascii="David;Malgun Gothic Semilight" w:hAnsi="David;Malgun Gothic Semilight"/>
              </w:rPr>
              <w:t>7852/20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 xml:space="preserve"> </w:t>
            </w:r>
            <w:r>
              <w:rPr>
                <w:rFonts w:ascii="David;Malgun Gothic Semilight" w:hAnsi="David;Malgun Gothic Semilight"/>
                <w:rtl w:val="true"/>
              </w:rPr>
              <w:t>והמשיבה ב</w:t>
            </w:r>
            <w:r>
              <w:rPr>
                <w:rFonts w:ascii="David;Malgun Gothic Semilight" w:hAnsi="David;Malgun Gothic Semilight"/>
                <w:rtl w:val="true"/>
              </w:rPr>
              <w:t>ע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"</w:t>
            </w:r>
            <w:r>
              <w:rPr>
                <w:rFonts w:ascii="David;Malgun Gothic Semilight" w:hAnsi="David;Malgun Gothic Semilight"/>
                <w:rtl w:val="true"/>
              </w:rPr>
              <w:t xml:space="preserve">פ </w:t>
            </w:r>
            <w:r>
              <w:rPr>
                <w:rFonts w:cs="David;Malgun Gothic Semilight" w:ascii="David;Malgun Gothic Semilight" w:hAnsi="David;Malgun Gothic Semilight"/>
              </w:rPr>
              <w:t>7969/20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01" w:type="dxa"/>
            <w:gridSpan w:val="2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66" w:type="dxa"/>
            <w:gridSpan w:val="2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  <w:tc>
          <w:tcPr>
            <w:tcW w:w="5101" w:type="dxa"/>
            <w:gridSpan w:val="2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</w:tc>
      </w:tr>
      <w:tr>
        <w:trPr/>
        <w:tc>
          <w:tcPr>
            <w:tcW w:w="13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66" w:type="dxa"/>
            <w:gridSpan w:val="2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496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  <w:tr>
        <w:trPr/>
        <w:tc>
          <w:tcPr>
            <w:tcW w:w="137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66" w:type="dxa"/>
            <w:gridSpan w:val="2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7852/20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7969/20</w:t>
            </w:r>
            <w:r>
              <w:rPr>
                <w:rtl w:val="true"/>
              </w:rPr>
              <w:t>:</w:t>
            </w:r>
          </w:p>
        </w:tc>
        <w:tc>
          <w:tcPr>
            <w:tcW w:w="496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האד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סאלח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10.6.2020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30.9.2020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47794-06-17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פורת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07"/>
        <w:gridCol w:w="2375"/>
        <w:gridCol w:w="2781"/>
      </w:tblGrid>
      <w:tr>
        <w:trPr/>
        <w:tc>
          <w:tcPr>
            <w:tcW w:w="320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7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8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21.6.2021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4"/>
        <w:gridCol w:w="5129"/>
      </w:tblGrid>
      <w:tr>
        <w:trPr/>
        <w:tc>
          <w:tcPr>
            <w:tcW w:w="323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;Malgun Gothic Semilight" w:hAnsi="David;Malgun Gothic Semilight"/>
                <w:rtl w:val="true"/>
              </w:rPr>
              <w:t>המערערת ב</w:t>
            </w:r>
            <w:r>
              <w:rPr>
                <w:rFonts w:ascii="David;Malgun Gothic Semilight" w:hAnsi="David;Malgun Gothic Semilight"/>
                <w:rtl w:val="true"/>
              </w:rPr>
              <w:t>ע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"</w:t>
            </w:r>
            <w:r>
              <w:rPr>
                <w:rFonts w:ascii="David;Malgun Gothic Semilight" w:hAnsi="David;Malgun Gothic Semilight"/>
                <w:rtl w:val="true"/>
              </w:rPr>
              <w:t xml:space="preserve">פ </w:t>
            </w:r>
            <w:r>
              <w:rPr>
                <w:rFonts w:cs="David;Malgun Gothic Semilight" w:ascii="David;Malgun Gothic Semilight" w:hAnsi="David;Malgun Gothic Semilight"/>
              </w:rPr>
              <w:t>7852/20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 xml:space="preserve"> </w:t>
            </w:r>
            <w:r>
              <w:rPr>
                <w:rFonts w:ascii="David;Malgun Gothic Semilight" w:hAnsi="David;Malgun Gothic Semilight"/>
                <w:rtl w:val="true"/>
              </w:rPr>
              <w:t>והמשיבה ב</w:t>
            </w:r>
            <w:r>
              <w:rPr>
                <w:rFonts w:ascii="David;Malgun Gothic Semilight" w:hAnsi="David;Malgun Gothic Semilight"/>
                <w:rtl w:val="true"/>
              </w:rPr>
              <w:t>ע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"</w:t>
            </w:r>
            <w:r>
              <w:rPr>
                <w:rFonts w:ascii="David;Malgun Gothic Semilight" w:hAnsi="David;Malgun Gothic Semilight"/>
                <w:rtl w:val="true"/>
              </w:rPr>
              <w:t xml:space="preserve">פ </w:t>
            </w:r>
            <w:r>
              <w:rPr>
                <w:rFonts w:cs="David;Malgun Gothic Semilight" w:ascii="David;Malgun Gothic Semilight" w:hAnsi="David;Malgun Gothic Semilight"/>
              </w:rPr>
              <w:t>7969/20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2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עודד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ציון</w:t>
            </w:r>
          </w:p>
        </w:tc>
      </w:tr>
      <w:tr>
        <w:trPr/>
        <w:tc>
          <w:tcPr>
            <w:tcW w:w="323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2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3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7852/20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7969/20</w:t>
            </w:r>
            <w:r>
              <w:rPr>
                <w:rtl w:val="true"/>
              </w:rPr>
              <w:t>:</w:t>
            </w:r>
          </w:p>
        </w:tc>
        <w:tc>
          <w:tcPr>
            <w:tcW w:w="512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פאהום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זועבי</w:t>
            </w:r>
          </w:p>
        </w:tc>
      </w:tr>
      <w:tr>
        <w:trPr/>
        <w:tc>
          <w:tcPr>
            <w:tcW w:w="323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2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3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מתורגמן</w:t>
            </w:r>
            <w:r>
              <w:rPr>
                <w:rtl w:val="true"/>
              </w:rPr>
              <w:t>:</w:t>
            </w:r>
          </w:p>
        </w:tc>
        <w:tc>
          <w:tcPr>
            <w:tcW w:w="512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וילר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bookmarkStart w:id="5" w:name="LawTable"/>
      <w:bookmarkEnd w:id="5"/>
      <w:r>
        <w:rPr>
          <w:rFonts w:ascii="FrankRuehl;Times New Roman" w:hAnsi="FrankRuehl;Times New Roman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pacing w:val="0"/>
          <w:sz w:val="24"/>
          <w:szCs w:val="24"/>
        </w:rPr>
      </w:pPr>
      <w:hyperlink r:id="rId3"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301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ג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  <w:rtl w:val="true"/>
          </w:rPr>
          <w:t>]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62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(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</w:rPr>
        <w:t>3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), </w:t>
      </w:r>
      <w:hyperlink r:id="rId7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64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ב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64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ב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(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</w:rPr>
        <w:t>2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), </w:t>
      </w:r>
      <w:hyperlink r:id="rId9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64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ב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(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</w:rPr>
        <w:t>4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pacing w:val="0"/>
          <w:sz w:val="24"/>
          <w:szCs w:val="24"/>
        </w:rPr>
      </w:pPr>
      <w:hyperlink r:id="rId10"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תקנות התעבורה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תשכ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1961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  <w:rtl w:val="true"/>
          </w:rPr>
          <w:t xml:space="preserve"> - 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לא מרובדות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'  </w:t>
      </w:r>
      <w:hyperlink r:id="rId11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40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51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169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ב</w:t>
        </w:r>
      </w:hyperlink>
    </w:p>
    <w:p>
      <w:pPr>
        <w:pStyle w:val="Ruller31"/>
        <w:spacing w:lineRule="auto" w:line="240"/>
        <w:ind w:end="0"/>
        <w:jc w:val="start"/>
        <w:rPr>
          <w:rFonts w:ascii="FrankRuehl;Times New Roman" w:hAnsi="FrankRuehl;Times New Roman" w:cs="FrankRuehl;Times New Roman"/>
          <w:color w:val="0000FF"/>
          <w:spacing w:val="0"/>
          <w:sz w:val="24"/>
          <w:szCs w:val="24"/>
        </w:rPr>
      </w:pP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קיים מנעד רחב של עונשים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בעבירות של נהיגה בשכרות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בין אם תחת השפעת אלכוהול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אם תחת השפעת סם מסוכן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שהביאו לתוצאה קטלנית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נגזרים מנסיבות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תוצאות התאונה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ונסיבותיו האישיות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שהושת על ג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האד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כל רכיביו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הריהו עונש שקול ומאוזן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מביא בגדרו את מכלול השיקולים הדרושים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את חומרת המעשים ופגיעתם בקורבנות ובני משפחותיהם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מחד גיסא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ואת נסיבותיו האישיות של ג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האד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מאידך גיסא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המתה בקלות דעת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תעבורה – עבירות – נהיגה תחת השפעת סם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תאונות דרכים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וערעור שכנגד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בגדרו הושתו אל נאשם 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הורשע בביצוע שתי עבירות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המתה בקלות 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נהיגה תחת השפעת סמים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סטייה מנתיב תחבורה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ונהיגה במהירות לא סבירה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על 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פסילה מלהחזיק ברישיון נהיגה למשך תקופה של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וכמו כן הוא חויב בתשלום פיצויים למשפחת הקורבנות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סולברג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בהסכמת השופטים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עמית 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הערעורים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מושכלות יסוד 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התערבותה של ערכאת הערעור בגזר 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שמורה למצבים 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שבהם נפלה טעות מהותית בהחלטת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שהעונש שנגזר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ידה חורג באופן קיצוני ממדיניות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המקרה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דנא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 בא בגדר אותם מצבים 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 הדין מדוד ושקול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 ניתן לאחר שקילת כל השיקולים הצריכים לעניין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שהושת על 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נותן ביטוי למכלול שיקולי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 משיגים על מתחם הענישה שנקבע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אך מן המפורסמות הן כי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טענות המערער בדבר פגם שנפל בקביעת מתחם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ממילא אין בהם כדי לחייב התערבות בעונש שנקבע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 עוד אין בעונש שהושת משום סטייה קיצונית מרמת הענישה הראויה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למעלה מן הצורך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נראה כי גם לגוף הדברים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מתחם הענישה שנקבע בעניין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הולם את מעשיו החמורים של 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ובהתאם גם העונש עולה בקנה אחד עם מדיניות הענישה הנהוגה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הרואה בחומרה רבה את התופעה המסוכנת של נהיגה תחת השפעת סמים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המאיימת על שלום הציבור ובטחונו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 שבוחר לאחוז בהגה במצב של שכרות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אם תחת השפעת סמים מסוכנים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אם תחת השפעת אלכוהול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מוחזק כמי שמכַוֵּן נשק טעון ודרוך כלפי עוברי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אורח תמימים שנקרו בדרכו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הפגיעה במשתמשי הדרך במצב דברים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איננה שאלה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אלא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קיים מנעד רחב של עונשים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בעבירות של נהיגה בשכרות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אם תחת השפעת אלכוהול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אם תחת השפעת סם מסוכן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שהביאו לתוצאה קטלנית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פעמים בנסיבות חמורות ובצירוף עבירות חמורות נוספות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פעמים בצירוף נסיבות מקֵלות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נגזרים מנסיבות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תוצאות התאונה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ונסיבותיו האישיות של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שהושת על 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כל רכיביו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הריהו עונש שקול ומאוזן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מביא בגדרו את מכלול השיקולים הדרושים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חומרת המעשים ופגיעתם בקורבנות ובני משפחותיהם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מחד גיסא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ואת נסיבותיו האישיות של 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מאידך גיסא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bookmarkStart w:id="14" w:name="Writer_Name"/>
      <w:bookmarkEnd w:id="14"/>
      <w:r>
        <w:rPr>
          <w:rFonts w:ascii="Century" w:hAnsi="Century" w:cs="Miriam"/>
          <w:b/>
          <w:b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"/>
        <w:ind w:end="0"/>
        <w:jc w:val="both"/>
        <w:rPr/>
      </w:pPr>
      <w:bookmarkStart w:id="15" w:name="Start_Write"/>
      <w:bookmarkEnd w:id="15"/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b/>
          <w:b/>
          <w:spacing w:val="0"/>
          <w:rtl w:val="true"/>
        </w:rPr>
        <w:t>א</w:t>
      </w:r>
      <w:r>
        <w:rPr>
          <w:b/>
          <w:spacing w:val="0"/>
          <w:rtl w:val="true"/>
        </w:rPr>
        <w:t xml:space="preserve">' </w:t>
      </w:r>
      <w:r>
        <w:rPr>
          <w:b/>
          <w:b/>
          <w:spacing w:val="0"/>
          <w:rtl w:val="true"/>
        </w:rPr>
        <w:t>פורת</w:t>
      </w:r>
      <w:r>
        <w:rPr>
          <w:sz w:val="20"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47794-06-17</w:t>
        </w:r>
      </w:hyperlink>
      <w:r>
        <w:rPr>
          <w:rtl w:val="true"/>
        </w:rPr>
        <w:t xml:space="preserve"> </w:t>
      </w:r>
      <w:r>
        <w:rPr>
          <w:rFonts w:ascii="Century" w:hAnsi="Century" w:cs="Century"/>
          <w:b/>
          <w:b/>
          <w:spacing w:val="0"/>
          <w:rtl w:val="true"/>
        </w:rPr>
        <w:t>מדינת ישראל נ</w:t>
      </w:r>
      <w:r>
        <w:rPr>
          <w:rFonts w:cs="Century" w:ascii="Century" w:hAnsi="Century"/>
          <w:b/>
          <w:spacing w:val="0"/>
          <w:rtl w:val="true"/>
        </w:rPr>
        <w:t xml:space="preserve">' </w:t>
      </w:r>
      <w:r>
        <w:rPr>
          <w:rFonts w:ascii="Century" w:hAnsi="Century" w:cs="Century"/>
          <w:b/>
          <w:b/>
          <w:spacing w:val="0"/>
          <w:rtl w:val="true"/>
        </w:rPr>
        <w:t>סאלח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30.9.2020</w:t>
      </w:r>
      <w:r>
        <w:rPr>
          <w:rtl w:val="true"/>
        </w:rPr>
        <w:t xml:space="preserve">), </w:t>
      </w:r>
      <w:r>
        <w:rPr>
          <w:rtl w:val="true"/>
        </w:rPr>
        <w:t>שבגדרו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7969/20</w:t>
      </w:r>
      <w:r>
        <w:rPr>
          <w:rtl w:val="true"/>
        </w:rPr>
        <w:t xml:space="preserve"> </w:t>
      </w:r>
      <w:r>
        <w:rPr>
          <w:rtl w:val="true"/>
        </w:rPr>
        <w:t>והמשיב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7852/20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האד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סאלח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b/>
          <w:b/>
          <w:spacing w:val="0"/>
          <w:rtl w:val="true"/>
        </w:rPr>
        <w:t>ג</w:t>
      </w:r>
      <w:r>
        <w:rPr>
          <w:rFonts w:cs="Century" w:ascii="Century" w:hAnsi="Century"/>
          <w:b/>
          <w:spacing w:val="0"/>
          <w:rtl w:val="true"/>
        </w:rPr>
        <w:t>'</w:t>
      </w:r>
      <w:r>
        <w:rPr>
          <w:rFonts w:ascii="Century" w:hAnsi="Century" w:cs="Century"/>
          <w:b/>
          <w:b/>
          <w:spacing w:val="0"/>
          <w:rtl w:val="true"/>
        </w:rPr>
        <w:t>האד</w:t>
      </w:r>
      <w:r>
        <w:rPr>
          <w:rtl w:val="true"/>
        </w:rPr>
        <w:t xml:space="preserve">),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; </w:t>
      </w:r>
      <w:r>
        <w:rPr>
          <w:rtl w:val="true"/>
        </w:rPr>
        <w:t>פסילה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וכמו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הקורבנות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האד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;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; </w:t>
      </w:r>
      <w:r>
        <w:rPr>
          <w:rtl w:val="true"/>
        </w:rPr>
        <w:t>ונהיגה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סבירה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האד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בהמלצתנו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האד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b/>
          <w:b/>
          <w:spacing w:val="0"/>
          <w:rtl w:val="true"/>
        </w:rPr>
        <w:t>גזר 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אסון כבד פקד את משפחת כץ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8.10.2016</w:t>
      </w:r>
      <w:r>
        <w:rPr>
          <w:rtl w:val="true"/>
        </w:rPr>
        <w:t xml:space="preserve">. </w:t>
      </w:r>
      <w:r>
        <w:rPr>
          <w:rtl w:val="true"/>
        </w:rPr>
        <w:t>בצהרי אותו יום</w:t>
      </w:r>
      <w:r>
        <w:rPr>
          <w:rtl w:val="true"/>
        </w:rPr>
        <w:t xml:space="preserve">, </w:t>
      </w:r>
      <w:r>
        <w:rPr>
          <w:rtl w:val="true"/>
        </w:rPr>
        <w:t>נהג ג</w:t>
      </w:r>
      <w:r>
        <w:rPr>
          <w:rtl w:val="true"/>
        </w:rPr>
        <w:t>'</w:t>
      </w:r>
      <w:r>
        <w:rPr>
          <w:rtl w:val="true"/>
        </w:rPr>
        <w:t xml:space="preserve">האד במכונית מסוג מרצדס בכביש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 xml:space="preserve">לכיוון צפון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המכונית</w:t>
      </w:r>
      <w:r>
        <w:rPr>
          <w:rtl w:val="true"/>
        </w:rPr>
        <w:t xml:space="preserve">). </w:t>
      </w:r>
      <w:r>
        <w:rPr>
          <w:rtl w:val="true"/>
        </w:rPr>
        <w:t xml:space="preserve">סמוך לשעה </w:t>
      </w:r>
      <w:r>
        <w:rPr/>
        <w:t>13:50</w:t>
      </w:r>
      <w:r>
        <w:rPr>
          <w:rtl w:val="true"/>
        </w:rPr>
        <w:t xml:space="preserve">, </w:t>
      </w:r>
      <w:r>
        <w:rPr>
          <w:rtl w:val="true"/>
        </w:rPr>
        <w:t xml:space="preserve">בהגיעו לצומת שבו מצטלב כביש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 xml:space="preserve">עם כביש </w:t>
      </w:r>
      <w:r>
        <w:rPr/>
        <w:t>89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צומת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כברי</w:t>
      </w:r>
      <w:r>
        <w:rPr>
          <w:rtl w:val="true"/>
        </w:rPr>
        <w:t xml:space="preserve">), </w:t>
      </w:r>
      <w:r>
        <w:rPr>
          <w:rtl w:val="true"/>
        </w:rPr>
        <w:t>פנה ג</w:t>
      </w:r>
      <w:r>
        <w:rPr>
          <w:rtl w:val="true"/>
        </w:rPr>
        <w:t>'</w:t>
      </w:r>
      <w:r>
        <w:rPr>
          <w:rtl w:val="true"/>
        </w:rPr>
        <w:t>האד שמאלה</w:t>
      </w:r>
      <w:r>
        <w:rPr>
          <w:rtl w:val="true"/>
        </w:rPr>
        <w:t xml:space="preserve">, </w:t>
      </w:r>
      <w:r>
        <w:rPr>
          <w:rtl w:val="true"/>
        </w:rPr>
        <w:t xml:space="preserve">אל כביש </w:t>
      </w:r>
      <w:r>
        <w:rPr/>
        <w:t>89</w:t>
      </w:r>
      <w:r>
        <w:rPr>
          <w:rtl w:val="true"/>
        </w:rPr>
        <w:t xml:space="preserve">, </w:t>
      </w:r>
      <w:r>
        <w:rPr>
          <w:rtl w:val="true"/>
        </w:rPr>
        <w:t>לכיוון נהריה</w:t>
      </w:r>
      <w:r>
        <w:rPr>
          <w:rtl w:val="true"/>
        </w:rPr>
        <w:t xml:space="preserve">. </w:t>
      </w:r>
      <w:r>
        <w:rPr>
          <w:rtl w:val="true"/>
        </w:rPr>
        <w:t xml:space="preserve">כביש </w:t>
      </w:r>
      <w:r>
        <w:rPr/>
        <w:t>89</w:t>
      </w:r>
      <w:r>
        <w:rPr>
          <w:rtl w:val="true"/>
        </w:rPr>
        <w:t xml:space="preserve"> </w:t>
      </w:r>
      <w:r>
        <w:rPr>
          <w:rtl w:val="true"/>
        </w:rPr>
        <w:t>הוא כביש בין</w:t>
      </w:r>
      <w:r>
        <w:rPr>
          <w:rtl w:val="true"/>
        </w:rPr>
        <w:t>-</w:t>
      </w:r>
      <w:r>
        <w:rPr>
          <w:rtl w:val="true"/>
        </w:rPr>
        <w:t>עירוני</w:t>
      </w:r>
      <w:r>
        <w:rPr>
          <w:rtl w:val="true"/>
        </w:rPr>
        <w:t xml:space="preserve">, </w:t>
      </w:r>
      <w:r>
        <w:rPr>
          <w:rtl w:val="true"/>
        </w:rPr>
        <w:t>הכולל נתיב נסיעה אחד לכל כיוון</w:t>
      </w:r>
      <w:r>
        <w:rPr>
          <w:rtl w:val="true"/>
        </w:rPr>
        <w:t xml:space="preserve">, </w:t>
      </w:r>
      <w:r>
        <w:rPr>
          <w:rtl w:val="true"/>
        </w:rPr>
        <w:t>ומעקות בטיחות תוחמים את גבולותיו</w:t>
      </w:r>
      <w:r>
        <w:rPr>
          <w:rtl w:val="true"/>
        </w:rPr>
        <w:t xml:space="preserve">, </w:t>
      </w:r>
      <w:r>
        <w:rPr>
          <w:rtl w:val="true"/>
        </w:rPr>
        <w:t>משני צִדיו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 xml:space="preserve">האד ביצע את הפניה במהירות </w:t>
      </w:r>
      <w:r>
        <w:rPr>
          <w:rFonts w:ascii="Century" w:hAnsi="Century" w:cs="Century"/>
          <w:sz w:val="22"/>
          <w:sz w:val="22"/>
          <w:rtl w:val="true"/>
        </w:rPr>
        <w:t>מופרזת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תוך שהוא עוקף מן </w:t>
      </w:r>
      <w:r>
        <w:rPr>
          <w:rtl w:val="true"/>
        </w:rPr>
        <w:t>השול הימני</w:t>
      </w:r>
      <w:r>
        <w:rPr>
          <w:rtl w:val="true"/>
        </w:rPr>
        <w:t xml:space="preserve">, </w:t>
      </w:r>
      <w:r>
        <w:rPr>
          <w:rtl w:val="true"/>
        </w:rPr>
        <w:t>קטנוע קטן שנסע בכיוון נסיעתו</w:t>
      </w:r>
      <w:r>
        <w:rPr>
          <w:rtl w:val="true"/>
        </w:rPr>
        <w:t xml:space="preserve">. </w:t>
      </w:r>
      <w:r>
        <w:rPr>
          <w:rtl w:val="true"/>
        </w:rPr>
        <w:t>בשעה שהגיע ג</w:t>
      </w:r>
      <w:r>
        <w:rPr>
          <w:rtl w:val="true"/>
        </w:rPr>
        <w:t>'</w:t>
      </w:r>
      <w:r>
        <w:rPr>
          <w:rtl w:val="true"/>
        </w:rPr>
        <w:t>האד לעקומה השמאלית בכביש</w:t>
      </w:r>
      <w:r>
        <w:rPr>
          <w:rtl w:val="true"/>
        </w:rPr>
        <w:t xml:space="preserve">, </w:t>
      </w:r>
      <w:r>
        <w:rPr>
          <w:rtl w:val="true"/>
        </w:rPr>
        <w:t>איבד שליטה על המכונית</w:t>
      </w:r>
      <w:r>
        <w:rPr>
          <w:rtl w:val="true"/>
        </w:rPr>
        <w:t xml:space="preserve">, </w:t>
      </w:r>
      <w:r>
        <w:rPr>
          <w:rtl w:val="true"/>
        </w:rPr>
        <w:t>סטה מנתיב נסיעתו</w:t>
      </w:r>
      <w:r>
        <w:rPr>
          <w:rtl w:val="true"/>
        </w:rPr>
        <w:t xml:space="preserve">, </w:t>
      </w:r>
      <w:r>
        <w:rPr>
          <w:rtl w:val="true"/>
        </w:rPr>
        <w:t>ופגע במעקה הבטיחות המוצב מימין לכביש</w:t>
      </w:r>
      <w:r>
        <w:rPr>
          <w:rtl w:val="true"/>
        </w:rPr>
        <w:t xml:space="preserve">. </w:t>
      </w:r>
      <w:r>
        <w:rPr>
          <w:rtl w:val="true"/>
        </w:rPr>
        <w:t>בעקבות ההתנגשות במעקה ימין</w:t>
      </w:r>
      <w:r>
        <w:rPr>
          <w:rtl w:val="true"/>
        </w:rPr>
        <w:t xml:space="preserve">, </w:t>
      </w:r>
      <w:r>
        <w:rPr>
          <w:rtl w:val="true"/>
        </w:rPr>
        <w:t>סטה ג</w:t>
      </w:r>
      <w:r>
        <w:rPr>
          <w:rtl w:val="true"/>
        </w:rPr>
        <w:t>'</w:t>
      </w:r>
      <w:r>
        <w:rPr>
          <w:rtl w:val="true"/>
        </w:rPr>
        <w:t>האד עם מכוניתו לנתיב הנגדי</w:t>
      </w:r>
      <w:r>
        <w:rPr>
          <w:rtl w:val="true"/>
        </w:rPr>
        <w:t xml:space="preserve">, </w:t>
      </w:r>
      <w:r>
        <w:rPr>
          <w:rtl w:val="true"/>
        </w:rPr>
        <w:t>ופגע במכונית מסוג טויוטה שנסעה שם באותה שעה</w:t>
      </w:r>
      <w:r>
        <w:rPr>
          <w:rtl w:val="true"/>
        </w:rPr>
        <w:t xml:space="preserve">. </w:t>
      </w:r>
      <w:r>
        <w:rPr>
          <w:rtl w:val="true"/>
        </w:rPr>
        <w:t>כתוצאה מההתנגשות העזה בין כלי הרכב</w:t>
      </w:r>
      <w:r>
        <w:rPr>
          <w:rtl w:val="true"/>
        </w:rPr>
        <w:t xml:space="preserve">, </w:t>
      </w:r>
      <w:r>
        <w:rPr>
          <w:rtl w:val="true"/>
        </w:rPr>
        <w:t>נהדפה מכוניתו של ג</w:t>
      </w:r>
      <w:r>
        <w:rPr>
          <w:rtl w:val="true"/>
        </w:rPr>
        <w:t>'</w:t>
      </w:r>
      <w:r>
        <w:rPr>
          <w:rtl w:val="true"/>
        </w:rPr>
        <w:t>האד לימין ונעצרה בנתיב הימני</w:t>
      </w:r>
      <w:r>
        <w:rPr>
          <w:rtl w:val="true"/>
        </w:rPr>
        <w:t xml:space="preserve">, </w:t>
      </w:r>
      <w:r>
        <w:rPr>
          <w:rtl w:val="true"/>
        </w:rPr>
        <w:t>ואילו המכונית שבה התנגש הוטלה אל מעבר למעקה הבטיחות</w:t>
      </w:r>
      <w:r>
        <w:rPr>
          <w:rtl w:val="true"/>
        </w:rPr>
        <w:t xml:space="preserve">, </w:t>
      </w:r>
      <w:r>
        <w:rPr>
          <w:rtl w:val="true"/>
        </w:rPr>
        <w:t>ונעצרה בתעלה שבצד הכביש</w:t>
      </w:r>
      <w:r>
        <w:rPr>
          <w:rtl w:val="true"/>
        </w:rPr>
        <w:t xml:space="preserve">. </w:t>
      </w:r>
      <w:r>
        <w:rPr>
          <w:rtl w:val="true"/>
        </w:rPr>
        <w:t>במכונית הטויוטה</w:t>
      </w:r>
      <w:r>
        <w:rPr>
          <w:rtl w:val="true"/>
        </w:rPr>
        <w:t xml:space="preserve">, </w:t>
      </w:r>
      <w:r>
        <w:rPr>
          <w:rtl w:val="true"/>
        </w:rPr>
        <w:t>שבה פגע ג</w:t>
      </w:r>
      <w:r>
        <w:rPr>
          <w:rtl w:val="true"/>
        </w:rPr>
        <w:t>'</w:t>
      </w:r>
      <w:r>
        <w:rPr>
          <w:rtl w:val="true"/>
        </w:rPr>
        <w:t>האד</w:t>
      </w:r>
      <w:r>
        <w:rPr>
          <w:rtl w:val="true"/>
        </w:rPr>
        <w:t xml:space="preserve">, </w:t>
      </w:r>
      <w:r>
        <w:rPr>
          <w:rtl w:val="true"/>
        </w:rPr>
        <w:t xml:space="preserve">ישבו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: </w:t>
      </w:r>
      <w:r>
        <w:rPr>
          <w:rtl w:val="true"/>
        </w:rPr>
        <w:t>הנהג המנוח אסף כץ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  <w:r>
        <w:rPr>
          <w:rtl w:val="true"/>
        </w:rPr>
        <w:t>רינה פרץ אשת המנוח</w:t>
      </w:r>
      <w:r>
        <w:rPr>
          <w:rtl w:val="true"/>
        </w:rPr>
        <w:t xml:space="preserve">, </w:t>
      </w:r>
      <w:r>
        <w:rPr>
          <w:rtl w:val="true"/>
        </w:rPr>
        <w:t xml:space="preserve">אשר ישבה לצדו במושב הנוסע הקדמי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רינה</w:t>
      </w:r>
      <w:r>
        <w:rPr>
          <w:rtl w:val="true"/>
        </w:rPr>
        <w:t xml:space="preserve">); </w:t>
      </w:r>
      <w:r>
        <w:rPr>
          <w:rtl w:val="true"/>
        </w:rPr>
        <w:t>המנוחה רחלה כץ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אמו של המנוח</w:t>
      </w:r>
      <w:r>
        <w:rPr>
          <w:rtl w:val="true"/>
        </w:rPr>
        <w:t xml:space="preserve">, </w:t>
      </w:r>
      <w:r>
        <w:rPr>
          <w:rtl w:val="true"/>
        </w:rPr>
        <w:t>אשר ישבה במושב האחורי</w:t>
      </w:r>
      <w:r>
        <w:rPr>
          <w:rtl w:val="true"/>
        </w:rPr>
        <w:t xml:space="preserve">; </w:t>
      </w:r>
      <w:r>
        <w:rPr>
          <w:rtl w:val="true"/>
        </w:rPr>
        <w:t>ובנוסף גם בנם הקטין של המנוח ורינה</w:t>
      </w:r>
      <w:r>
        <w:rPr>
          <w:rtl w:val="true"/>
        </w:rPr>
        <w:t xml:space="preserve">, </w:t>
      </w:r>
      <w:r>
        <w:rPr>
          <w:rtl w:val="true"/>
        </w:rPr>
        <w:t>פעוט כבן שנתיים</w:t>
      </w:r>
      <w:r>
        <w:rPr>
          <w:rtl w:val="true"/>
        </w:rPr>
        <w:t xml:space="preserve">, </w:t>
      </w:r>
      <w:r>
        <w:rPr>
          <w:rtl w:val="true"/>
        </w:rPr>
        <w:t>שישב במושב בטיחות במושב האחורי</w:t>
      </w:r>
      <w:r>
        <w:rPr>
          <w:rtl w:val="true"/>
        </w:rPr>
        <w:t xml:space="preserve">. </w:t>
      </w:r>
      <w:r>
        <w:rPr>
          <w:rtl w:val="true"/>
        </w:rPr>
        <w:t>מותם של אסף ורחלה</w:t>
      </w:r>
      <w:r>
        <w:rPr>
          <w:rtl w:val="true"/>
        </w:rPr>
        <w:t xml:space="preserve">, </w:t>
      </w:r>
      <w:r>
        <w:rPr>
          <w:rtl w:val="true"/>
        </w:rPr>
        <w:t>נקבע במקום</w:t>
      </w:r>
      <w:r>
        <w:rPr>
          <w:rtl w:val="true"/>
        </w:rPr>
        <w:t xml:space="preserve">. </w:t>
      </w:r>
      <w:r>
        <w:rPr>
          <w:rtl w:val="true"/>
        </w:rPr>
        <w:t>אשת המנוח</w:t>
      </w:r>
      <w:r>
        <w:rPr>
          <w:rtl w:val="true"/>
        </w:rPr>
        <w:t xml:space="preserve">, </w:t>
      </w:r>
      <w:r>
        <w:rPr>
          <w:rtl w:val="true"/>
        </w:rPr>
        <w:t>רינה</w:t>
      </w:r>
      <w:r>
        <w:rPr>
          <w:rtl w:val="true"/>
        </w:rPr>
        <w:t xml:space="preserve">, </w:t>
      </w:r>
      <w:r>
        <w:rPr>
          <w:rtl w:val="true"/>
        </w:rPr>
        <w:t>נפצעה פציעות קשות</w:t>
      </w:r>
      <w:r>
        <w:rPr>
          <w:rtl w:val="true"/>
        </w:rPr>
        <w:t xml:space="preserve">, </w:t>
      </w:r>
      <w:r>
        <w:rPr>
          <w:rtl w:val="true"/>
        </w:rPr>
        <w:t>שכללו שברים בכל חלקי גופה</w:t>
      </w:r>
      <w:r>
        <w:rPr>
          <w:rtl w:val="true"/>
        </w:rPr>
        <w:t xml:space="preserve">, </w:t>
      </w:r>
      <w:r>
        <w:rPr>
          <w:rtl w:val="true"/>
        </w:rPr>
        <w:t>פגיעה בעיניים וקרע בכבד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האד אף הוא נפצע בתאונה</w:t>
      </w:r>
      <w:r>
        <w:rPr>
          <w:rtl w:val="true"/>
        </w:rPr>
        <w:t xml:space="preserve">, </w:t>
      </w:r>
      <w:r>
        <w:rPr>
          <w:rtl w:val="true"/>
        </w:rPr>
        <w:t>ונגרמו לו שברים בגפיים התחתונות</w:t>
      </w:r>
      <w:r>
        <w:rPr>
          <w:rtl w:val="true"/>
        </w:rPr>
        <w:t xml:space="preserve">. </w:t>
      </w:r>
      <w:r>
        <w:rPr>
          <w:rtl w:val="true"/>
        </w:rPr>
        <w:t>גם כלי הרכב ספגו נזקים כבדים</w:t>
      </w:r>
      <w:r>
        <w:rPr>
          <w:rtl w:val="true"/>
        </w:rPr>
        <w:t xml:space="preserve">, </w:t>
      </w:r>
      <w:r>
        <w:rPr>
          <w:rtl w:val="true"/>
        </w:rPr>
        <w:t>בשל עוצמת הפגיעה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חקירת משטרה שנערכה לאחר מכן</w:t>
      </w:r>
      <w:r>
        <w:rPr>
          <w:rtl w:val="true"/>
        </w:rPr>
        <w:t xml:space="preserve">, </w:t>
      </w:r>
      <w:r>
        <w:rPr>
          <w:rtl w:val="true"/>
        </w:rPr>
        <w:t>העלתה כי בעת התאונה נהג ג</w:t>
      </w:r>
      <w:r>
        <w:rPr>
          <w:rtl w:val="true"/>
        </w:rPr>
        <w:t>'</w:t>
      </w:r>
      <w:r>
        <w:rPr>
          <w:rtl w:val="true"/>
        </w:rPr>
        <w:t>האד במהירות מופרזת</w:t>
      </w:r>
      <w:r>
        <w:rPr>
          <w:rtl w:val="true"/>
        </w:rPr>
        <w:t xml:space="preserve">, </w:t>
      </w:r>
      <w:r>
        <w:rPr>
          <w:rtl w:val="true"/>
        </w:rPr>
        <w:t>כשהוא נתון תחת השפעת סם מסוכן מסוג קנביס</w:t>
      </w:r>
      <w:r>
        <w:rPr>
          <w:rtl w:val="true"/>
        </w:rPr>
        <w:t xml:space="preserve">. </w:t>
      </w:r>
      <w:r>
        <w:rPr>
          <w:rtl w:val="true"/>
        </w:rPr>
        <w:t>נוכח ממצאים אלה</w:t>
      </w:r>
      <w:r>
        <w:rPr>
          <w:rtl w:val="true"/>
        </w:rPr>
        <w:t xml:space="preserve">, </w:t>
      </w:r>
      <w:r>
        <w:rPr>
          <w:rtl w:val="true"/>
        </w:rPr>
        <w:t>ובשים לב גם לתוצרי חקירה נוספים שנאספו על</w:t>
      </w:r>
      <w:r>
        <w:rPr>
          <w:rtl w:val="true"/>
        </w:rPr>
        <w:t>-</w:t>
      </w:r>
      <w:r>
        <w:rPr>
          <w:rtl w:val="true"/>
        </w:rPr>
        <w:t>ידי המשטרה</w:t>
      </w:r>
      <w:r>
        <w:rPr>
          <w:rtl w:val="true"/>
        </w:rPr>
        <w:t xml:space="preserve">, </w:t>
      </w:r>
      <w:r>
        <w:rPr>
          <w:rtl w:val="true"/>
        </w:rPr>
        <w:t xml:space="preserve">הוגש ביום </w:t>
      </w:r>
      <w:r>
        <w:rPr/>
        <w:t>21.6.2017</w:t>
      </w:r>
      <w:r>
        <w:rPr>
          <w:rtl w:val="true"/>
        </w:rPr>
        <w:t xml:space="preserve"> </w:t>
      </w:r>
      <w:r>
        <w:rPr>
          <w:rtl w:val="true"/>
        </w:rPr>
        <w:t>כתב אישום</w:t>
      </w:r>
      <w:r>
        <w:rPr>
          <w:rtl w:val="true"/>
        </w:rPr>
        <w:t xml:space="preserve">, </w:t>
      </w:r>
      <w:r>
        <w:rPr>
          <w:rtl w:val="true"/>
        </w:rPr>
        <w:t>שבו יוחסו לג</w:t>
      </w:r>
      <w:r>
        <w:rPr>
          <w:rtl w:val="true"/>
        </w:rPr>
        <w:t>'</w:t>
      </w:r>
      <w:r>
        <w:rPr>
          <w:rtl w:val="true"/>
        </w:rPr>
        <w:t xml:space="preserve">האד שתי עבירות שעניינן הריגה </w:t>
      </w:r>
      <w:r>
        <w:rPr>
          <w:rtl w:val="true"/>
        </w:rPr>
        <w:t>(</w:t>
      </w:r>
      <w:r>
        <w:rPr>
          <w:rtl w:val="true"/>
        </w:rPr>
        <w:t>בעקבות תיקון 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230</w:t>
      </w:r>
      <w:r>
        <w:rPr>
          <w:rtl w:val="true"/>
        </w:rPr>
        <w:t>);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אלה הומרו לאחר מכן לעבירות המתה בקלות דעת</w:t>
      </w:r>
      <w:r>
        <w:rPr>
          <w:rtl w:val="true"/>
        </w:rPr>
        <w:t xml:space="preserve">); </w:t>
      </w:r>
      <w:r>
        <w:rPr>
          <w:rtl w:val="true"/>
        </w:rPr>
        <w:t>נהיגה תחת השפעת סמים</w:t>
      </w:r>
      <w:r>
        <w:rPr>
          <w:rtl w:val="true"/>
        </w:rPr>
        <w:t xml:space="preserve">; </w:t>
      </w:r>
      <w:r>
        <w:rPr>
          <w:rtl w:val="true"/>
        </w:rPr>
        <w:t>סטייה מנתיב תחבורה</w:t>
      </w:r>
      <w:r>
        <w:rPr>
          <w:rtl w:val="true"/>
        </w:rPr>
        <w:t xml:space="preserve">; </w:t>
      </w:r>
      <w:r>
        <w:rPr>
          <w:rtl w:val="true"/>
        </w:rPr>
        <w:t>ונהיגה במהירות לא סבירה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10.6.2020</w:t>
      </w:r>
      <w:r>
        <w:rPr>
          <w:rtl w:val="true"/>
        </w:rPr>
        <w:t xml:space="preserve"> </w:t>
      </w:r>
      <w:r>
        <w:rPr>
          <w:rtl w:val="true"/>
        </w:rPr>
        <w:t>הרשיע בית המשפט המחוזי את ג</w:t>
      </w:r>
      <w:r>
        <w:rPr>
          <w:rtl w:val="true"/>
        </w:rPr>
        <w:t>'</w:t>
      </w:r>
      <w:r>
        <w:rPr>
          <w:rtl w:val="true"/>
        </w:rPr>
        <w:t xml:space="preserve">האד בביצוע שתי עבירות של המתה בקלות דעת – לפי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tl w:val="true"/>
        </w:rPr>
        <w:t xml:space="preserve"> 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 xml:space="preserve">עבירה של נהיגה בשכרות – לפי </w:t>
      </w:r>
      <w:hyperlink r:id="rId18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19">
        <w:r>
          <w:rPr>
            <w:rStyle w:val="Hyperlink"/>
          </w:rPr>
          <w:t>64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0">
        <w:r>
          <w:rPr>
            <w:rStyle w:val="Hyperlink"/>
          </w:rPr>
          <w:t>64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, </w:t>
      </w:r>
      <w:r>
        <w:rPr>
          <w:rtl w:val="true"/>
        </w:rPr>
        <w:t xml:space="preserve">יחד עם </w:t>
      </w:r>
      <w:hyperlink r:id="rId22">
        <w:r>
          <w:rPr>
            <w:rStyle w:val="Hyperlink"/>
            <w:rtl w:val="true"/>
          </w:rPr>
          <w:t>תקנה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169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ל</w:t>
      </w:r>
      <w:hyperlink r:id="rId23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 בהתאמה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התעבורה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התעבורה</w:t>
      </w:r>
      <w:r>
        <w:rPr>
          <w:rtl w:val="true"/>
        </w:rPr>
        <w:t xml:space="preserve">). </w:t>
      </w:r>
      <w:r>
        <w:rPr>
          <w:rtl w:val="true"/>
        </w:rPr>
        <w:t>ודוק</w:t>
      </w:r>
      <w:r>
        <w:rPr>
          <w:rtl w:val="true"/>
        </w:rPr>
        <w:t xml:space="preserve">: </w:t>
      </w:r>
      <w:hyperlink r:id="rId2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ל</w:t>
      </w:r>
      <w:hyperlink r:id="rId2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נקבע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שיכור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 xml:space="preserve">הוא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ששותה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נהיגה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הרכב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 xml:space="preserve">וכן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שבגופו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תוצרי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חילוף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מסוכן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; </w:t>
      </w:r>
      <w:r>
        <w:rPr>
          <w:rtl w:val="true"/>
        </w:rPr>
        <w:t xml:space="preserve">עבירה של סטיה מנתיב תחבורה – לפי </w:t>
      </w:r>
      <w:hyperlink r:id="rId26">
        <w:r>
          <w:rPr>
            <w:rStyle w:val="Hyperlink"/>
            <w:rtl w:val="true"/>
          </w:rPr>
          <w:t>תקנה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hyperlink r:id="rId27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תקנות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התעבורה</w:t>
        </w:r>
      </w:hyperlink>
      <w:r>
        <w:rPr>
          <w:rtl w:val="true"/>
        </w:rPr>
        <w:t xml:space="preserve">; </w:t>
      </w:r>
      <w:r>
        <w:rPr>
          <w:rtl w:val="true"/>
        </w:rPr>
        <w:t xml:space="preserve">ובעבירה של נהיגה שלא במהירות סבירה – לפי </w:t>
      </w:r>
      <w:hyperlink r:id="rId28">
        <w:r>
          <w:rPr>
            <w:rStyle w:val="Hyperlink"/>
            <w:rtl w:val="true"/>
          </w:rPr>
          <w:t>תקנה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לתקנות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התעבורה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30.9.2020</w:t>
      </w:r>
      <w:r>
        <w:rPr>
          <w:rtl w:val="true"/>
        </w:rPr>
        <w:t xml:space="preserve"> </w:t>
      </w:r>
      <w:r>
        <w:rPr>
          <w:rtl w:val="true"/>
        </w:rPr>
        <w:t>גזר בית המשפט המחוזי את דינו של ג</w:t>
      </w:r>
      <w:r>
        <w:rPr>
          <w:rtl w:val="true"/>
        </w:rPr>
        <w:t>'</w:t>
      </w:r>
      <w:r>
        <w:rPr>
          <w:rtl w:val="true"/>
        </w:rPr>
        <w:t>האד</w:t>
      </w:r>
      <w:r>
        <w:rPr>
          <w:rtl w:val="true"/>
        </w:rPr>
        <w:t xml:space="preserve">. </w:t>
      </w:r>
      <w:r>
        <w:rPr>
          <w:rtl w:val="true"/>
        </w:rPr>
        <w:t>לצורך 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>שקל בית המשפט המחוזי את הערכים המוגנים שנפגעו</w:t>
      </w:r>
      <w:r>
        <w:rPr>
          <w:rtl w:val="true"/>
        </w:rPr>
        <w:t xml:space="preserve">, </w:t>
      </w:r>
      <w:r>
        <w:rPr>
          <w:rtl w:val="true"/>
        </w:rPr>
        <w:t>בהם שלום הציבור ובִטחונו</w:t>
      </w:r>
      <w:r>
        <w:rPr>
          <w:rtl w:val="true"/>
        </w:rPr>
        <w:t xml:space="preserve">; </w:t>
      </w:r>
      <w:r>
        <w:rPr>
          <w:rtl w:val="true"/>
        </w:rPr>
        <w:t>את מידת הפגיעה בהם</w:t>
      </w:r>
      <w:r>
        <w:rPr>
          <w:rtl w:val="true"/>
        </w:rPr>
        <w:t xml:space="preserve">; </w:t>
      </w:r>
      <w:r>
        <w:rPr>
          <w:rtl w:val="true"/>
        </w:rPr>
        <w:t>את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כפי שזו עולה מפסקי דין קודמים</w:t>
      </w:r>
      <w:r>
        <w:rPr>
          <w:rtl w:val="true"/>
        </w:rPr>
        <w:t xml:space="preserve">; </w:t>
      </w:r>
      <w:r>
        <w:rPr>
          <w:rtl w:val="true"/>
        </w:rPr>
        <w:t>ואת הנסיבות הנוגעות לביצוע העבירות מושא האישומים</w:t>
      </w:r>
      <w:r>
        <w:rPr>
          <w:rtl w:val="true"/>
        </w:rPr>
        <w:t xml:space="preserve">. </w:t>
      </w:r>
      <w:r>
        <w:rPr>
          <w:rtl w:val="true"/>
        </w:rPr>
        <w:t>במסגרת זו קבע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המצדיק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קביעת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פנה בית המשפט המחוזי לסקור את 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 xml:space="preserve">ובהקשר זה ציין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הנוהגת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מלמדת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אמנם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נהיגה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בשכרות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שגרמו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לתוצאה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קטלנית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רחב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הודגש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נהיגה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מסכנת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הנוהגים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בכביש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מרכזי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למספרן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תאונות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הדרכים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לנקוט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במדיניות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מרתיעה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ולהעניש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בחומרה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נהגים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הנתפסים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נוהגים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בשכרות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[...]'". </w:t>
      </w:r>
      <w:r>
        <w:rPr>
          <w:rtl w:val="true"/>
        </w:rPr>
        <w:t>על רקע האמור</w:t>
      </w:r>
      <w:r>
        <w:rPr>
          <w:rtl w:val="true"/>
        </w:rPr>
        <w:t xml:space="preserve">, </w:t>
      </w:r>
      <w:r>
        <w:rPr>
          <w:rtl w:val="true"/>
        </w:rPr>
        <w:t xml:space="preserve">נקבע כי מתחם העונש ההולם עומד על </w:t>
      </w:r>
      <w:r>
        <w:rPr/>
        <w:t>12-7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לצד עונשי מאסר על תנאי</w:t>
      </w:r>
      <w:r>
        <w:rPr>
          <w:rtl w:val="true"/>
        </w:rPr>
        <w:t xml:space="preserve">, </w:t>
      </w:r>
      <w:r>
        <w:rPr>
          <w:rtl w:val="true"/>
        </w:rPr>
        <w:t>פסילת רישיון נהיגה לתקופה ממושכת</w:t>
      </w:r>
      <w:r>
        <w:rPr>
          <w:rtl w:val="true"/>
        </w:rPr>
        <w:t xml:space="preserve">, </w:t>
      </w:r>
      <w:r>
        <w:rPr>
          <w:rtl w:val="true"/>
        </w:rPr>
        <w:t>ופיצוי כספי הולם לקורבן העבירה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לאחר שקבע את מתחם העונש ההולם</w:t>
      </w:r>
      <w:r>
        <w:rPr>
          <w:rtl w:val="true"/>
        </w:rPr>
        <w:t xml:space="preserve">, </w:t>
      </w:r>
      <w:r>
        <w:rPr>
          <w:rtl w:val="true"/>
        </w:rPr>
        <w:t>ומשלא מצא מקום לסטות ממנו</w:t>
      </w:r>
      <w:r>
        <w:rPr>
          <w:rtl w:val="true"/>
        </w:rPr>
        <w:t xml:space="preserve">, </w:t>
      </w:r>
      <w:r>
        <w:rPr>
          <w:rtl w:val="true"/>
        </w:rPr>
        <w:t>פנה בית המשפט המחוזי לגזור את עונשו של ג</w:t>
      </w:r>
      <w:r>
        <w:rPr>
          <w:rtl w:val="true"/>
        </w:rPr>
        <w:t>'</w:t>
      </w:r>
      <w:r>
        <w:rPr>
          <w:rtl w:val="true"/>
        </w:rPr>
        <w:t>האד בתחומי המתחם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שקל בית המשפט המחוזי את העובדה כי ג</w:t>
      </w:r>
      <w:r>
        <w:rPr>
          <w:rtl w:val="true"/>
        </w:rPr>
        <w:t>'</w:t>
      </w:r>
      <w:r>
        <w:rPr>
          <w:rtl w:val="true"/>
        </w:rPr>
        <w:t>האד לא קיבל אחריות מלאה למעשיו</w:t>
      </w:r>
      <w:r>
        <w:rPr>
          <w:rtl w:val="true"/>
        </w:rPr>
        <w:t xml:space="preserve">, </w:t>
      </w:r>
      <w:r>
        <w:rPr>
          <w:rtl w:val="true"/>
        </w:rPr>
        <w:t>ואף טען</w:t>
      </w:r>
      <w:r>
        <w:rPr>
          <w:rtl w:val="true"/>
        </w:rPr>
        <w:t xml:space="preserve">, </w:t>
      </w:r>
      <w:r>
        <w:rPr>
          <w:rtl w:val="true"/>
        </w:rPr>
        <w:t>בהעדר עיגון עובדתי ממשי</w:t>
      </w:r>
      <w:r>
        <w:rPr>
          <w:rtl w:val="true"/>
        </w:rPr>
        <w:t xml:space="preserve">, </w:t>
      </w:r>
      <w:r>
        <w:rPr>
          <w:rtl w:val="true"/>
        </w:rPr>
        <w:t>כי אחריותו המשפטית והעובדתית לגרימת התאונה מוגבלת</w:t>
      </w:r>
      <w:r>
        <w:rPr>
          <w:rtl w:val="true"/>
        </w:rPr>
        <w:t xml:space="preserve">; </w:t>
      </w:r>
      <w:r>
        <w:rPr>
          <w:rtl w:val="true"/>
        </w:rPr>
        <w:t>בית המשפט המחוזי שקל גם את תרומת אביו של ג</w:t>
      </w:r>
      <w:r>
        <w:rPr>
          <w:rtl w:val="true"/>
        </w:rPr>
        <w:t>'</w:t>
      </w:r>
      <w:r>
        <w:rPr>
          <w:rtl w:val="true"/>
        </w:rPr>
        <w:t>האד לחברה בישראל</w:t>
      </w:r>
      <w:r>
        <w:rPr>
          <w:rtl w:val="true"/>
        </w:rPr>
        <w:t xml:space="preserve">, </w:t>
      </w:r>
      <w:r>
        <w:rPr>
          <w:rtl w:val="true"/>
        </w:rPr>
        <w:t>וזקף אותה</w:t>
      </w:r>
      <w:r>
        <w:rPr>
          <w:rtl w:val="true"/>
        </w:rPr>
        <w:t xml:space="preserve">, </w:t>
      </w:r>
      <w:r>
        <w:rPr>
          <w:rtl w:val="true"/>
        </w:rPr>
        <w:t>ולוּ במעט</w:t>
      </w:r>
      <w:r>
        <w:rPr>
          <w:rtl w:val="true"/>
        </w:rPr>
        <w:t xml:space="preserve">, </w:t>
      </w:r>
      <w:r>
        <w:rPr>
          <w:rtl w:val="true"/>
        </w:rPr>
        <w:t>גם לזכותו של ג</w:t>
      </w:r>
      <w:r>
        <w:rPr>
          <w:rtl w:val="true"/>
        </w:rPr>
        <w:t>'</w:t>
      </w:r>
      <w:r>
        <w:rPr>
          <w:rtl w:val="true"/>
        </w:rPr>
        <w:t>האד</w:t>
      </w:r>
      <w:r>
        <w:rPr>
          <w:rtl w:val="true"/>
        </w:rPr>
        <w:t xml:space="preserve">. </w:t>
      </w:r>
      <w:r>
        <w:rPr>
          <w:rtl w:val="true"/>
        </w:rPr>
        <w:t>בהתחשב בכל אלה</w:t>
      </w:r>
      <w:r>
        <w:rPr>
          <w:rtl w:val="true"/>
        </w:rPr>
        <w:t xml:space="preserve">, </w:t>
      </w:r>
      <w:r>
        <w:rPr>
          <w:rtl w:val="true"/>
        </w:rPr>
        <w:t>נקבע לבסוף</w:t>
      </w:r>
      <w:r>
        <w:rPr>
          <w:rtl w:val="true"/>
        </w:rPr>
        <w:t xml:space="preserve">, </w:t>
      </w:r>
      <w:r>
        <w:rPr>
          <w:rtl w:val="true"/>
        </w:rPr>
        <w:t>כאמור בראשית הדברים</w:t>
      </w:r>
      <w:r>
        <w:rPr>
          <w:rtl w:val="true"/>
        </w:rPr>
        <w:t xml:space="preserve">, </w:t>
      </w:r>
      <w:r>
        <w:rPr>
          <w:rtl w:val="true"/>
        </w:rPr>
        <w:t>כי ג</w:t>
      </w:r>
      <w:r>
        <w:rPr>
          <w:rtl w:val="true"/>
        </w:rPr>
        <w:t>'</w:t>
      </w:r>
      <w:r>
        <w:rPr>
          <w:rtl w:val="true"/>
        </w:rPr>
        <w:t xml:space="preserve">האד ירצה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לבד מעונשים נלווים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7852/20</w:t>
      </w:r>
    </w:p>
    <w:p>
      <w:pPr>
        <w:pStyle w:val="Ruller41"/>
        <w:tabs>
          <w:tab w:val="clear" w:pos="720"/>
          <w:tab w:val="left" w:pos="907" w:leader="none"/>
        </w:tabs>
        <w:ind w:end="0"/>
        <w:jc w:val="both"/>
        <w:rPr/>
      </w:pPr>
      <w:r>
        <w:rPr>
          <w:rtl w:val="true"/>
        </w:rPr>
        <w:t>המדינה טוענת  בערעורה על גזר הדין</w:t>
      </w:r>
      <w:r>
        <w:rPr>
          <w:rtl w:val="true"/>
        </w:rPr>
        <w:t xml:space="preserve">, </w:t>
      </w:r>
      <w:r>
        <w:rPr>
          <w:rtl w:val="true"/>
        </w:rPr>
        <w:t>כי חומרתם המופלגת של המעשים שביצע ג</w:t>
      </w:r>
      <w:r>
        <w:rPr>
          <w:rtl w:val="true"/>
        </w:rPr>
        <w:t>'</w:t>
      </w:r>
      <w:r>
        <w:rPr>
          <w:rtl w:val="true"/>
        </w:rPr>
        <w:t>האד</w:t>
      </w:r>
      <w:r>
        <w:rPr>
          <w:rtl w:val="true"/>
        </w:rPr>
        <w:t xml:space="preserve">, </w:t>
      </w:r>
      <w:r>
        <w:rPr>
          <w:rtl w:val="true"/>
        </w:rPr>
        <w:t>ודאי תוצאותיהם הקשות מנשוא</w:t>
      </w:r>
      <w:r>
        <w:rPr>
          <w:rtl w:val="true"/>
        </w:rPr>
        <w:t xml:space="preserve">, </w:t>
      </w:r>
      <w:r>
        <w:rPr>
          <w:rtl w:val="true"/>
        </w:rPr>
        <w:t>לא זכו לביטוי הולם בגזר הדין</w:t>
      </w:r>
      <w:r>
        <w:rPr>
          <w:rtl w:val="true"/>
        </w:rPr>
        <w:t xml:space="preserve">. </w:t>
      </w:r>
      <w:r>
        <w:rPr>
          <w:rtl w:val="true"/>
        </w:rPr>
        <w:t>לטענת המדינה</w:t>
      </w:r>
      <w:r>
        <w:rPr>
          <w:rtl w:val="true"/>
        </w:rPr>
        <w:t xml:space="preserve">, </w:t>
      </w:r>
      <w:r>
        <w:rPr>
          <w:rtl w:val="true"/>
        </w:rPr>
        <w:t>מתחם העונש ההולם שקבע בית המשפט המחוזי</w:t>
      </w:r>
      <w:r>
        <w:rPr>
          <w:rtl w:val="true"/>
        </w:rPr>
        <w:t xml:space="preserve">, </w:t>
      </w:r>
      <w:r>
        <w:rPr>
          <w:rtl w:val="true"/>
        </w:rPr>
        <w:t>אינו מבטא נכונה את ההוקעה הציבורית הראויה</w:t>
      </w:r>
      <w:r>
        <w:rPr>
          <w:rtl w:val="true"/>
        </w:rPr>
        <w:t xml:space="preserve">, </w:t>
      </w:r>
      <w:r>
        <w:rPr>
          <w:rtl w:val="true"/>
        </w:rPr>
        <w:t>ואת הסלידה החברתית מפני מעשיו של ג</w:t>
      </w:r>
      <w:r>
        <w:rPr>
          <w:rtl w:val="true"/>
        </w:rPr>
        <w:t>'</w:t>
      </w:r>
      <w:r>
        <w:rPr>
          <w:rtl w:val="true"/>
        </w:rPr>
        <w:t>האד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ראוי ליתן את הדעת על כך שאין מדובר</w:t>
      </w:r>
      <w:r>
        <w:rPr>
          <w:rtl w:val="true"/>
        </w:rPr>
        <w:t xml:space="preserve">, </w:t>
      </w:r>
      <w:r>
        <w:rPr>
          <w:rtl w:val="true"/>
        </w:rPr>
        <w:t>למרבה הצער</w:t>
      </w:r>
      <w:r>
        <w:rPr>
          <w:rtl w:val="true"/>
        </w:rPr>
        <w:t xml:space="preserve">, </w:t>
      </w:r>
      <w:r>
        <w:rPr>
          <w:rtl w:val="true"/>
        </w:rPr>
        <w:t>במקרה חריג במחוזותינו</w:t>
      </w:r>
      <w:r>
        <w:rPr>
          <w:rtl w:val="true"/>
        </w:rPr>
        <w:t xml:space="preserve">. </w:t>
      </w:r>
      <w:r>
        <w:rPr>
          <w:rtl w:val="true"/>
        </w:rPr>
        <w:t>למגינת הלב</w:t>
      </w:r>
      <w:r>
        <w:rPr>
          <w:rtl w:val="true"/>
        </w:rPr>
        <w:t xml:space="preserve">, </w:t>
      </w:r>
      <w:r>
        <w:rPr>
          <w:rtl w:val="true"/>
        </w:rPr>
        <w:t>נהיגה תחת השפעת סמים או אלכוהול</w:t>
      </w:r>
      <w:r>
        <w:rPr>
          <w:rtl w:val="true"/>
        </w:rPr>
        <w:t xml:space="preserve">, </w:t>
      </w:r>
      <w:r>
        <w:rPr>
          <w:rtl w:val="true"/>
        </w:rPr>
        <w:t xml:space="preserve">היא בבחינת </w:t>
      </w:r>
      <w:r>
        <w:rPr>
          <w:rtl w:val="true"/>
        </w:rPr>
        <w:t>'</w:t>
      </w:r>
      <w:r>
        <w:rPr>
          <w:rtl w:val="true"/>
        </w:rPr>
        <w:t>מכת מדינה</w:t>
      </w:r>
      <w:r>
        <w:rPr>
          <w:rtl w:val="true"/>
        </w:rPr>
        <w:t xml:space="preserve">' </w:t>
      </w:r>
      <w:r>
        <w:rPr>
          <w:rtl w:val="true"/>
        </w:rPr>
        <w:t>המלווה את חיינו זה שנים רבות</w:t>
      </w:r>
      <w:r>
        <w:rPr>
          <w:rtl w:val="true"/>
        </w:rPr>
        <w:t xml:space="preserve">. </w:t>
      </w:r>
      <w:r>
        <w:rPr>
          <w:rtl w:val="true"/>
        </w:rPr>
        <w:t>להוכחת דבריה</w:t>
      </w:r>
      <w:r>
        <w:rPr>
          <w:rtl w:val="true"/>
        </w:rPr>
        <w:t xml:space="preserve">, </w:t>
      </w:r>
      <w:r>
        <w:rPr>
          <w:rtl w:val="true"/>
        </w:rPr>
        <w:t>מצביעה המדינה על שורה של פסקי דין שיצאו מלפני בית משפט זה</w:t>
      </w:r>
      <w:r>
        <w:rPr>
          <w:rtl w:val="true"/>
        </w:rPr>
        <w:t xml:space="preserve">, </w:t>
      </w:r>
      <w:r>
        <w:rPr>
          <w:rtl w:val="true"/>
        </w:rPr>
        <w:t>בהן עמד בית המשפט</w:t>
      </w:r>
      <w:r>
        <w:rPr>
          <w:rtl w:val="true"/>
        </w:rPr>
        <w:t xml:space="preserve">, </w:t>
      </w:r>
      <w:r>
        <w:rPr>
          <w:rtl w:val="true"/>
        </w:rPr>
        <w:t>לא אחת</w:t>
      </w:r>
      <w:r>
        <w:rPr>
          <w:rtl w:val="true"/>
        </w:rPr>
        <w:t xml:space="preserve">, </w:t>
      </w:r>
      <w:r>
        <w:rPr>
          <w:rtl w:val="true"/>
        </w:rPr>
        <w:t>על הצורך במאבק בלתי מתפשר בעבירות כבענייננו</w:t>
      </w:r>
      <w:r>
        <w:rPr>
          <w:rtl w:val="true"/>
        </w:rPr>
        <w:t xml:space="preserve">; </w:t>
      </w:r>
      <w:r>
        <w:rPr>
          <w:rtl w:val="true"/>
        </w:rPr>
        <w:t>הן נוכח השלכותיהן ההרסניות</w:t>
      </w:r>
      <w:r>
        <w:rPr>
          <w:rtl w:val="true"/>
        </w:rPr>
        <w:t xml:space="preserve">, </w:t>
      </w:r>
      <w:r>
        <w:rPr>
          <w:rtl w:val="true"/>
        </w:rPr>
        <w:t>הן לצורך הרתעת היחיד והרבים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הפנה ב</w:t>
      </w:r>
      <w:r>
        <w:rPr>
          <w:rtl w:val="true"/>
        </w:rPr>
        <w:t>"</w:t>
      </w:r>
      <w:r>
        <w:rPr>
          <w:rtl w:val="true"/>
        </w:rPr>
        <w:t>כ המדינה לתסקירי נפגעי העבירה</w:t>
      </w:r>
      <w:r>
        <w:rPr>
          <w:rtl w:val="true"/>
        </w:rPr>
        <w:t xml:space="preserve">, </w:t>
      </w:r>
      <w:r>
        <w:rPr>
          <w:rtl w:val="true"/>
        </w:rPr>
        <w:t>שמהם ניתן ללמוד על החורבן הכבד שהמיט ג</w:t>
      </w:r>
      <w:r>
        <w:rPr>
          <w:rtl w:val="true"/>
        </w:rPr>
        <w:t>'</w:t>
      </w:r>
      <w:r>
        <w:rPr>
          <w:rtl w:val="true"/>
        </w:rPr>
        <w:t>האד במעשיו</w:t>
      </w:r>
      <w:r>
        <w:rPr>
          <w:rtl w:val="true"/>
        </w:rPr>
        <w:t xml:space="preserve">, </w:t>
      </w:r>
      <w:r>
        <w:rPr>
          <w:rtl w:val="true"/>
        </w:rPr>
        <w:t>על בני המשפחה של המנוחים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במסגרת טיעוניה הכירה המדינה בכך שמנעד הענישה בעבירות מושא דיוננו הוא רחב</w:t>
      </w:r>
      <w:r>
        <w:rPr>
          <w:rtl w:val="true"/>
        </w:rPr>
        <w:t xml:space="preserve">, </w:t>
      </w:r>
      <w:r>
        <w:rPr>
          <w:rtl w:val="true"/>
        </w:rPr>
        <w:t>כך שניתן למצוא דוגמאות לענישה מקֵלה</w:t>
      </w:r>
      <w:r>
        <w:rPr>
          <w:rtl w:val="true"/>
        </w:rPr>
        <w:t xml:space="preserve">, </w:t>
      </w:r>
      <w:r>
        <w:rPr>
          <w:rtl w:val="true"/>
        </w:rPr>
        <w:t>מחד גיסא</w:t>
      </w:r>
      <w:r>
        <w:rPr>
          <w:rtl w:val="true"/>
        </w:rPr>
        <w:t xml:space="preserve">, </w:t>
      </w:r>
      <w:r>
        <w:rPr>
          <w:rtl w:val="true"/>
        </w:rPr>
        <w:t>וענישה מחמירה</w:t>
      </w:r>
      <w:r>
        <w:rPr>
          <w:rtl w:val="true"/>
        </w:rPr>
        <w:t xml:space="preserve">, </w:t>
      </w:r>
      <w:r>
        <w:rPr>
          <w:rtl w:val="true"/>
        </w:rPr>
        <w:t>מאידך גיסא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בנסיבות המקרה דנן</w:t>
      </w:r>
      <w:r>
        <w:rPr>
          <w:rtl w:val="true"/>
        </w:rPr>
        <w:t xml:space="preserve">, </w:t>
      </w:r>
      <w:r>
        <w:rPr>
          <w:rtl w:val="true"/>
        </w:rPr>
        <w:t>נטען כי היה על בית המשפט המחוזי לקבוע מתחם ענישה חמור מזה שקבע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אשר לגזירת העונש בתוככי המתחם</w:t>
      </w:r>
      <w:r>
        <w:rPr>
          <w:rtl w:val="true"/>
        </w:rPr>
        <w:t xml:space="preserve">, </w:t>
      </w:r>
      <w:r>
        <w:rPr>
          <w:rtl w:val="true"/>
        </w:rPr>
        <w:t>נטען כי שגה בית המשפט המחוזי בעת שבחר להציב את עונשו של ג</w:t>
      </w:r>
      <w:r>
        <w:rPr>
          <w:rtl w:val="true"/>
        </w:rPr>
        <w:t>'</w:t>
      </w:r>
      <w:r>
        <w:rPr>
          <w:rtl w:val="true"/>
        </w:rPr>
        <w:t>האד סמוך לתחתית מתחם הענישה שקבע</w:t>
      </w:r>
      <w:r>
        <w:rPr>
          <w:rtl w:val="true"/>
        </w:rPr>
        <w:t xml:space="preserve">. </w:t>
      </w:r>
      <w:r>
        <w:rPr>
          <w:rtl w:val="true"/>
        </w:rPr>
        <w:t>בהקשר זה צוין</w:t>
      </w:r>
      <w:r>
        <w:rPr>
          <w:rtl w:val="true"/>
        </w:rPr>
        <w:t xml:space="preserve">, </w:t>
      </w:r>
      <w:r>
        <w:rPr>
          <w:rtl w:val="true"/>
        </w:rPr>
        <w:t>כי ג</w:t>
      </w:r>
      <w:r>
        <w:rPr>
          <w:rtl w:val="true"/>
        </w:rPr>
        <w:t>'</w:t>
      </w:r>
      <w:r>
        <w:rPr>
          <w:rtl w:val="true"/>
        </w:rPr>
        <w:t>האד לא נטל כל אחריות על ביצוע העבירה</w:t>
      </w:r>
      <w:r>
        <w:rPr>
          <w:rtl w:val="true"/>
        </w:rPr>
        <w:t xml:space="preserve">; </w:t>
      </w:r>
      <w:r>
        <w:rPr>
          <w:rtl w:val="true"/>
        </w:rPr>
        <w:t>כי נמלט מישראל למשך למעלה משנה בתקופת ניהול משפטו</w:t>
      </w:r>
      <w:r>
        <w:rPr>
          <w:rtl w:val="true"/>
        </w:rPr>
        <w:t xml:space="preserve">, </w:t>
      </w:r>
      <w:r>
        <w:rPr>
          <w:rtl w:val="true"/>
        </w:rPr>
        <w:t>כשהוא מסב בכך פגיעה נוספת לבני משפחתם של המנוחים</w:t>
      </w:r>
      <w:r>
        <w:rPr>
          <w:rtl w:val="true"/>
        </w:rPr>
        <w:t xml:space="preserve">, </w:t>
      </w:r>
      <w:r>
        <w:rPr>
          <w:rtl w:val="true"/>
        </w:rPr>
        <w:t>אשר חששו שמא לא יתאפשר למצות עמו את הדין</w:t>
      </w:r>
      <w:r>
        <w:rPr>
          <w:rtl w:val="true"/>
        </w:rPr>
        <w:t xml:space="preserve">; </w:t>
      </w:r>
      <w:r>
        <w:rPr>
          <w:rtl w:val="true"/>
        </w:rPr>
        <w:t>כי הוא בעל עבר פלילי ותעבורתי</w:t>
      </w:r>
      <w:r>
        <w:rPr>
          <w:rtl w:val="true"/>
        </w:rPr>
        <w:t xml:space="preserve">; </w:t>
      </w:r>
      <w:r>
        <w:rPr>
          <w:rtl w:val="true"/>
        </w:rPr>
        <w:t>וכי גילו איננו צעיר במיוחד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שלא היתה כל סיבה לגזור את עונשו סמוך לתחתית מתחם הענישה</w:t>
      </w:r>
      <w:r>
        <w:rPr>
          <w:rtl w:val="true"/>
        </w:rPr>
        <w:t xml:space="preserve">. </w:t>
      </w:r>
      <w:r>
        <w:rPr>
          <w:rtl w:val="true"/>
        </w:rPr>
        <w:t>לטענת המדינה</w:t>
      </w:r>
      <w:r>
        <w:rPr>
          <w:rtl w:val="true"/>
        </w:rPr>
        <w:t xml:space="preserve">, </w:t>
      </w:r>
      <w:r>
        <w:rPr>
          <w:rtl w:val="true"/>
        </w:rPr>
        <w:t>הקלה זו שמורה לנאשמים אשר נוטלים אחריות על מעשיהם</w:t>
      </w:r>
      <w:r>
        <w:rPr>
          <w:rtl w:val="true"/>
        </w:rPr>
        <w:t xml:space="preserve">, </w:t>
      </w:r>
      <w:r>
        <w:rPr>
          <w:rtl w:val="true"/>
        </w:rPr>
        <w:t>משתלבים במסלול שיקומי כלשהו</w:t>
      </w:r>
      <w:r>
        <w:rPr>
          <w:rtl w:val="true"/>
        </w:rPr>
        <w:t xml:space="preserve">, </w:t>
      </w:r>
      <w:r>
        <w:rPr>
          <w:rtl w:val="true"/>
        </w:rPr>
        <w:t>או אם מתקיימות בהם נסיבות אישיות מיוחדות אחרות</w:t>
      </w:r>
      <w:r>
        <w:rPr>
          <w:rtl w:val="true"/>
        </w:rPr>
        <w:t xml:space="preserve">. </w:t>
      </w:r>
      <w:r>
        <w:rPr>
          <w:rtl w:val="true"/>
        </w:rPr>
        <w:t>בנוסף נטען</w:t>
      </w:r>
      <w:r>
        <w:rPr>
          <w:rtl w:val="true"/>
        </w:rPr>
        <w:t xml:space="preserve">, </w:t>
      </w:r>
      <w:r>
        <w:rPr>
          <w:rtl w:val="true"/>
        </w:rPr>
        <w:t>כי אין מקום להקל עם מי שניהל את משפטו עד תום</w:t>
      </w:r>
      <w:r>
        <w:rPr>
          <w:rtl w:val="true"/>
        </w:rPr>
        <w:t xml:space="preserve">, </w:t>
      </w:r>
      <w:r>
        <w:rPr>
          <w:rtl w:val="true"/>
        </w:rPr>
        <w:t>תוך התנערות מאחריות</w:t>
      </w:r>
      <w:r>
        <w:rPr>
          <w:rtl w:val="true"/>
        </w:rPr>
        <w:t xml:space="preserve">, </w:t>
      </w:r>
      <w:r>
        <w:rPr>
          <w:rtl w:val="true"/>
        </w:rPr>
        <w:t>לאורך כל הדרך</w:t>
      </w:r>
      <w:r>
        <w:rPr>
          <w:rtl w:val="true"/>
        </w:rPr>
        <w:t xml:space="preserve">. </w:t>
      </w:r>
      <w:r>
        <w:rPr>
          <w:rtl w:val="true"/>
        </w:rPr>
        <w:t>כן נטען</w:t>
      </w:r>
      <w:r>
        <w:rPr>
          <w:rtl w:val="true"/>
        </w:rPr>
        <w:t xml:space="preserve">, </w:t>
      </w:r>
      <w:r>
        <w:rPr>
          <w:rtl w:val="true"/>
        </w:rPr>
        <w:t>כי שגה בית המשפט המחוזי בעת שבחר להתחשב</w:t>
      </w:r>
      <w:r>
        <w:rPr>
          <w:rtl w:val="true"/>
        </w:rPr>
        <w:t xml:space="preserve">, </w:t>
      </w:r>
      <w:r>
        <w:rPr>
          <w:rtl w:val="true"/>
        </w:rPr>
        <w:t>בשלב גזירת העונש</w:t>
      </w:r>
      <w:r>
        <w:rPr>
          <w:rtl w:val="true"/>
        </w:rPr>
        <w:t xml:space="preserve">, </w:t>
      </w:r>
      <w:r>
        <w:rPr>
          <w:rtl w:val="true"/>
        </w:rPr>
        <w:t>בתרומת אביו של ג</w:t>
      </w:r>
      <w:r>
        <w:rPr>
          <w:rtl w:val="true"/>
        </w:rPr>
        <w:t>'</w:t>
      </w:r>
      <w:r>
        <w:rPr>
          <w:rtl w:val="true"/>
        </w:rPr>
        <w:t>האד לביטחון ישראל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לבסוף התייחסה המדינה לתיקון </w:t>
      </w:r>
      <w:r>
        <w:rPr/>
        <w:t>137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hyperlink r:id="rId2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אשר הביא לרפורמה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>ולענייננו – המרת עבירת ההריגה</w:t>
      </w:r>
      <w:r>
        <w:rPr>
          <w:rtl w:val="true"/>
        </w:rPr>
        <w:t xml:space="preserve">, </w:t>
      </w:r>
      <w:r>
        <w:rPr>
          <w:rtl w:val="true"/>
        </w:rPr>
        <w:t xml:space="preserve">שהעונש בצידה הוא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– לעבירת המתה בקלות דעת</w:t>
      </w:r>
      <w:r>
        <w:rPr>
          <w:rtl w:val="true"/>
        </w:rPr>
        <w:t xml:space="preserve">, </w:t>
      </w:r>
      <w:r>
        <w:rPr>
          <w:rtl w:val="true"/>
        </w:rPr>
        <w:t xml:space="preserve">שהעונש בצידה הוא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המדינה טענה</w:t>
      </w:r>
      <w:r>
        <w:rPr>
          <w:rtl w:val="true"/>
        </w:rPr>
        <w:t xml:space="preserve">, </w:t>
      </w:r>
      <w:r>
        <w:rPr>
          <w:rtl w:val="true"/>
        </w:rPr>
        <w:t>כי חרף הרפורמה האמורה</w:t>
      </w:r>
      <w:r>
        <w:rPr>
          <w:rtl w:val="true"/>
        </w:rPr>
        <w:t xml:space="preserve">, </w:t>
      </w:r>
      <w:r>
        <w:rPr>
          <w:rtl w:val="true"/>
        </w:rPr>
        <w:t>ובשים לב לדבריו של בית משפט זה 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2356/17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29.6.2020</w:t>
      </w:r>
      <w:r>
        <w:rPr>
          <w:rtl w:val="true"/>
        </w:rPr>
        <w:t xml:space="preserve">), </w:t>
      </w:r>
      <w:r>
        <w:rPr>
          <w:rtl w:val="true"/>
        </w:rPr>
        <w:t>אין מקום להקל בעונשם של עברייני תנועה</w:t>
      </w:r>
      <w:r>
        <w:rPr>
          <w:rtl w:val="true"/>
        </w:rPr>
        <w:t xml:space="preserve">, </w:t>
      </w:r>
      <w:r>
        <w:rPr>
          <w:rtl w:val="true"/>
        </w:rPr>
        <w:t>שהביאו במעשיהם למותם של משתמשי דרך אחרים</w:t>
      </w:r>
      <w:r>
        <w:rPr>
          <w:rtl w:val="true"/>
        </w:rPr>
        <w:t xml:space="preserve">;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יש להחמיר את הענישה בגין מעשים אלו</w:t>
      </w:r>
      <w:r>
        <w:rPr>
          <w:rtl w:val="true"/>
        </w:rPr>
        <w:t xml:space="preserve">, </w:t>
      </w:r>
      <w:r>
        <w:rPr>
          <w:rtl w:val="true"/>
        </w:rPr>
        <w:t>לבטח במקרה דנן</w:t>
      </w:r>
      <w:r>
        <w:rPr>
          <w:rtl w:val="true"/>
        </w:rPr>
        <w:t xml:space="preserve">, </w:t>
      </w:r>
      <w:r>
        <w:rPr>
          <w:rtl w:val="true"/>
        </w:rPr>
        <w:t>שבו תוצאות העבירה המיטו חורבן כבד על משפחה שלמה</w:t>
      </w:r>
      <w:r>
        <w:rPr>
          <w:rtl w:val="true"/>
        </w:rPr>
        <w:t xml:space="preserve">. </w:t>
      </w:r>
      <w:r>
        <w:rPr>
          <w:rtl w:val="true"/>
        </w:rPr>
        <w:t>אשר לתקופת פסילת הרישיון</w:t>
      </w:r>
      <w:r>
        <w:rPr>
          <w:rtl w:val="true"/>
        </w:rPr>
        <w:t xml:space="preserve">, </w:t>
      </w:r>
      <w:r>
        <w:rPr>
          <w:rtl w:val="true"/>
        </w:rPr>
        <w:t>נטען כי שגה בית המשפט המחוזי</w:t>
      </w:r>
      <w:r>
        <w:rPr>
          <w:rtl w:val="true"/>
        </w:rPr>
        <w:t xml:space="preserve">, </w:t>
      </w:r>
      <w:r>
        <w:rPr>
          <w:rtl w:val="true"/>
        </w:rPr>
        <w:t>כאשר בחר לנכות ממנה את תקופת שהותו של ג</w:t>
      </w:r>
      <w:r>
        <w:rPr>
          <w:rtl w:val="true"/>
        </w:rPr>
        <w:t>'</w:t>
      </w:r>
      <w:r>
        <w:rPr>
          <w:rtl w:val="true"/>
        </w:rPr>
        <w:t>האד בלבנון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7969/20</w:t>
      </w:r>
    </w:p>
    <w:p>
      <w:pPr>
        <w:pStyle w:val="Ruller41"/>
        <w:tabs>
          <w:tab w:val="clear" w:pos="720"/>
          <w:tab w:val="left" w:pos="907" w:leader="none"/>
        </w:tabs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האד טוען בערעורו על 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כי העונש שהוטל עליו –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 מאסר בפועל – סוטה לְחוּמְרָא מרמת הענישה המקובלת והראויה בנסיבות דנן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בית המשפט המחוזי התעלם לחלוטין מן הפסיקה שהוגשה לעיונו</w:t>
      </w:r>
      <w:r>
        <w:rPr>
          <w:rtl w:val="true"/>
        </w:rPr>
        <w:t xml:space="preserve">, </w:t>
      </w:r>
      <w:r>
        <w:rPr>
          <w:rtl w:val="true"/>
        </w:rPr>
        <w:t>ביחס לרמת הענישה הנהוגה במקרים דומים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האד אף הגדיל לעשות</w:t>
      </w:r>
      <w:r>
        <w:rPr>
          <w:rtl w:val="true"/>
        </w:rPr>
        <w:t xml:space="preserve">, </w:t>
      </w:r>
      <w:r>
        <w:rPr>
          <w:rtl w:val="true"/>
        </w:rPr>
        <w:t>וטען כי האופן שבו נוסח גזר הדין מעורר חשש ממשי למשוא פנים</w:t>
      </w:r>
      <w:r>
        <w:rPr>
          <w:rtl w:val="true"/>
        </w:rPr>
        <w:t xml:space="preserve">, </w:t>
      </w:r>
      <w:r>
        <w:rPr>
          <w:rtl w:val="true"/>
        </w:rPr>
        <w:t>משבית המשפט המחוזי בחר להתעלם מטיעוני ההגנה</w:t>
      </w:r>
      <w:r>
        <w:rPr>
          <w:rtl w:val="true"/>
        </w:rPr>
        <w:t xml:space="preserve">, </w:t>
      </w:r>
      <w:r>
        <w:rPr>
          <w:rtl w:val="true"/>
        </w:rPr>
        <w:t>במסגרת גזר הדין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האד פירט בערעורו על אודות נסיבות חייו – המעבר מלבנון ארצה</w:t>
      </w:r>
      <w:r>
        <w:rPr>
          <w:rtl w:val="true"/>
        </w:rPr>
        <w:t xml:space="preserve">; </w:t>
      </w:r>
      <w:r>
        <w:rPr>
          <w:rtl w:val="true"/>
        </w:rPr>
        <w:t>קשיי הקליטה וההתאקלמות</w:t>
      </w:r>
      <w:r>
        <w:rPr>
          <w:rtl w:val="true"/>
        </w:rPr>
        <w:t xml:space="preserve">; </w:t>
      </w:r>
      <w:r>
        <w:rPr>
          <w:rtl w:val="true"/>
        </w:rPr>
        <w:t>וכניסתו לדיכאון</w:t>
      </w:r>
      <w:r>
        <w:rPr>
          <w:rtl w:val="true"/>
        </w:rPr>
        <w:t xml:space="preserve">, </w:t>
      </w:r>
      <w:r>
        <w:rPr>
          <w:rtl w:val="true"/>
        </w:rPr>
        <w:t>אשר גררה לדבריו שימוש בסמים ואשפוז פסיכיאטרי</w:t>
      </w:r>
      <w:r>
        <w:rPr>
          <w:rtl w:val="true"/>
        </w:rPr>
        <w:t xml:space="preserve">. </w:t>
      </w:r>
      <w:r>
        <w:rPr>
          <w:rtl w:val="true"/>
        </w:rPr>
        <w:t>לבד מן האמור</w:t>
      </w:r>
      <w:r>
        <w:rPr>
          <w:rtl w:val="true"/>
        </w:rPr>
        <w:t xml:space="preserve">, </w:t>
      </w:r>
      <w:r>
        <w:rPr>
          <w:rtl w:val="true"/>
        </w:rPr>
        <w:t>עמד ג</w:t>
      </w:r>
      <w:r>
        <w:rPr>
          <w:rtl w:val="true"/>
        </w:rPr>
        <w:t>'</w:t>
      </w:r>
      <w:r>
        <w:rPr>
          <w:rtl w:val="true"/>
        </w:rPr>
        <w:t>האד על תרומתו הרבה של אביו לחברה בישראל</w:t>
      </w:r>
      <w:r>
        <w:rPr>
          <w:rtl w:val="true"/>
        </w:rPr>
        <w:t xml:space="preserve">, </w:t>
      </w:r>
      <w:r>
        <w:rPr>
          <w:rtl w:val="true"/>
        </w:rPr>
        <w:t>ולכך שזו לא זכתה להתחשבות מספקת מצד בית המשפט המחוזי</w:t>
      </w:r>
      <w:r>
        <w:rPr>
          <w:rtl w:val="true"/>
        </w:rPr>
        <w:t xml:space="preserve">, </w:t>
      </w:r>
      <w:r>
        <w:rPr>
          <w:rtl w:val="true"/>
        </w:rPr>
        <w:t>בעת גזירת העונש</w:t>
      </w:r>
      <w:r>
        <w:rPr>
          <w:rtl w:val="true"/>
        </w:rPr>
        <w:t xml:space="preserve">. </w:t>
      </w:r>
      <w:r>
        <w:rPr>
          <w:rtl w:val="true"/>
        </w:rPr>
        <w:t>באחרית דבריו טען ג</w:t>
      </w:r>
      <w:r>
        <w:rPr>
          <w:rtl w:val="true"/>
        </w:rPr>
        <w:t>'</w:t>
      </w:r>
      <w:r>
        <w:rPr>
          <w:rtl w:val="true"/>
        </w:rPr>
        <w:t>האד</w:t>
      </w:r>
      <w:r>
        <w:rPr>
          <w:rtl w:val="true"/>
        </w:rPr>
        <w:t xml:space="preserve">, </w:t>
      </w:r>
      <w:r>
        <w:rPr>
          <w:rtl w:val="true"/>
        </w:rPr>
        <w:t xml:space="preserve">כי שגה בית המשפט המחוזי כאשר קבע מתחם ענישה הנע בין </w:t>
      </w:r>
      <w:r>
        <w:rPr/>
        <w:t>12-7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מתחם זה חורג מרף הענישה המקובל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הפנה ג</w:t>
      </w:r>
      <w:r>
        <w:rPr>
          <w:rtl w:val="true"/>
        </w:rPr>
        <w:t>'</w:t>
      </w:r>
      <w:r>
        <w:rPr>
          <w:rtl w:val="true"/>
        </w:rPr>
        <w:t>האד לפסיקה</w:t>
      </w:r>
      <w:r>
        <w:rPr>
          <w:rtl w:val="true"/>
        </w:rPr>
        <w:t xml:space="preserve">, </w:t>
      </w:r>
      <w:r>
        <w:rPr>
          <w:rtl w:val="true"/>
        </w:rPr>
        <w:t>אשר יש בה לשיטתו</w:t>
      </w:r>
      <w:r>
        <w:rPr>
          <w:rtl w:val="true"/>
        </w:rPr>
        <w:t xml:space="preserve">, </w:t>
      </w:r>
      <w:r>
        <w:rPr>
          <w:rtl w:val="true"/>
        </w:rPr>
        <w:t>כדי לשקף את רמת הענישה הנהוגה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בערעורים</w:t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שבו באי</w:t>
      </w:r>
      <w:r>
        <w:rPr>
          <w:rtl w:val="true"/>
        </w:rPr>
        <w:t>-</w:t>
      </w:r>
      <w:r>
        <w:rPr>
          <w:rtl w:val="true"/>
        </w:rPr>
        <w:t>כוח הצדדים על עיקרי טענותיהם</w:t>
      </w:r>
      <w:r>
        <w:rPr>
          <w:rtl w:val="true"/>
        </w:rPr>
        <w:t xml:space="preserve">. </w:t>
      </w:r>
      <w:r>
        <w:rPr>
          <w:rtl w:val="true"/>
        </w:rPr>
        <w:t>בד בבד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בעקבות המלצתנו</w:t>
      </w:r>
      <w:r>
        <w:rPr>
          <w:rtl w:val="true"/>
        </w:rPr>
        <w:t xml:space="preserve">, </w:t>
      </w:r>
      <w:r>
        <w:rPr>
          <w:rtl w:val="true"/>
        </w:rPr>
        <w:t>חזר בו ג</w:t>
      </w:r>
      <w:r>
        <w:rPr>
          <w:rtl w:val="true"/>
        </w:rPr>
        <w:t>'</w:t>
      </w:r>
      <w:r>
        <w:rPr>
          <w:rtl w:val="true"/>
        </w:rPr>
        <w:t>האד מערעורו על הכרעת הדין</w:t>
      </w:r>
      <w:r>
        <w:rPr>
          <w:rtl w:val="true"/>
        </w:rPr>
        <w:t xml:space="preserve">. </w:t>
      </w:r>
      <w:r>
        <w:rPr>
          <w:rtl w:val="true"/>
        </w:rPr>
        <w:t>אשר לטיעונים נגד גזר הדין של בית המשפט המחוזי – ב</w:t>
      </w:r>
      <w:r>
        <w:rPr>
          <w:rtl w:val="true"/>
        </w:rPr>
        <w:t>"</w:t>
      </w:r>
      <w:r>
        <w:rPr>
          <w:rtl w:val="true"/>
        </w:rPr>
        <w:t>כ המדינה הפנה למספר פסקי דין של בית משפט זה כדי לתמוך טענתו בדבר הצורך בהחמרת עונשו של ג</w:t>
      </w:r>
      <w:r>
        <w:rPr>
          <w:rtl w:val="true"/>
        </w:rPr>
        <w:t>'</w:t>
      </w:r>
      <w:r>
        <w:rPr>
          <w:rtl w:val="true"/>
        </w:rPr>
        <w:t>האד</w:t>
      </w:r>
      <w:r>
        <w:rPr>
          <w:rtl w:val="true"/>
        </w:rPr>
        <w:t xml:space="preserve">, </w:t>
      </w:r>
      <w:r>
        <w:rPr>
          <w:rtl w:val="true"/>
        </w:rPr>
        <w:t>ובנוסף ביקש כי ניתן דעתנו בעת גזירת העונש</w:t>
      </w:r>
      <w:r>
        <w:rPr>
          <w:rtl w:val="true"/>
        </w:rPr>
        <w:t xml:space="preserve">, </w:t>
      </w:r>
      <w:r>
        <w:rPr>
          <w:rtl w:val="true"/>
        </w:rPr>
        <w:t>להתנהלותו הדיונית של ג</w:t>
      </w:r>
      <w:r>
        <w:rPr>
          <w:rtl w:val="true"/>
        </w:rPr>
        <w:t>'</w:t>
      </w:r>
      <w:r>
        <w:rPr>
          <w:rtl w:val="true"/>
        </w:rPr>
        <w:t>האד</w:t>
      </w:r>
      <w:r>
        <w:rPr>
          <w:rtl w:val="true"/>
        </w:rPr>
        <w:t xml:space="preserve">, </w:t>
      </w:r>
      <w:r>
        <w:rPr>
          <w:rtl w:val="true"/>
        </w:rPr>
        <w:t>אשר נמלט ללבנון במהלך ההליך המשפטי</w:t>
      </w:r>
      <w:r>
        <w:rPr>
          <w:rtl w:val="true"/>
        </w:rPr>
        <w:t xml:space="preserve">, </w:t>
      </w:r>
      <w:r>
        <w:rPr>
          <w:rtl w:val="true"/>
        </w:rPr>
        <w:t>ולנזק הכבד שנגרם לבני משפחת המנוחים כתוצאה מהתאונה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של ג</w:t>
      </w:r>
      <w:r>
        <w:rPr>
          <w:rtl w:val="true"/>
        </w:rPr>
        <w:t>'</w:t>
      </w:r>
      <w:r>
        <w:rPr>
          <w:rtl w:val="true"/>
        </w:rPr>
        <w:t>האד טענה מנגד</w:t>
      </w:r>
      <w:r>
        <w:rPr>
          <w:rtl w:val="true"/>
        </w:rPr>
        <w:t xml:space="preserve">, </w:t>
      </w:r>
      <w:r>
        <w:rPr>
          <w:rtl w:val="true"/>
        </w:rPr>
        <w:t>כי אין לייחס כל משקל לטענת המדינה כי ג</w:t>
      </w:r>
      <w:r>
        <w:rPr>
          <w:rtl w:val="true"/>
        </w:rPr>
        <w:t>'</w:t>
      </w:r>
      <w:r>
        <w:rPr>
          <w:rtl w:val="true"/>
        </w:rPr>
        <w:t>האד לא לקח אחריות על מעשיו</w:t>
      </w:r>
      <w:r>
        <w:rPr>
          <w:rtl w:val="true"/>
        </w:rPr>
        <w:t xml:space="preserve">. </w:t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טענה זו</w:t>
      </w:r>
      <w:r>
        <w:rPr>
          <w:rtl w:val="true"/>
        </w:rPr>
        <w:t xml:space="preserve">, </w:t>
      </w:r>
      <w:r>
        <w:rPr>
          <w:rtl w:val="true"/>
        </w:rPr>
        <w:t>טעם רב יש בה לפגם</w:t>
      </w:r>
      <w:r>
        <w:rPr>
          <w:rtl w:val="true"/>
        </w:rPr>
        <w:t xml:space="preserve">, </w:t>
      </w:r>
      <w:r>
        <w:rPr>
          <w:rtl w:val="true"/>
        </w:rPr>
        <w:t>שכן העדר שיתוף הפעולה של ג</w:t>
      </w:r>
      <w:r>
        <w:rPr>
          <w:rtl w:val="true"/>
        </w:rPr>
        <w:t>'</w:t>
      </w:r>
      <w:r>
        <w:rPr>
          <w:rtl w:val="true"/>
        </w:rPr>
        <w:t>האד עם החוקרים לא היה מכוון</w:t>
      </w:r>
      <w:r>
        <w:rPr>
          <w:rtl w:val="true"/>
        </w:rPr>
        <w:t xml:space="preserve">, </w:t>
      </w:r>
      <w:r>
        <w:rPr>
          <w:rtl w:val="true"/>
        </w:rPr>
        <w:t>אלא נבע מאיבוד זיכרונו ביחס לתאונה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חזרה ב</w:t>
      </w:r>
      <w:r>
        <w:rPr>
          <w:rtl w:val="true"/>
        </w:rPr>
        <w:t>"</w:t>
      </w:r>
      <w:r>
        <w:rPr>
          <w:rtl w:val="true"/>
        </w:rPr>
        <w:t>כ של ג</w:t>
      </w:r>
      <w:r>
        <w:rPr>
          <w:rtl w:val="true"/>
        </w:rPr>
        <w:t>'</w:t>
      </w:r>
      <w:r>
        <w:rPr>
          <w:rtl w:val="true"/>
        </w:rPr>
        <w:t>האד והזכירה את תרומת אביו של ג</w:t>
      </w:r>
      <w:r>
        <w:rPr>
          <w:rtl w:val="true"/>
        </w:rPr>
        <w:t>'</w:t>
      </w:r>
      <w:r>
        <w:rPr>
          <w:rtl w:val="true"/>
        </w:rPr>
        <w:t>האד למדינה</w:t>
      </w:r>
      <w:r>
        <w:rPr>
          <w:rtl w:val="true"/>
        </w:rPr>
        <w:t xml:space="preserve">; </w:t>
      </w:r>
      <w:r>
        <w:rPr>
          <w:rtl w:val="true"/>
        </w:rPr>
        <w:t>את קשיי הקליטה וההתאקלמות של ג</w:t>
      </w:r>
      <w:r>
        <w:rPr>
          <w:rtl w:val="true"/>
        </w:rPr>
        <w:t>'</w:t>
      </w:r>
      <w:r>
        <w:rPr>
          <w:rtl w:val="true"/>
        </w:rPr>
        <w:t>האד</w:t>
      </w:r>
      <w:r>
        <w:rPr>
          <w:rtl w:val="true"/>
        </w:rPr>
        <w:t xml:space="preserve">; </w:t>
      </w:r>
      <w:r>
        <w:rPr>
          <w:rtl w:val="true"/>
        </w:rPr>
        <w:t>את מצבו הנפשי</w:t>
      </w:r>
      <w:r>
        <w:rPr>
          <w:rtl w:val="true"/>
        </w:rPr>
        <w:t xml:space="preserve">; </w:t>
      </w:r>
      <w:r>
        <w:rPr>
          <w:rtl w:val="true"/>
        </w:rPr>
        <w:t>ואת נסיבות השימוש בסמים</w:t>
      </w:r>
      <w:r>
        <w:rPr>
          <w:rtl w:val="true"/>
        </w:rPr>
        <w:t xml:space="preserve">. </w:t>
      </w:r>
      <w:r>
        <w:rPr>
          <w:rtl w:val="true"/>
        </w:rPr>
        <w:t>עוד טענה ב</w:t>
      </w:r>
      <w:r>
        <w:rPr>
          <w:rtl w:val="true"/>
        </w:rPr>
        <w:t>"</w:t>
      </w:r>
      <w:r>
        <w:rPr>
          <w:rtl w:val="true"/>
        </w:rPr>
        <w:t>כ של ג</w:t>
      </w:r>
      <w:r>
        <w:rPr>
          <w:rtl w:val="true"/>
        </w:rPr>
        <w:t>'</w:t>
      </w:r>
      <w:r>
        <w:rPr>
          <w:rtl w:val="true"/>
        </w:rPr>
        <w:t>האד</w:t>
      </w:r>
      <w:r>
        <w:rPr>
          <w:rtl w:val="true"/>
        </w:rPr>
        <w:t xml:space="preserve">, </w:t>
      </w:r>
      <w:r>
        <w:rPr>
          <w:rtl w:val="true"/>
        </w:rPr>
        <w:t>כי פסקי הדין שהוצגו על</w:t>
      </w:r>
      <w:r>
        <w:rPr>
          <w:rtl w:val="true"/>
        </w:rPr>
        <w:t>-</w:t>
      </w:r>
      <w:r>
        <w:rPr>
          <w:rtl w:val="true"/>
        </w:rPr>
        <w:t>ידי המדינה</w:t>
      </w:r>
      <w:r>
        <w:rPr>
          <w:rtl w:val="true"/>
        </w:rPr>
        <w:t xml:space="preserve">, </w:t>
      </w:r>
      <w:r>
        <w:rPr>
          <w:rtl w:val="true"/>
        </w:rPr>
        <w:t>לתמיכה בטענותיה לגבי מתחם הענישה וקולת העונש</w:t>
      </w:r>
      <w:r>
        <w:rPr>
          <w:rtl w:val="true"/>
        </w:rPr>
        <w:t xml:space="preserve">, </w:t>
      </w:r>
      <w:r>
        <w:rPr>
          <w:rtl w:val="true"/>
        </w:rPr>
        <w:t>אינם רלבנטיים למקרה דנן</w:t>
      </w:r>
      <w:r>
        <w:rPr>
          <w:rtl w:val="true"/>
        </w:rPr>
        <w:t xml:space="preserve">. </w:t>
      </w:r>
      <w:r>
        <w:rPr>
          <w:rtl w:val="true"/>
        </w:rPr>
        <w:t>את דבריה סמכה על פסקי דין אחרים</w:t>
      </w:r>
      <w:r>
        <w:rPr>
          <w:rtl w:val="true"/>
        </w:rPr>
        <w:t xml:space="preserve">, </w:t>
      </w:r>
      <w:r>
        <w:rPr>
          <w:rtl w:val="true"/>
        </w:rPr>
        <w:t>המשקפים ענישה מקלה יותר</w:t>
      </w:r>
      <w:r>
        <w:rPr>
          <w:rtl w:val="true"/>
        </w:rPr>
        <w:t xml:space="preserve">, </w:t>
      </w:r>
      <w:r>
        <w:rPr>
          <w:rtl w:val="true"/>
        </w:rPr>
        <w:t>ואשר לשיטתה דומים בנסיבותיהם למקרה דנן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לאחר שעיינתי בגזר הדין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ונתתי דעתי על טענות הצדדים מזה ומזה</w:t>
      </w:r>
      <w:r>
        <w:rPr>
          <w:rtl w:val="true"/>
        </w:rPr>
        <w:t xml:space="preserve">, </w:t>
      </w:r>
      <w:r>
        <w:rPr>
          <w:rtl w:val="true"/>
        </w:rPr>
        <w:t>אלו שבכתב ואלו שבעל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באתי לכלל מסקנה כי דין הערעורים להידחות</w:t>
      </w:r>
      <w:r>
        <w:rPr>
          <w:rtl w:val="true"/>
        </w:rPr>
        <w:t xml:space="preserve">. </w:t>
      </w:r>
      <w:r>
        <w:rPr>
          <w:rtl w:val="true"/>
        </w:rPr>
        <w:t>מושכלות יסוד הם</w:t>
      </w:r>
      <w:r>
        <w:rPr>
          <w:rtl w:val="true"/>
        </w:rPr>
        <w:t xml:space="preserve">, </w:t>
      </w:r>
      <w:r>
        <w:rPr>
          <w:rtl w:val="true"/>
        </w:rPr>
        <w:t>כי התערבותה של ערכאת הערעור בגזר דין</w:t>
      </w:r>
      <w:r>
        <w:rPr>
          <w:rtl w:val="true"/>
        </w:rPr>
        <w:t xml:space="preserve">, </w:t>
      </w:r>
      <w:r>
        <w:rPr>
          <w:rtl w:val="true"/>
        </w:rPr>
        <w:t>שמורה למצבים חריגים</w:t>
      </w:r>
      <w:r>
        <w:rPr>
          <w:rtl w:val="true"/>
        </w:rPr>
        <w:t xml:space="preserve">, </w:t>
      </w:r>
      <w:r>
        <w:rPr>
          <w:rtl w:val="true"/>
        </w:rPr>
        <w:t>שבהם נפלה טעות מהותית בהחלטת הערכאה הדיונית</w:t>
      </w:r>
      <w:r>
        <w:rPr>
          <w:rtl w:val="true"/>
        </w:rPr>
        <w:t xml:space="preserve">, </w:t>
      </w:r>
      <w:r>
        <w:rPr>
          <w:rtl w:val="true"/>
        </w:rPr>
        <w:t>או שהעונש שנגזר על</w:t>
      </w:r>
      <w:r>
        <w:rPr>
          <w:rtl w:val="true"/>
        </w:rPr>
        <w:t>-</w:t>
      </w:r>
      <w:r>
        <w:rPr>
          <w:rtl w:val="true"/>
        </w:rPr>
        <w:t xml:space="preserve">ידה חורג באופן קיצוני ממדיניות הענישה הנוהגת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1242/97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גרינברג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(</w:t>
      </w:r>
      <w:r>
        <w:rPr/>
        <w:t>3.2.1998</w:t>
      </w:r>
      <w:r>
        <w:rPr>
          <w:rtl w:val="true"/>
        </w:rPr>
        <w:t xml:space="preserve">); </w:t>
      </w:r>
      <w:hyperlink r:id="rId3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3091/08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טרייגר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(</w:t>
      </w:r>
      <w:r>
        <w:rPr/>
        <w:t>29.1.2009</w:t>
      </w:r>
      <w:r>
        <w:rPr>
          <w:rtl w:val="true"/>
        </w:rPr>
        <w:t xml:space="preserve">)). </w:t>
      </w:r>
      <w:r>
        <w:rPr>
          <w:rtl w:val="true"/>
        </w:rPr>
        <w:t>המקרה שלפנינו אינו בא בגדר אותם מצבים חריגים</w:t>
      </w:r>
      <w:r>
        <w:rPr>
          <w:rtl w:val="true"/>
        </w:rPr>
        <w:t xml:space="preserve">; </w:t>
      </w:r>
      <w:r>
        <w:rPr>
          <w:sz w:val="28"/>
          <w:sz w:val="28"/>
          <w:rtl w:val="true"/>
        </w:rPr>
        <w:t>גזר הדין מדוד ושקול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והוא ניתן לאחר שקילת כל השיקולים הצריכים לעניין החמור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הכואב והמעיק שעל הפרק</w:t>
      </w:r>
      <w:r>
        <w:rPr>
          <w:sz w:val="28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tl w:val="true"/>
        </w:rPr>
        <w:t>המערערים משיגים על מתחם הענישה שנקבע בעניינו של ג</w:t>
      </w:r>
      <w:r>
        <w:rPr>
          <w:rtl w:val="true"/>
        </w:rPr>
        <w:t>'</w:t>
      </w:r>
      <w:r>
        <w:rPr>
          <w:rtl w:val="true"/>
        </w:rPr>
        <w:t>האד</w:t>
      </w:r>
      <w:r>
        <w:rPr>
          <w:rtl w:val="true"/>
        </w:rPr>
        <w:t xml:space="preserve">, </w:t>
      </w:r>
      <w:r>
        <w:rPr>
          <w:rtl w:val="true"/>
        </w:rPr>
        <w:t xml:space="preserve">אך מן המפורסמות הן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שנפל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בקביעת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ממילא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התערבות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שנקבע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סטייה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קיצונית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הראויה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6479/18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קסטיאל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והאסמכתאות שם </w:t>
      </w:r>
      <w:r>
        <w:rPr>
          <w:rtl w:val="true"/>
        </w:rPr>
        <w:t>(</w:t>
      </w:r>
      <w:r>
        <w:rPr/>
        <w:t>23.6.2019</w:t>
      </w:r>
      <w:r>
        <w:rPr>
          <w:rtl w:val="true"/>
        </w:rPr>
        <w:t xml:space="preserve">)). </w:t>
      </w:r>
      <w:r>
        <w:rPr>
          <w:rtl w:val="true"/>
        </w:rPr>
        <w:t>למעלה מן הצורך</w:t>
      </w:r>
      <w:r>
        <w:rPr>
          <w:rtl w:val="true"/>
        </w:rPr>
        <w:t xml:space="preserve">, </w:t>
      </w:r>
      <w:r>
        <w:rPr>
          <w:rtl w:val="true"/>
        </w:rPr>
        <w:t>נראה כי גם לגוף הדברים</w:t>
      </w:r>
      <w:r>
        <w:rPr>
          <w:rtl w:val="true"/>
        </w:rPr>
        <w:t xml:space="preserve">, </w:t>
      </w:r>
      <w:r>
        <w:rPr>
          <w:rtl w:val="true"/>
        </w:rPr>
        <w:t>מתחם הענישה שנקבע בעניין דנן</w:t>
      </w:r>
      <w:r>
        <w:rPr>
          <w:rtl w:val="true"/>
        </w:rPr>
        <w:t xml:space="preserve">, </w:t>
      </w:r>
      <w:r>
        <w:rPr>
          <w:rtl w:val="true"/>
        </w:rPr>
        <w:t>הולם את מעשיו החמורים של ג</w:t>
      </w:r>
      <w:r>
        <w:rPr>
          <w:rtl w:val="true"/>
        </w:rPr>
        <w:t>'</w:t>
      </w:r>
      <w:r>
        <w:rPr>
          <w:rtl w:val="true"/>
        </w:rPr>
        <w:t>האד</w:t>
      </w:r>
      <w:r>
        <w:rPr>
          <w:rtl w:val="true"/>
        </w:rPr>
        <w:t xml:space="preserve">, </w:t>
      </w:r>
      <w:r>
        <w:rPr>
          <w:rtl w:val="true"/>
        </w:rPr>
        <w:t xml:space="preserve">ובהתאם גם העונש עולה בקנה אחד עם </w:t>
      </w:r>
      <w:r>
        <w:rPr>
          <w:sz w:val="28"/>
          <w:sz w:val="28"/>
          <w:rtl w:val="true"/>
        </w:rPr>
        <w:t>מדיניות הענישה הנהוגה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הרואה בחומרה רבה את התופעה המסוכנת של נהיגה תחת השפעת סמים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המאיימת על שלום הציבור ובטחונו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ודוק</w:t>
      </w:r>
      <w:r>
        <w:rPr>
          <w:sz w:val="28"/>
          <w:rtl w:val="true"/>
        </w:rPr>
        <w:t>:</w:t>
      </w:r>
      <w:r>
        <w:rPr>
          <w:rtl w:val="true"/>
        </w:rPr>
        <w:t xml:space="preserve"> </w:t>
      </w:r>
      <w:r>
        <w:rPr>
          <w:sz w:val="28"/>
          <w:sz w:val="28"/>
          <w:rtl w:val="true"/>
        </w:rPr>
        <w:t>מי שבוחר לאחוז בהגה במצב של שכרות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בין אם תחת השפעת סמים מסוכנים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בין אם תחת השפעת אלכוהול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מוחזק כמי שמכַוֵּן נשק טעון ודרוך כלפי עוברי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אורח תמימים שנקרו בדרכו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הפגיעה במשתמשי הדרך במצב דברים 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איננה שאלה של 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אם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 xml:space="preserve">אלא 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מתי</w:t>
      </w:r>
      <w:r>
        <w:rPr>
          <w:sz w:val="28"/>
          <w:rtl w:val="true"/>
        </w:rPr>
        <w:t>'.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tl w:val="true"/>
        </w:rPr>
        <w:t>נזכיר את תכליות הענישה בעבירות כגון דא</w:t>
      </w:r>
      <w:r>
        <w:rPr>
          <w:rtl w:val="true"/>
        </w:rPr>
        <w:t xml:space="preserve">, </w:t>
      </w:r>
      <w:r>
        <w:rPr>
          <w:rtl w:val="true"/>
        </w:rPr>
        <w:t>כפי שתוארו על</w:t>
      </w:r>
      <w:r>
        <w:rPr>
          <w:rtl w:val="true"/>
        </w:rPr>
        <w:t>-</w:t>
      </w:r>
      <w:r>
        <w:rPr>
          <w:rtl w:val="true"/>
        </w:rPr>
        <w:t xml:space="preserve">ידי חברי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8191/08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גבארה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(</w:t>
      </w:r>
      <w:r>
        <w:rPr/>
        <w:t>24.5.2014</w:t>
      </w:r>
      <w:r>
        <w:rPr>
          <w:rtl w:val="true"/>
        </w:rPr>
        <w:t xml:space="preserve">):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נקמנות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לרצות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העומדים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לנגד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עיניו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בבואו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לגזור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עבריין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השאיפה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להגשים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התכליות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הניצבות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בבסיסו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הפלילי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בכללן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תכליות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ההרתעה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והגמול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תרומתו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ולשאת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במלאכת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המאבק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הנחוש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בתאונות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הדרכים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וזאת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באמצעות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קדושת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בעבירות של נהיגה בשכרות </w:t>
      </w:r>
      <w:r>
        <w:rPr>
          <w:rtl w:val="true"/>
        </w:rPr>
        <w:t>(</w:t>
      </w:r>
      <w:r>
        <w:rPr>
          <w:rtl w:val="true"/>
        </w:rPr>
        <w:t>בין אם תחת השפעת אלכוהול</w:t>
      </w:r>
      <w:r>
        <w:rPr>
          <w:rtl w:val="true"/>
        </w:rPr>
        <w:t xml:space="preserve">, </w:t>
      </w:r>
      <w:r>
        <w:rPr>
          <w:rtl w:val="true"/>
        </w:rPr>
        <w:t>בין אם תחת השפעת סם מסוכן</w:t>
      </w:r>
      <w:r>
        <w:rPr>
          <w:rtl w:val="true"/>
        </w:rPr>
        <w:t xml:space="preserve">), </w:t>
      </w:r>
      <w:r>
        <w:rPr>
          <w:rtl w:val="true"/>
        </w:rPr>
        <w:t>שהביאו לתוצאה קטלנית</w:t>
      </w:r>
      <w:r>
        <w:rPr>
          <w:rtl w:val="true"/>
        </w:rPr>
        <w:t xml:space="preserve">, </w:t>
      </w:r>
      <w:r>
        <w:rPr>
          <w:rtl w:val="true"/>
        </w:rPr>
        <w:t>קיים מנעד רחב של עונשים</w:t>
      </w:r>
      <w:r>
        <w:rPr>
          <w:rtl w:val="true"/>
        </w:rPr>
        <w:t xml:space="preserve">, </w:t>
      </w:r>
      <w:r>
        <w:rPr>
          <w:rtl w:val="true"/>
        </w:rPr>
        <w:t>אשר  נגזרים מנסיבות העבירה</w:t>
      </w:r>
      <w:r>
        <w:rPr>
          <w:rtl w:val="true"/>
        </w:rPr>
        <w:t xml:space="preserve">, </w:t>
      </w:r>
      <w:r>
        <w:rPr>
          <w:rtl w:val="true"/>
        </w:rPr>
        <w:t>תוצאות התאונה</w:t>
      </w:r>
      <w:r>
        <w:rPr>
          <w:rtl w:val="true"/>
        </w:rPr>
        <w:t xml:space="preserve">, </w:t>
      </w:r>
      <w:r>
        <w:rPr>
          <w:rtl w:val="true"/>
        </w:rPr>
        <w:t>ונסיבותיו האישיות של הנאשם</w:t>
      </w:r>
      <w:r>
        <w:rPr>
          <w:rtl w:val="true"/>
        </w:rPr>
        <w:t xml:space="preserve">. </w:t>
      </w:r>
      <w:r>
        <w:rPr>
          <w:rtl w:val="true"/>
        </w:rPr>
        <w:t>לדוגמה – ב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6568/16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8.1.2019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אסעד</w:t>
      </w:r>
      <w:r>
        <w:rPr>
          <w:rtl w:val="true"/>
        </w:rPr>
        <w:t xml:space="preserve">), </w:t>
      </w:r>
      <w:r>
        <w:rPr>
          <w:rtl w:val="true"/>
        </w:rPr>
        <w:t>הנזכר בערעורו של ג</w:t>
      </w:r>
      <w:r>
        <w:rPr>
          <w:rtl w:val="true"/>
        </w:rPr>
        <w:t>'</w:t>
      </w:r>
      <w:r>
        <w:rPr>
          <w:rtl w:val="true"/>
        </w:rPr>
        <w:t>האד</w:t>
      </w:r>
      <w:r>
        <w:rPr>
          <w:rtl w:val="true"/>
        </w:rPr>
        <w:t xml:space="preserve">, </w:t>
      </w:r>
      <w:r>
        <w:rPr>
          <w:rtl w:val="true"/>
        </w:rPr>
        <w:t>דחה בית משפט זה ערעור על חומרת גזר הדין של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אשר השית על 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; </w:t>
      </w:r>
      <w:r>
        <w:rPr>
          <w:rtl w:val="true"/>
        </w:rPr>
        <w:t>מאסר על תנאי</w:t>
      </w:r>
      <w:r>
        <w:rPr>
          <w:rtl w:val="true"/>
        </w:rPr>
        <w:t xml:space="preserve">; </w:t>
      </w:r>
      <w:r>
        <w:rPr>
          <w:rtl w:val="true"/>
        </w:rPr>
        <w:t>פסילת רישיון</w:t>
      </w:r>
      <w:r>
        <w:rPr>
          <w:rtl w:val="true"/>
        </w:rPr>
        <w:t xml:space="preserve">; </w:t>
      </w:r>
      <w:r>
        <w:rPr>
          <w:rtl w:val="true"/>
        </w:rPr>
        <w:t>וחייב בתשלום פיצויים בגין הריגה תוך כדי נהיגה בשכרות</w:t>
      </w:r>
      <w:r>
        <w:rPr>
          <w:rtl w:val="true"/>
        </w:rPr>
        <w:t xml:space="preserve">. </w:t>
      </w:r>
      <w:r>
        <w:rPr>
          <w:rtl w:val="true"/>
        </w:rPr>
        <w:t>באותו עניין</w:t>
      </w:r>
      <w:r>
        <w:rPr>
          <w:rtl w:val="true"/>
        </w:rPr>
        <w:t xml:space="preserve">, </w:t>
      </w:r>
      <w:r>
        <w:rPr>
          <w:rtl w:val="true"/>
        </w:rPr>
        <w:t>הביא הנאשם למותה של אישה</w:t>
      </w:r>
      <w:r>
        <w:rPr>
          <w:rtl w:val="true"/>
        </w:rPr>
        <w:t xml:space="preserve">, </w:t>
      </w:r>
      <w:r>
        <w:rPr>
          <w:rtl w:val="true"/>
        </w:rPr>
        <w:t>ולפגיעה בגופו של אדם נוסף</w:t>
      </w:r>
      <w:r>
        <w:rPr>
          <w:rtl w:val="true"/>
        </w:rPr>
        <w:t xml:space="preserve">. </w:t>
      </w:r>
      <w:r>
        <w:rPr>
          <w:rtl w:val="true"/>
        </w:rPr>
        <w:t>בעת דחיית הערעור</w:t>
      </w:r>
      <w:r>
        <w:rPr>
          <w:rtl w:val="true"/>
        </w:rPr>
        <w:t xml:space="preserve">, </w:t>
      </w:r>
      <w:r>
        <w:rPr>
          <w:rtl w:val="true"/>
        </w:rPr>
        <w:t>הבהיר בית משפט זה</w:t>
      </w:r>
      <w:r>
        <w:rPr>
          <w:rtl w:val="true"/>
        </w:rPr>
        <w:t xml:space="preserve">, </w:t>
      </w:r>
      <w:r>
        <w:rPr>
          <w:rtl w:val="true"/>
        </w:rPr>
        <w:t>כי דומה שהענישה באותו עניין היתה מקֵלה יתר על המידה</w:t>
      </w:r>
      <w:r>
        <w:rPr>
          <w:rtl w:val="true"/>
        </w:rPr>
        <w:t xml:space="preserve">, </w:t>
      </w:r>
      <w:r>
        <w:rPr>
          <w:rtl w:val="true"/>
        </w:rPr>
        <w:t xml:space="preserve">שכן ניתן בה משקל יתר </w:t>
      </w:r>
      <w:r>
        <w:rPr>
          <w:rtl w:val="true"/>
        </w:rPr>
        <w:t>(</w:t>
      </w:r>
      <w:r>
        <w:rPr>
          <w:rtl w:val="true"/>
        </w:rPr>
        <w:t>ספק אם מוצדק</w:t>
      </w:r>
      <w:r>
        <w:rPr>
          <w:rtl w:val="true"/>
        </w:rPr>
        <w:t xml:space="preserve">, </w:t>
      </w:r>
      <w:r>
        <w:rPr>
          <w:rtl w:val="true"/>
        </w:rPr>
        <w:t>כדברי בית המשפט</w:t>
      </w:r>
      <w:r>
        <w:rPr>
          <w:rtl w:val="true"/>
        </w:rPr>
        <w:t xml:space="preserve">) </w:t>
      </w:r>
      <w:r>
        <w:rPr>
          <w:rtl w:val="true"/>
        </w:rPr>
        <w:t>לנסיבותיו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בתוך מכלול השיקולים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אסעד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).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גישה מחמירה יותר כלפי עבירות של נהיגה בשכרות או תחת השפעה של סם מסוכן</w:t>
      </w:r>
      <w:r>
        <w:rPr>
          <w:rtl w:val="true"/>
        </w:rPr>
        <w:t xml:space="preserve">, </w:t>
      </w:r>
      <w:r>
        <w:rPr>
          <w:rtl w:val="true"/>
        </w:rPr>
        <w:t>והמתה של אדם</w:t>
      </w:r>
      <w:r>
        <w:rPr>
          <w:rtl w:val="true"/>
        </w:rPr>
        <w:t xml:space="preserve">, </w:t>
      </w:r>
      <w:r>
        <w:rPr>
          <w:rtl w:val="true"/>
        </w:rPr>
        <w:t>ננקטה ב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4498/14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גרידיש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13.5.2015</w:t>
      </w:r>
      <w:r>
        <w:rPr>
          <w:rtl w:val="true"/>
        </w:rPr>
        <w:t xml:space="preserve">). </w:t>
      </w:r>
      <w:r>
        <w:rPr>
          <w:rtl w:val="true"/>
        </w:rPr>
        <w:t>בית משפט זה דחה ערעור על גזר הדין של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אשר השית על הנאשם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</w:t>
      </w:r>
      <w:r>
        <w:rPr>
          <w:rtl w:val="true"/>
        </w:rPr>
        <w:t xml:space="preserve">, </w:t>
      </w:r>
      <w:r>
        <w:rPr>
          <w:rtl w:val="true"/>
        </w:rPr>
        <w:t>פסילת רישיון נהיגה</w:t>
      </w:r>
      <w:r>
        <w:rPr>
          <w:rtl w:val="true"/>
        </w:rPr>
        <w:t xml:space="preserve">, </w:t>
      </w:r>
      <w:r>
        <w:rPr>
          <w:rtl w:val="true"/>
        </w:rPr>
        <w:t>ותשלום פיצויים בגין עבירה של הריגה אגב נהיגה בשכרות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 שהנאשם הביא למותם של שני אנשים</w:t>
      </w:r>
      <w:r>
        <w:rPr>
          <w:rtl w:val="true"/>
        </w:rPr>
        <w:t xml:space="preserve">, </w:t>
      </w:r>
      <w:r>
        <w:rPr>
          <w:rtl w:val="true"/>
        </w:rPr>
        <w:t>ולפגיעה בגופם של שניים נוספים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4107/16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22.2.2017</w:t>
      </w:r>
      <w:r>
        <w:rPr>
          <w:rtl w:val="true"/>
        </w:rPr>
        <w:t xml:space="preserve">) </w:t>
      </w:r>
      <w:r>
        <w:rPr>
          <w:rtl w:val="true"/>
        </w:rPr>
        <w:t>בית משפט זה דחה ערעור על גזר הדין של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אשר השית על הנאשם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</w:t>
      </w:r>
      <w:r>
        <w:rPr>
          <w:rtl w:val="true"/>
        </w:rPr>
        <w:t xml:space="preserve">, </w:t>
      </w:r>
      <w:r>
        <w:rPr>
          <w:rtl w:val="true"/>
        </w:rPr>
        <w:t>פסילת רישיון נהיגה</w:t>
      </w:r>
      <w:r>
        <w:rPr>
          <w:rtl w:val="true"/>
        </w:rPr>
        <w:t xml:space="preserve">, </w:t>
      </w:r>
      <w:r>
        <w:rPr>
          <w:rtl w:val="true"/>
        </w:rPr>
        <w:t>וחייב בתשלום פיצויים בגין עבירה של הריגה אגב נהיגה בשכרות</w:t>
      </w:r>
      <w:r>
        <w:rPr>
          <w:rtl w:val="true"/>
        </w:rPr>
        <w:t xml:space="preserve">. </w:t>
      </w:r>
      <w:r>
        <w:rPr>
          <w:rtl w:val="true"/>
        </w:rPr>
        <w:t>גם שם</w:t>
      </w:r>
      <w:r>
        <w:rPr>
          <w:rtl w:val="true"/>
        </w:rPr>
        <w:t xml:space="preserve">, </w:t>
      </w:r>
      <w:r>
        <w:rPr>
          <w:rtl w:val="true"/>
        </w:rPr>
        <w:t>הנאשם הביא למותן של שתי נשים</w:t>
      </w:r>
      <w:r>
        <w:rPr>
          <w:rtl w:val="true"/>
        </w:rPr>
        <w:t xml:space="preserve">; </w:t>
      </w:r>
      <w:r>
        <w:rPr>
          <w:rtl w:val="true"/>
        </w:rPr>
        <w:t>אציין כי ניתן למצוא קווי דמיון בין שני המקרים האמורים לבין העניין דנן</w:t>
      </w:r>
      <w:r>
        <w:rPr>
          <w:rtl w:val="true"/>
        </w:rPr>
        <w:t xml:space="preserve">. </w:t>
      </w:r>
      <w:r>
        <w:rPr>
          <w:rtl w:val="true"/>
        </w:rPr>
        <w:t>באלה כאלה</w:t>
      </w:r>
      <w:r>
        <w:rPr>
          <w:rtl w:val="true"/>
        </w:rPr>
        <w:t xml:space="preserve">, </w:t>
      </w:r>
      <w:r>
        <w:rPr>
          <w:rtl w:val="true"/>
        </w:rPr>
        <w:t>נהגו הנאשמים במצב של שכרות – במקרה הראשון</w:t>
      </w:r>
      <w:r>
        <w:rPr>
          <w:rtl w:val="true"/>
        </w:rPr>
        <w:t xml:space="preserve">, </w:t>
      </w:r>
      <w:r>
        <w:rPr>
          <w:rtl w:val="true"/>
        </w:rPr>
        <w:t>תחת השפעת אלכוהול ובמקרה השני</w:t>
      </w:r>
      <w:r>
        <w:rPr>
          <w:rtl w:val="true"/>
        </w:rPr>
        <w:t xml:space="preserve">, </w:t>
      </w:r>
      <w:r>
        <w:rPr>
          <w:rtl w:val="true"/>
        </w:rPr>
        <w:t>תחת השפעת סם מסוכן</w:t>
      </w:r>
      <w:r>
        <w:rPr>
          <w:rtl w:val="true"/>
        </w:rPr>
        <w:t xml:space="preserve">, </w:t>
      </w:r>
      <w:r>
        <w:rPr>
          <w:rtl w:val="true"/>
        </w:rPr>
        <w:t xml:space="preserve">והביאו בכך למותם של שני עוברי אורח שנקרו בדרכם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ל</w:t>
      </w:r>
      <w:hyperlink r:id="rId3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שם נקבע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שיכור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 xml:space="preserve">הוא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ששותה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נהיגה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הרכב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 xml:space="preserve">וכן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שבגופו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תוצרי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חילוף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חומרים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מסוכן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12.1.2011</w:t>
      </w:r>
      <w:r>
        <w:rPr>
          <w:rtl w:val="true"/>
        </w:rPr>
        <w:t xml:space="preserve">) </w:t>
      </w:r>
      <w:r>
        <w:rPr>
          <w:rtl w:val="true"/>
        </w:rPr>
        <w:t>הורשע הנאשם בעבירה של הריגה תוך כדי נהיגה בשכרות</w:t>
      </w:r>
      <w:r>
        <w:rPr>
          <w:rtl w:val="true"/>
        </w:rPr>
        <w:t xml:space="preserve">, </w:t>
      </w:r>
      <w:r>
        <w:rPr>
          <w:rtl w:val="true"/>
        </w:rPr>
        <w:t>וכן בהפקרה לאחר פגיעה</w:t>
      </w:r>
      <w:r>
        <w:rPr>
          <w:rtl w:val="true"/>
        </w:rPr>
        <w:t xml:space="preserve">. </w:t>
      </w:r>
      <w:r>
        <w:rPr>
          <w:rtl w:val="true"/>
        </w:rPr>
        <w:t>באותו מקרה</w:t>
      </w:r>
      <w:r>
        <w:rPr>
          <w:rtl w:val="true"/>
        </w:rPr>
        <w:t xml:space="preserve">, </w:t>
      </w:r>
      <w:r>
        <w:rPr>
          <w:rtl w:val="true"/>
        </w:rPr>
        <w:t>הביא הנאשם למותה של אישה אחת</w:t>
      </w:r>
      <w:r>
        <w:rPr>
          <w:rtl w:val="true"/>
        </w:rPr>
        <w:t xml:space="preserve">, </w:t>
      </w:r>
      <w:r>
        <w:rPr>
          <w:rtl w:val="true"/>
        </w:rPr>
        <w:t>לפגיעה בגופה של אישה נוספת</w:t>
      </w:r>
      <w:r>
        <w:rPr>
          <w:rtl w:val="true"/>
        </w:rPr>
        <w:t xml:space="preserve">, </w:t>
      </w:r>
      <w:r>
        <w:rPr>
          <w:rtl w:val="true"/>
        </w:rPr>
        <w:t>ולאחר מכן הפקיר את השתיים לאנחתן</w:t>
      </w:r>
      <w:r>
        <w:rPr>
          <w:rtl w:val="true"/>
        </w:rPr>
        <w:t xml:space="preserve">. </w:t>
      </w:r>
      <w:r>
        <w:rPr>
          <w:rtl w:val="true"/>
        </w:rPr>
        <w:t>בית המשפט קיבל את הערעור של הנאשם על חומרת גזר הדין</w:t>
      </w:r>
      <w:r>
        <w:rPr>
          <w:rtl w:val="true"/>
        </w:rPr>
        <w:t xml:space="preserve">, </w:t>
      </w:r>
      <w:r>
        <w:rPr>
          <w:rtl w:val="true"/>
        </w:rPr>
        <w:t>והמיר את עונש המאסר מ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בפועל 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וכמו כן המיר את עונש פסילת הרישיון לצמיתות לפסילת רישיון נהיגה לתקופה של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6193/20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זכאי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25.3.2021</w:t>
      </w:r>
      <w:r>
        <w:rPr>
          <w:rtl w:val="true"/>
        </w:rPr>
        <w:t xml:space="preserve">) </w:t>
      </w:r>
      <w:r>
        <w:rPr>
          <w:rtl w:val="true"/>
        </w:rPr>
        <w:t>דחה בית המשפט ערעור על גזר הדין של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אשר השית על הנאשם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; </w:t>
      </w:r>
      <w:r>
        <w:rPr>
          <w:rtl w:val="true"/>
        </w:rPr>
        <w:t>מאסרים על תנאי</w:t>
      </w:r>
      <w:r>
        <w:rPr>
          <w:rtl w:val="true"/>
        </w:rPr>
        <w:t xml:space="preserve">; </w:t>
      </w:r>
      <w:r>
        <w:rPr>
          <w:rtl w:val="true"/>
        </w:rPr>
        <w:t>פסילת רישיון</w:t>
      </w:r>
      <w:r>
        <w:rPr>
          <w:rtl w:val="true"/>
        </w:rPr>
        <w:t xml:space="preserve">; </w:t>
      </w:r>
      <w:r>
        <w:rPr>
          <w:rtl w:val="true"/>
        </w:rPr>
        <w:t>וכן קנס וחיוב בתשלום פיצויים</w:t>
      </w:r>
      <w:r>
        <w:rPr>
          <w:rtl w:val="true"/>
        </w:rPr>
        <w:t xml:space="preserve">. </w:t>
      </w:r>
      <w:r>
        <w:rPr>
          <w:rtl w:val="true"/>
        </w:rPr>
        <w:t>במקרה זה</w:t>
      </w:r>
      <w:r>
        <w:rPr>
          <w:rtl w:val="true"/>
        </w:rPr>
        <w:t xml:space="preserve">, </w:t>
      </w:r>
      <w:r>
        <w:rPr>
          <w:rtl w:val="true"/>
        </w:rPr>
        <w:t>הביא הנאשם למותו של ילד אחד</w:t>
      </w:r>
      <w:r>
        <w:rPr>
          <w:rtl w:val="true"/>
        </w:rPr>
        <w:t xml:space="preserve">, </w:t>
      </w:r>
      <w:r>
        <w:rPr>
          <w:rtl w:val="true"/>
        </w:rPr>
        <w:t>ולפציעתו הקשה של חברו</w:t>
      </w:r>
      <w:r>
        <w:rPr>
          <w:rtl w:val="true"/>
        </w:rPr>
        <w:t xml:space="preserve">, </w:t>
      </w:r>
      <w:r>
        <w:rPr>
          <w:rtl w:val="true"/>
        </w:rPr>
        <w:t>ולאחר מכן נקט פעולות שונות</w:t>
      </w:r>
      <w:r>
        <w:rPr>
          <w:rtl w:val="true"/>
        </w:rPr>
        <w:t xml:space="preserve">, </w:t>
      </w:r>
      <w:r>
        <w:rPr>
          <w:rtl w:val="true"/>
        </w:rPr>
        <w:t>בניסיון להסוות את שכרותו</w:t>
      </w:r>
      <w:r>
        <w:rPr>
          <w:rtl w:val="true"/>
        </w:rPr>
        <w:t xml:space="preserve">, </w:t>
      </w:r>
      <w:r>
        <w:rPr>
          <w:rtl w:val="true"/>
        </w:rPr>
        <w:t>כדי לחמוק מאחריות לפגיעה בילדים</w:t>
      </w:r>
      <w:r>
        <w:rPr>
          <w:rtl w:val="true"/>
        </w:rPr>
        <w:t xml:space="preserve">. </w:t>
      </w:r>
      <w:r>
        <w:rPr>
          <w:rtl w:val="true"/>
        </w:rPr>
        <w:t>עינינו הרואות</w:t>
      </w:r>
      <w:r>
        <w:rPr>
          <w:rtl w:val="true"/>
        </w:rPr>
        <w:t xml:space="preserve">, </w:t>
      </w:r>
      <w:r>
        <w:rPr>
          <w:rtl w:val="true"/>
        </w:rPr>
        <w:t>כי במקרים האמורים</w:t>
      </w:r>
      <w:r>
        <w:rPr>
          <w:rtl w:val="true"/>
        </w:rPr>
        <w:t xml:space="preserve">, </w:t>
      </w:r>
      <w:r>
        <w:rPr>
          <w:rtl w:val="true"/>
        </w:rPr>
        <w:t>הוטלו עונשים חמורים ומכבידים</w:t>
      </w:r>
      <w:r>
        <w:rPr>
          <w:rtl w:val="true"/>
        </w:rPr>
        <w:t xml:space="preserve">, </w:t>
      </w:r>
      <w:r>
        <w:rPr>
          <w:rtl w:val="true"/>
        </w:rPr>
        <w:t>נוכח התוצאות הקשות שנגרמו כתוצאה ממעשיהם של הנאשמים</w:t>
      </w:r>
      <w:r>
        <w:rPr>
          <w:rtl w:val="true"/>
        </w:rPr>
        <w:t xml:space="preserve">, </w:t>
      </w:r>
      <w:r>
        <w:rPr>
          <w:rtl w:val="true"/>
        </w:rPr>
        <w:t>ובשים לב להתנהגותם הפסולה</w:t>
      </w:r>
      <w:r>
        <w:rPr>
          <w:rtl w:val="true"/>
        </w:rPr>
        <w:t xml:space="preserve">, </w:t>
      </w:r>
      <w:r>
        <w:rPr>
          <w:rtl w:val="true"/>
        </w:rPr>
        <w:t>שנמשכה גם לאחר מעשה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למרבה הצער</w:t>
      </w:r>
      <w:r>
        <w:rPr>
          <w:rtl w:val="true"/>
        </w:rPr>
        <w:t xml:space="preserve">, </w:t>
      </w:r>
      <w:r>
        <w:rPr>
          <w:rtl w:val="true"/>
        </w:rPr>
        <w:t>ישנם מקרים רבים נוספים</w:t>
      </w:r>
      <w:r>
        <w:rPr>
          <w:rtl w:val="true"/>
        </w:rPr>
        <w:t xml:space="preserve">, </w:t>
      </w:r>
      <w:r>
        <w:rPr>
          <w:rtl w:val="true"/>
        </w:rPr>
        <w:t>של תאונות דרכים קטלניות</w:t>
      </w:r>
      <w:r>
        <w:rPr>
          <w:rtl w:val="true"/>
        </w:rPr>
        <w:t xml:space="preserve">, </w:t>
      </w:r>
      <w:r>
        <w:rPr>
          <w:rtl w:val="true"/>
        </w:rPr>
        <w:t>אשר תוצאותיהן רעות וקשות מנשוא</w:t>
      </w:r>
      <w:r>
        <w:rPr>
          <w:rtl w:val="true"/>
        </w:rPr>
        <w:t xml:space="preserve">. </w:t>
      </w:r>
      <w:r>
        <w:rPr>
          <w:rtl w:val="true"/>
        </w:rPr>
        <w:t>מן הפסיקה הענפה בנושא אנו למדים</w:t>
      </w:r>
      <w:r>
        <w:rPr>
          <w:rtl w:val="true"/>
        </w:rPr>
        <w:t xml:space="preserve">, </w:t>
      </w:r>
      <w:r>
        <w:rPr>
          <w:rtl w:val="true"/>
        </w:rPr>
        <w:t>כי קיים מנעד רחב של עונשים על עבירת הריגה בתאונת דרכים תחת השפעת אלכוהול או סם מסוכן</w:t>
      </w:r>
      <w:r>
        <w:rPr>
          <w:rtl w:val="true"/>
        </w:rPr>
        <w:t xml:space="preserve">, </w:t>
      </w:r>
      <w:r>
        <w:rPr>
          <w:rtl w:val="true"/>
        </w:rPr>
        <w:t>פעמים בנסיבות חמורות ובצירוף עבירות חמורות נוספות</w:t>
      </w:r>
      <w:r>
        <w:rPr>
          <w:rtl w:val="true"/>
        </w:rPr>
        <w:t xml:space="preserve">, </w:t>
      </w:r>
      <w:r>
        <w:rPr>
          <w:rtl w:val="true"/>
        </w:rPr>
        <w:t>פעמים בצירוף נסיבות מקֵלות</w:t>
      </w:r>
      <w:r>
        <w:rPr>
          <w:rtl w:val="true"/>
        </w:rPr>
        <w:t xml:space="preserve">. </w:t>
      </w:r>
      <w:r>
        <w:rPr>
          <w:rtl w:val="true"/>
        </w:rPr>
        <w:t>על כל פנים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העונש שהושת על ג</w:t>
      </w:r>
      <w:r>
        <w:rPr>
          <w:rtl w:val="true"/>
        </w:rPr>
        <w:t>'</w:t>
      </w:r>
      <w:r>
        <w:rPr>
          <w:rtl w:val="true"/>
        </w:rPr>
        <w:t>האד</w:t>
      </w:r>
      <w:r>
        <w:rPr>
          <w:rtl w:val="true"/>
        </w:rPr>
        <w:t xml:space="preserve">, </w:t>
      </w:r>
      <w:r>
        <w:rPr>
          <w:rtl w:val="true"/>
        </w:rPr>
        <w:t>על כל רכיביו</w:t>
      </w:r>
      <w:r>
        <w:rPr>
          <w:rtl w:val="true"/>
        </w:rPr>
        <w:t xml:space="preserve">, </w:t>
      </w:r>
      <w:r>
        <w:rPr>
          <w:rtl w:val="true"/>
        </w:rPr>
        <w:t>הריהו עונש שקול ומאוזן</w:t>
      </w:r>
      <w:r>
        <w:rPr>
          <w:rtl w:val="true"/>
        </w:rPr>
        <w:t xml:space="preserve">, </w:t>
      </w:r>
      <w:r>
        <w:rPr>
          <w:rtl w:val="true"/>
        </w:rPr>
        <w:t>אשר מביא בגדרו את מכלול השיקולים הדרושים</w:t>
      </w:r>
      <w:r>
        <w:rPr>
          <w:rtl w:val="true"/>
        </w:rPr>
        <w:t xml:space="preserve">; </w:t>
      </w:r>
      <w:r>
        <w:rPr>
          <w:rtl w:val="true"/>
        </w:rPr>
        <w:t>את חומרת המעשים ופגיעתם בקורבנות ובני משפחותיהם</w:t>
      </w:r>
      <w:r>
        <w:rPr>
          <w:rtl w:val="true"/>
        </w:rPr>
        <w:t xml:space="preserve">, </w:t>
      </w:r>
      <w:r>
        <w:rPr>
          <w:rtl w:val="true"/>
        </w:rPr>
        <w:t>מחד גיסא</w:t>
      </w:r>
      <w:r>
        <w:rPr>
          <w:rtl w:val="true"/>
        </w:rPr>
        <w:t xml:space="preserve">; </w:t>
      </w:r>
      <w:r>
        <w:rPr>
          <w:rtl w:val="true"/>
        </w:rPr>
        <w:t>ואת נסיבותיו האישיות של ג</w:t>
      </w:r>
      <w:r>
        <w:rPr>
          <w:rtl w:val="true"/>
        </w:rPr>
        <w:t>'</w:t>
      </w:r>
      <w:r>
        <w:rPr>
          <w:rtl w:val="true"/>
        </w:rPr>
        <w:t>האד</w:t>
      </w:r>
      <w:r>
        <w:rPr>
          <w:rtl w:val="true"/>
        </w:rPr>
        <w:t xml:space="preserve">, </w:t>
      </w:r>
      <w:r>
        <w:rPr>
          <w:rtl w:val="true"/>
        </w:rPr>
        <w:t>מאידך גיסא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אשר לטענת המדינה</w:t>
      </w:r>
      <w:r>
        <w:rPr>
          <w:rtl w:val="true"/>
        </w:rPr>
        <w:t xml:space="preserve">, </w:t>
      </w:r>
      <w:r>
        <w:rPr>
          <w:rtl w:val="true"/>
        </w:rPr>
        <w:t>לגבי ניכוי פרק הזמן שבו שהה ג</w:t>
      </w:r>
      <w:r>
        <w:rPr>
          <w:rtl w:val="true"/>
        </w:rPr>
        <w:t>'</w:t>
      </w:r>
      <w:r>
        <w:rPr>
          <w:rtl w:val="true"/>
        </w:rPr>
        <w:t>האד בלבנון</w:t>
      </w:r>
      <w:r>
        <w:rPr>
          <w:rtl w:val="true"/>
        </w:rPr>
        <w:t xml:space="preserve">, </w:t>
      </w:r>
      <w:r>
        <w:rPr>
          <w:rtl w:val="true"/>
        </w:rPr>
        <w:t>מתוך תקופת פסילת רישיון הנהיגה – הרי שמבלי לקבוע מסמרות בדבר</w:t>
      </w:r>
      <w:r>
        <w:rPr>
          <w:rtl w:val="true"/>
        </w:rPr>
        <w:t xml:space="preserve">, </w:t>
      </w:r>
      <w:r>
        <w:rPr>
          <w:rtl w:val="true"/>
        </w:rPr>
        <w:t>יכול שהיה מקום למנות את תקופת פסילת הרישיון מבלעדי ניכוי זה</w:t>
      </w:r>
      <w:r>
        <w:rPr>
          <w:rtl w:val="true"/>
        </w:rPr>
        <w:t xml:space="preserve">;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בשים לב להלכה הנוהגת</w:t>
      </w:r>
      <w:r>
        <w:rPr>
          <w:rtl w:val="true"/>
        </w:rPr>
        <w:t xml:space="preserve">, </w:t>
      </w:r>
      <w:r>
        <w:rPr>
          <w:rtl w:val="true"/>
        </w:rPr>
        <w:t>שעליה עמדתי לעיל</w:t>
      </w:r>
      <w:r>
        <w:rPr>
          <w:rtl w:val="true"/>
        </w:rPr>
        <w:t xml:space="preserve">, </w:t>
      </w:r>
      <w:r>
        <w:rPr>
          <w:rtl w:val="true"/>
        </w:rPr>
        <w:t>בדבר אי</w:t>
      </w:r>
      <w:r>
        <w:rPr>
          <w:rtl w:val="true"/>
        </w:rPr>
        <w:t>-</w:t>
      </w:r>
      <w:r>
        <w:rPr>
          <w:rtl w:val="true"/>
        </w:rPr>
        <w:t>התערבות ערכאת הערעור בגזר הדין של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במצבים חריגים</w:t>
      </w:r>
      <w:r>
        <w:rPr>
          <w:rtl w:val="true"/>
        </w:rPr>
        <w:t xml:space="preserve">, </w:t>
      </w:r>
      <w:r>
        <w:rPr>
          <w:rtl w:val="true"/>
        </w:rPr>
        <w:t xml:space="preserve">ומשלא מצאתי כי נפלה שגיאה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מהותית</w:t>
      </w:r>
      <w:r>
        <w:rPr>
          <w:rtl w:val="true"/>
        </w:rPr>
        <w:t xml:space="preserve"> בקביעת הערכאה הדיונית</w:t>
      </w:r>
      <w:r>
        <w:rPr>
          <w:rtl w:val="true"/>
        </w:rPr>
        <w:t xml:space="preserve">, </w:t>
      </w:r>
      <w:r>
        <w:rPr>
          <w:rtl w:val="true"/>
        </w:rPr>
        <w:t>דין הערעור בעניין זה – להידחות אף הוא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טרם סיום אוסיף</w:t>
      </w:r>
      <w:r>
        <w:rPr>
          <w:rtl w:val="true"/>
        </w:rPr>
        <w:t xml:space="preserve">, </w:t>
      </w:r>
      <w:r>
        <w:rPr>
          <w:rtl w:val="true"/>
        </w:rPr>
        <w:t>כי לא נעלם מעינַי מצבו האישי של ג</w:t>
      </w:r>
      <w:r>
        <w:rPr>
          <w:rtl w:val="true"/>
        </w:rPr>
        <w:t>'</w:t>
      </w:r>
      <w:r>
        <w:rPr>
          <w:rtl w:val="true"/>
        </w:rPr>
        <w:t>האד</w:t>
      </w:r>
      <w:r>
        <w:rPr>
          <w:rtl w:val="true"/>
        </w:rPr>
        <w:t>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אמת נכון הדבר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העונש שהוטל עליו אינו קל</w:t>
      </w:r>
      <w:r>
        <w:rPr>
          <w:sz w:val="28"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נסיבות החיים המורכבות שנפרשו לפנינו</w:t>
      </w:r>
      <w:r>
        <w:rPr>
          <w:rtl w:val="true"/>
        </w:rPr>
        <w:t xml:space="preserve">, </w:t>
      </w:r>
      <w:r>
        <w:rPr>
          <w:rtl w:val="true"/>
        </w:rPr>
        <w:t>וקשיי הקליטה וההתאקלמות שחווה</w:t>
      </w:r>
      <w:r>
        <w:rPr>
          <w:rtl w:val="true"/>
        </w:rPr>
        <w:t xml:space="preserve">, </w:t>
      </w:r>
      <w:r>
        <w:rPr>
          <w:rtl w:val="true"/>
        </w:rPr>
        <w:t>יש בהם כדי להצדיק מידה מסוימת של התחשבות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ולצד האמור</w:t>
      </w:r>
      <w:r>
        <w:rPr>
          <w:rtl w:val="true"/>
        </w:rPr>
        <w:t xml:space="preserve">, </w:t>
      </w:r>
      <w:r>
        <w:rPr>
          <w:rtl w:val="true"/>
        </w:rPr>
        <w:t>האסון הכבד והנורא שפקד את אשת המנוח</w:t>
      </w:r>
      <w:r>
        <w:rPr>
          <w:rtl w:val="true"/>
        </w:rPr>
        <w:t xml:space="preserve">, </w:t>
      </w:r>
      <w:r>
        <w:rPr>
          <w:rtl w:val="true"/>
        </w:rPr>
        <w:t>רינה פרץ ובני משפחת כץ</w:t>
      </w:r>
      <w:r>
        <w:rPr>
          <w:rtl w:val="true"/>
        </w:rPr>
        <w:t xml:space="preserve">; </w:t>
      </w:r>
      <w:r>
        <w:rPr>
          <w:rtl w:val="true"/>
        </w:rPr>
        <w:t>קיפוח חייהם של המנוחים</w:t>
      </w:r>
      <w:r>
        <w:rPr>
          <w:rtl w:val="true"/>
        </w:rPr>
        <w:t xml:space="preserve">; </w:t>
      </w:r>
      <w:r>
        <w:rPr>
          <w:rtl w:val="true"/>
        </w:rPr>
        <w:t>והפגיעה הבלתי ניתנת לאיחוי העולה מתסקירי נפגעי העבירה שהוצגו לפנינו – יכלו להימנע בנקל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אין מדובר בגזירת גורל</w:t>
      </w:r>
      <w:r>
        <w:rPr>
          <w:sz w:val="28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קלות הדעת של ג</w:t>
      </w:r>
      <w:r>
        <w:rPr>
          <w:rtl w:val="true"/>
        </w:rPr>
        <w:t>'</w:t>
      </w:r>
      <w:r>
        <w:rPr>
          <w:rtl w:val="true"/>
        </w:rPr>
        <w:t>האד</w:t>
      </w:r>
      <w:r>
        <w:rPr>
          <w:rtl w:val="true"/>
        </w:rPr>
        <w:t xml:space="preserve">, </w:t>
      </w:r>
      <w:r>
        <w:rPr>
          <w:rtl w:val="true"/>
        </w:rPr>
        <w:t>אשר בחר לשבת מאחורי ההגה</w:t>
      </w:r>
      <w:r>
        <w:rPr>
          <w:rtl w:val="true"/>
        </w:rPr>
        <w:t xml:space="preserve">, </w:t>
      </w:r>
      <w:r>
        <w:rPr>
          <w:rtl w:val="true"/>
        </w:rPr>
        <w:t>בעודו נתון להשפעת סם מסוכן</w:t>
      </w:r>
      <w:r>
        <w:rPr>
          <w:rtl w:val="true"/>
        </w:rPr>
        <w:t xml:space="preserve">, </w:t>
      </w:r>
      <w:r>
        <w:rPr>
          <w:rtl w:val="true"/>
        </w:rPr>
        <w:t>היא שהביאה לנטילת חייהם של המנוחים</w:t>
      </w:r>
      <w:r>
        <w:rPr>
          <w:rtl w:val="true"/>
        </w:rPr>
        <w:t xml:space="preserve">, </w:t>
      </w:r>
      <w:r>
        <w:rPr>
          <w:rtl w:val="true"/>
        </w:rPr>
        <w:t>ולפגיעה הקשה ברינה פרץ</w:t>
      </w:r>
      <w:r>
        <w:rPr>
          <w:rtl w:val="true"/>
        </w:rPr>
        <w:t xml:space="preserve">, </w:t>
      </w:r>
      <w:r>
        <w:rPr>
          <w:rtl w:val="true"/>
        </w:rPr>
        <w:t>אשת המנוח</w:t>
      </w:r>
      <w:r>
        <w:rPr>
          <w:rtl w:val="true"/>
        </w:rPr>
        <w:t xml:space="preserve">, </w:t>
      </w:r>
      <w:r>
        <w:rPr>
          <w:rtl w:val="true"/>
        </w:rPr>
        <w:t>בגוף ובנפש</w:t>
      </w:r>
      <w:r>
        <w:rPr>
          <w:rtl w:val="true"/>
        </w:rPr>
        <w:t xml:space="preserve">; </w:t>
      </w:r>
      <w:r>
        <w:rPr>
          <w:rtl w:val="true"/>
        </w:rPr>
        <w:t>היא אשר גזרה על בני משפחת המנוחים חיי שכול ואבל</w:t>
      </w:r>
      <w:r>
        <w:rPr>
          <w:rtl w:val="true"/>
        </w:rPr>
        <w:t xml:space="preserve">. </w:t>
      </w:r>
      <w:r>
        <w:rPr>
          <w:rtl w:val="true"/>
        </w:rPr>
        <w:t>משקיפח חיי אחרים בנהיגתו המסוכנת</w:t>
      </w:r>
      <w:r>
        <w:rPr>
          <w:rtl w:val="true"/>
        </w:rPr>
        <w:t xml:space="preserve">, </w:t>
      </w:r>
      <w:r>
        <w:rPr>
          <w:rtl w:val="true"/>
        </w:rPr>
        <w:t>תחת השפעת סם מסוכן</w:t>
      </w:r>
      <w:r>
        <w:rPr>
          <w:rtl w:val="true"/>
        </w:rPr>
        <w:t xml:space="preserve">, </w:t>
      </w:r>
      <w:r>
        <w:rPr>
          <w:rtl w:val="true"/>
        </w:rPr>
        <w:t>במהירות מופרזת</w:t>
      </w:r>
      <w:r>
        <w:rPr>
          <w:rtl w:val="true"/>
        </w:rPr>
        <w:t xml:space="preserve">, </w:t>
      </w:r>
      <w:r>
        <w:rPr>
          <w:rtl w:val="true"/>
        </w:rPr>
        <w:t>על ג</w:t>
      </w:r>
      <w:r>
        <w:rPr>
          <w:rtl w:val="true"/>
        </w:rPr>
        <w:t>'</w:t>
      </w:r>
      <w:r>
        <w:rPr>
          <w:rtl w:val="true"/>
        </w:rPr>
        <w:t xml:space="preserve">האד </w:t>
      </w:r>
      <w:r>
        <w:rPr>
          <w:sz w:val="28"/>
          <w:sz w:val="28"/>
          <w:rtl w:val="true"/>
        </w:rPr>
        <w:t>לשאת בעונש ההולם שהשית עליו בית המשפט המחוזי</w:t>
      </w:r>
      <w:r>
        <w:rPr>
          <w:sz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numPr>
          <w:ilvl w:val="0"/>
          <w:numId w:val="1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בית המשפט המחוזי הוציא תחת</w:t>
      </w:r>
      <w:r>
        <w:rPr>
          <w:rtl w:val="true"/>
        </w:rPr>
        <w:t>-</w:t>
      </w:r>
      <w:r>
        <w:rPr>
          <w:rtl w:val="true"/>
        </w:rPr>
        <w:t>ידו פסק דין מפורט ומנומק כדבעי</w:t>
      </w:r>
      <w:r>
        <w:rPr>
          <w:rtl w:val="true"/>
        </w:rPr>
        <w:t xml:space="preserve">; </w:t>
      </w:r>
      <w:r>
        <w:rPr>
          <w:rtl w:val="true"/>
        </w:rPr>
        <w:t>השיקולים הרלבנטיים הובאו כולם בחשבון</w:t>
      </w:r>
      <w:r>
        <w:rPr>
          <w:rtl w:val="true"/>
        </w:rPr>
        <w:t xml:space="preserve">; </w:t>
      </w:r>
      <w:r>
        <w:rPr>
          <w:rtl w:val="true"/>
        </w:rPr>
        <w:t>העונש שהושת על ג</w:t>
      </w:r>
      <w:r>
        <w:rPr>
          <w:rtl w:val="true"/>
        </w:rPr>
        <w:t>'</w:t>
      </w:r>
      <w:r>
        <w:rPr>
          <w:rtl w:val="true"/>
        </w:rPr>
        <w:t>האד</w:t>
      </w:r>
      <w:r>
        <w:rPr>
          <w:rtl w:val="true"/>
        </w:rPr>
        <w:t xml:space="preserve">, </w:t>
      </w:r>
      <w:r>
        <w:rPr>
          <w:rtl w:val="true"/>
        </w:rPr>
        <w:t>נותן ביטוי למכלול שיקולי הענישה</w:t>
      </w:r>
      <w:r>
        <w:rPr>
          <w:rtl w:val="true"/>
        </w:rPr>
        <w:t xml:space="preserve">; </w:t>
      </w:r>
      <w:r>
        <w:rPr>
          <w:rtl w:val="true"/>
        </w:rPr>
        <w:t>לא קמה אפוא הצדקה להתערבות מצדה של ערכאת הערעור</w:t>
      </w:r>
      <w:r>
        <w:rPr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אציע לחברַי לדחות את הערעורים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 ו פ 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עמית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 מסכים</w:t>
      </w:r>
      <w:r>
        <w:rPr>
          <w:rtl w:val="true"/>
        </w:rPr>
        <w:t>.</w:t>
      </w:r>
    </w:p>
    <w:p>
      <w:pPr>
        <w:pStyle w:val="Ruller41"/>
        <w:ind w:end="0"/>
        <w:jc w:val="end"/>
        <w:rPr/>
      </w:pPr>
      <w:r>
        <w:rPr>
          <w:rtl w:val="true"/>
        </w:rPr>
        <w:t>ש ו פ 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rtl w:val="true"/>
        </w:rPr>
        <w:t>מינץ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באלול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15.8.2021</w:t>
      </w:r>
      <w:r>
        <w:rPr>
          <w:rtl w:val="true"/>
        </w:rPr>
        <w:t xml:space="preserve">). </w:t>
      </w:r>
      <w:bookmarkEnd w:id="16"/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</w:t>
      </w:r>
      <w:r>
        <w:rPr>
          <w:rFonts w:cs="Times New Roman"/>
          <w:sz w:val="16"/>
          <w:rtl w:val="true"/>
        </w:rPr>
        <w:t xml:space="preserve">  </w:t>
      </w:r>
      <w:r>
        <w:rPr>
          <w:sz w:val="16"/>
        </w:rPr>
        <w:t>20078520</w:t>
      </w:r>
      <w:r>
        <w:rPr>
          <w:sz w:val="16"/>
          <w:rtl w:val="true"/>
        </w:rPr>
        <w:t>_</w:t>
      </w:r>
      <w:r>
        <w:rPr>
          <w:sz w:val="16"/>
        </w:rPr>
        <w:t>O04.docx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ד</w:t>
      </w:r>
      <w:r>
        <w:rPr>
          <w:rFonts w:cs="Times New Roman"/>
          <w:sz w:val="16"/>
          <w:sz w:val="16"/>
          <w:rtl w:val="true"/>
        </w:rPr>
        <w:t xml:space="preserve"> </w:t>
      </w:r>
      <w:r>
        <w:rPr>
          <w:sz w:val="16"/>
          <w:sz w:val="16"/>
          <w:rtl w:val="true"/>
        </w:rPr>
        <w:t>ס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2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 w:val="22"/>
          <w:szCs w:val="22"/>
        </w:rPr>
      </w:pPr>
      <w:r>
        <w:rPr>
          <w:rFonts w:cs="David;Malgun Gothic Semilight" w:ascii="David;Malgun Gothic Semilight" w:hAnsi="David;Malgun Gothic Semilight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 w:val="22"/>
          <w:szCs w:val="22"/>
        </w:rPr>
      </w:pPr>
      <w:r>
        <w:rPr>
          <w:rFonts w:ascii="David;Malgun Gothic Semilight" w:hAnsi="David;Malgun Gothic Semilight"/>
          <w:color w:val="000000"/>
          <w:sz w:val="22"/>
          <w:sz w:val="22"/>
          <w:szCs w:val="22"/>
          <w:rtl w:val="true"/>
        </w:rPr>
        <w:t>י</w:t>
      </w:r>
      <w:r>
        <w:rPr>
          <w:rFonts w:cs="David;Malgun Gothic Semilight" w:ascii="David;Malgun Gothic Semilight" w:hAnsi="David;Malgun Gothic Semilight"/>
          <w:color w:val="000000"/>
          <w:sz w:val="22"/>
          <w:szCs w:val="22"/>
          <w:rtl w:val="true"/>
        </w:rPr>
        <w:t xml:space="preserve">' </w:t>
      </w:r>
      <w:r>
        <w:rPr>
          <w:rFonts w:ascii="David;Malgun Gothic Semilight" w:hAnsi="David;Malgun Gothic Semilight"/>
          <w:color w:val="000000"/>
          <w:sz w:val="22"/>
          <w:sz w:val="22"/>
          <w:szCs w:val="22"/>
          <w:rtl w:val="true"/>
        </w:rPr>
        <w:t xml:space="preserve">עמית </w:t>
      </w:r>
      <w:r>
        <w:rPr>
          <w:rFonts w:cs="David;Malgun Gothic Semilight" w:ascii="David;Malgun Gothic Semilight" w:hAnsi="David;Malgun Gothic Semilight"/>
          <w:color w:val="000000"/>
          <w:sz w:val="22"/>
          <w:szCs w:val="22"/>
        </w:rPr>
        <w:t>54678313-7852/20</w:t>
      </w:r>
    </w:p>
    <w:p>
      <w:pPr>
        <w:pStyle w:val="Normal"/>
        <w:ind w:end="0"/>
        <w:jc w:val="start"/>
        <w:rPr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4"/>
      <w:footerReference w:type="default" r:id="rId4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Malgun Gothic Semilight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12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Malgun Gothic Semilight" w:hAnsi="David;Malgun Gothic Semilight" w:cs="David;Malgun Gothic Semilight"/>
        <w:color w:val="000000"/>
        <w:sz w:val="22"/>
        <w:szCs w:val="22"/>
      </w:rPr>
    </w:pP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 xml:space="preserve">עפ </w:t>
    </w:r>
    <w:r>
      <w:rPr>
        <w:rFonts w:cs="David;Malgun Gothic Semilight" w:ascii="David;Malgun Gothic Semilight" w:hAnsi="David;Malgun Gothic Semilight"/>
        <w:color w:val="000000"/>
        <w:sz w:val="22"/>
        <w:szCs w:val="22"/>
      </w:rPr>
      <w:t>7852/20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מדינת ישראל נ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'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ג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>'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האד בן אחמד סאלח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;Times New Roman"/>
        <w:color w:val="000000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Malgun Gothic Semilight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cs="FrankRuehl;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Malgun Gothic Semilight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Malgun Gothic Semilight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Malgun Gothic Semilight"/>
    </w:rPr>
  </w:style>
  <w:style w:type="character" w:styleId="CharChar1">
    <w:name w:val=" Char Char1"/>
    <w:qFormat/>
    <w:rPr>
      <w:rFonts w:cs="David;Malgun Gothic Semilight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Malgun Gothic Semilight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textAlignment w:val="auto"/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Malgun Gothic Semilight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75472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01c" TargetMode="External"/><Relationship Id="rId5" Type="http://schemas.openxmlformats.org/officeDocument/2006/relationships/hyperlink" Target="http://www.nevo.co.il/law/5227" TargetMode="External"/><Relationship Id="rId6" Type="http://schemas.openxmlformats.org/officeDocument/2006/relationships/hyperlink" Target="http://www.nevo.co.il/law/5227/62.3" TargetMode="External"/><Relationship Id="rId7" Type="http://schemas.openxmlformats.org/officeDocument/2006/relationships/hyperlink" Target="http://www.nevo.co.il/law/5227/64b" TargetMode="External"/><Relationship Id="rId8" Type="http://schemas.openxmlformats.org/officeDocument/2006/relationships/hyperlink" Target="http://www.nevo.co.il/law/5227/64b.2" TargetMode="External"/><Relationship Id="rId9" Type="http://schemas.openxmlformats.org/officeDocument/2006/relationships/hyperlink" Target="http://www.nevo.co.il/law/5227/64b.4" TargetMode="External"/><Relationship Id="rId10" Type="http://schemas.openxmlformats.org/officeDocument/2006/relationships/hyperlink" Target="http://www.nevo.co.il/law/74274" TargetMode="External"/><Relationship Id="rId11" Type="http://schemas.openxmlformats.org/officeDocument/2006/relationships/hyperlink" Target="http://www.nevo.co.il/law/74274/40" TargetMode="External"/><Relationship Id="rId12" Type="http://schemas.openxmlformats.org/officeDocument/2006/relationships/hyperlink" Target="http://www.nevo.co.il/law/74274/51" TargetMode="External"/><Relationship Id="rId13" Type="http://schemas.openxmlformats.org/officeDocument/2006/relationships/hyperlink" Target="http://www.nevo.co.il/law/74274/169b" TargetMode="External"/><Relationship Id="rId14" Type="http://schemas.openxmlformats.org/officeDocument/2006/relationships/hyperlink" Target="http://www.nevo.co.il/case/22754725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01c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5227/62.3" TargetMode="External"/><Relationship Id="rId19" Type="http://schemas.openxmlformats.org/officeDocument/2006/relationships/hyperlink" Target="http://www.nevo.co.il/law/5227/64b.2" TargetMode="External"/><Relationship Id="rId20" Type="http://schemas.openxmlformats.org/officeDocument/2006/relationships/hyperlink" Target="http://www.nevo.co.il/law/5227/64b.4" TargetMode="External"/><Relationship Id="rId21" Type="http://schemas.openxmlformats.org/officeDocument/2006/relationships/hyperlink" Target="http://www.nevo.co.il/law/5227" TargetMode="External"/><Relationship Id="rId22" Type="http://schemas.openxmlformats.org/officeDocument/2006/relationships/hyperlink" Target="http://www.nevo.co.il/law/74274/169b" TargetMode="External"/><Relationship Id="rId23" Type="http://schemas.openxmlformats.org/officeDocument/2006/relationships/hyperlink" Target="http://www.nevo.co.il/law/74274" TargetMode="External"/><Relationship Id="rId24" Type="http://schemas.openxmlformats.org/officeDocument/2006/relationships/hyperlink" Target="http://www.nevo.co.il/law/5227/64b" TargetMode="External"/><Relationship Id="rId25" Type="http://schemas.openxmlformats.org/officeDocument/2006/relationships/hyperlink" Target="http://www.nevo.co.il/law/5227" TargetMode="External"/><Relationship Id="rId26" Type="http://schemas.openxmlformats.org/officeDocument/2006/relationships/hyperlink" Target="http://www.nevo.co.il/law/74274/40" TargetMode="External"/><Relationship Id="rId27" Type="http://schemas.openxmlformats.org/officeDocument/2006/relationships/hyperlink" Target="http://www.nevo.co.il/law/74274" TargetMode="External"/><Relationship Id="rId28" Type="http://schemas.openxmlformats.org/officeDocument/2006/relationships/hyperlink" Target="http://www.nevo.co.il/law/74274/51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22401476" TargetMode="External"/><Relationship Id="rId31" Type="http://schemas.openxmlformats.org/officeDocument/2006/relationships/hyperlink" Target="http://www.nevo.co.il/case/5755866" TargetMode="External"/><Relationship Id="rId32" Type="http://schemas.openxmlformats.org/officeDocument/2006/relationships/hyperlink" Target="http://www.nevo.co.il/case/5875466" TargetMode="External"/><Relationship Id="rId33" Type="http://schemas.openxmlformats.org/officeDocument/2006/relationships/hyperlink" Target="http://www.nevo.co.il/case/24975735" TargetMode="External"/><Relationship Id="rId34" Type="http://schemas.openxmlformats.org/officeDocument/2006/relationships/hyperlink" Target="http://www.nevo.co.il/case/6123100" TargetMode="External"/><Relationship Id="rId35" Type="http://schemas.openxmlformats.org/officeDocument/2006/relationships/hyperlink" Target="http://www.nevo.co.il/case/21478451" TargetMode="External"/><Relationship Id="rId36" Type="http://schemas.openxmlformats.org/officeDocument/2006/relationships/hyperlink" Target="http://www.nevo.co.il/case/17016916" TargetMode="External"/><Relationship Id="rId37" Type="http://schemas.openxmlformats.org/officeDocument/2006/relationships/hyperlink" Target="http://www.nevo.co.il/case/21474484" TargetMode="External"/><Relationship Id="rId38" Type="http://schemas.openxmlformats.org/officeDocument/2006/relationships/hyperlink" Target="http://www.nevo.co.il/law/5227/64b" TargetMode="External"/><Relationship Id="rId39" Type="http://schemas.openxmlformats.org/officeDocument/2006/relationships/hyperlink" Target="http://www.nevo.co.il/law/5227" TargetMode="External"/><Relationship Id="rId40" Type="http://schemas.openxmlformats.org/officeDocument/2006/relationships/hyperlink" Target="http://www.nevo.co.il/case/5821139" TargetMode="External"/><Relationship Id="rId41" Type="http://schemas.openxmlformats.org/officeDocument/2006/relationships/hyperlink" Target="http://www.nevo.co.il/case/26978057" TargetMode="External"/><Relationship Id="rId42" Type="http://schemas.openxmlformats.org/officeDocument/2006/relationships/hyperlink" Target="https://supreme.court.gov.il/" TargetMode="External"/><Relationship Id="rId43" Type="http://schemas.openxmlformats.org/officeDocument/2006/relationships/hyperlink" Target="http://www.nevo.co.il/advertisements/nevo-100.doc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2021-08-16T08:04:00Z</dcterms:created>
  <dc:creator>h4</dc:creator>
  <dc:description/>
  <cp:keywords/>
  <dc:language>en-IL</dc:language>
  <cp:lastModifiedBy>orly</cp:lastModifiedBy>
  <cp:lastPrinted>2021-08-15T10:00:00Z</cp:lastPrinted>
  <dcterms:modified xsi:type="dcterms:W3CDTF">2021-08-16T08:04:00Z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ג'האד בן אחמד סאלח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22754725:2;22401476;5755866;5875466;24975735;6123100;21478451;17016916;21474484;5821139;26978057</vt:lpwstr>
  </property>
  <property fmtid="{D5CDD505-2E9C-101B-9397-08002B2CF9AE}" pid="9" name="CITY">
    <vt:lpwstr/>
  </property>
  <property fmtid="{D5CDD505-2E9C-101B-9397-08002B2CF9AE}" pid="10" name="DATE">
    <vt:lpwstr>20210815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עמית;נ' סולברג;ד' מינץ</vt:lpwstr>
  </property>
  <property fmtid="{D5CDD505-2E9C-101B-9397-08002B2CF9AE}" pid="14" name="LAWLISTTMP1">
    <vt:lpwstr>70301/301c</vt:lpwstr>
  </property>
  <property fmtid="{D5CDD505-2E9C-101B-9397-08002B2CF9AE}" pid="15" name="LAWLISTTMP2">
    <vt:lpwstr>5227/062.3;064b.2;064b.4;064b:2</vt:lpwstr>
  </property>
  <property fmtid="{D5CDD505-2E9C-101B-9397-08002B2CF9AE}" pid="16" name="LAWLISTTMP3">
    <vt:lpwstr>74274/169b;040;051</vt:lpwstr>
  </property>
  <property fmtid="{D5CDD505-2E9C-101B-9397-08002B2CF9AE}" pid="17" name="LAWYER">
    <vt:lpwstr>פאהום זועבי;עודד ציון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נעה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תעבורה</vt:lpwstr>
  </property>
  <property fmtid="{D5CDD505-2E9C-101B-9397-08002B2CF9AE}" pid="32" name="NOSE14">
    <vt:lpwstr>עונשין</vt:lpwstr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77;77;104;77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עבירות</vt:lpwstr>
  </property>
  <property fmtid="{D5CDD505-2E9C-101B-9397-08002B2CF9AE}" pid="42" name="NOSE23">
    <vt:lpwstr>עבירות</vt:lpwstr>
  </property>
  <property fmtid="{D5CDD505-2E9C-101B-9397-08002B2CF9AE}" pid="43" name="NOSE24">
    <vt:lpwstr>ענישה</vt:lpwstr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1446;1443;1830;1446</vt:lpwstr>
  </property>
  <property fmtid="{D5CDD505-2E9C-101B-9397-08002B2CF9AE}" pid="50" name="NOSE31">
    <vt:lpwstr>מדיניות ענישה: התערבות ערכאת ערעור</vt:lpwstr>
  </property>
  <property fmtid="{D5CDD505-2E9C-101B-9397-08002B2CF9AE}" pid="51" name="NOSE310">
    <vt:lpwstr/>
  </property>
  <property fmtid="{D5CDD505-2E9C-101B-9397-08002B2CF9AE}" pid="52" name="NOSE32">
    <vt:lpwstr>המתה בקלות דעת</vt:lpwstr>
  </property>
  <property fmtid="{D5CDD505-2E9C-101B-9397-08002B2CF9AE}" pid="53" name="NOSE33">
    <vt:lpwstr>נהיגה תחת השפעת סם</vt:lpwstr>
  </property>
  <property fmtid="{D5CDD505-2E9C-101B-9397-08002B2CF9AE}" pid="54" name="NOSE34">
    <vt:lpwstr>מדיניות ענישה: תאונות דרכים</vt:lpwstr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8982;18467;13198;11753</vt:lpwstr>
  </property>
  <property fmtid="{D5CDD505-2E9C-101B-9397-08002B2CF9AE}" pid="61" name="PADIDATE">
    <vt:lpwstr>20210816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עפ;עפ</vt:lpwstr>
  </property>
  <property fmtid="{D5CDD505-2E9C-101B-9397-08002B2CF9AE}" pid="66" name="PROCNUM">
    <vt:lpwstr>7852;7969</vt:lpwstr>
  </property>
  <property fmtid="{D5CDD505-2E9C-101B-9397-08002B2CF9AE}" pid="67" name="PROCYEAR">
    <vt:lpwstr>20;20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410120210815</vt:lpwstr>
  </property>
  <property fmtid="{D5CDD505-2E9C-101B-9397-08002B2CF9AE}" pid="71" name="TYPE_N_DATE">
    <vt:lpwstr>41020210815</vt:lpwstr>
  </property>
  <property fmtid="{D5CDD505-2E9C-101B-9397-08002B2CF9AE}" pid="72" name="VOLUME">
    <vt:lpwstr/>
  </property>
  <property fmtid="{D5CDD505-2E9C-101B-9397-08002B2CF9AE}" pid="73" name="WORDNUMPAGES">
    <vt:lpwstr>11</vt:lpwstr>
  </property>
</Properties>
</file>