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7868/21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Heading5"/>
              <w:spacing w:before="0" w:after="0"/>
              <w:ind w:hanging="0" w:start="0"/>
              <w:jc w:val="end"/>
              <w:rPr>
                <w:rFonts w:ascii="David" w:hAnsi="David" w:cs="David"/>
                <w:b w:val="false"/>
                <w:bCs w:val="false"/>
                <w:sz w:val="27"/>
                <w:szCs w:val="27"/>
              </w:rPr>
            </w:pPr>
            <w:r>
              <w:rPr>
                <w:rFonts w:ascii="David" w:hAnsi="David" w:cs="David"/>
                <w:b w:val="false"/>
                <w:b w:val="false"/>
                <w:bCs w:val="false"/>
                <w:sz w:val="27"/>
                <w:sz w:val="27"/>
                <w:szCs w:val="27"/>
                <w:rtl w:val="true"/>
              </w:rPr>
              <w:t>אילן דאנה</w:t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  <w:b/>
                <w:bCs/>
                <w:sz w:val="27"/>
                <w:szCs w:val="27"/>
              </w:rPr>
            </w:pPr>
            <w:r>
              <w:rPr>
                <w:rFonts w:cs="David" w:ascii="David" w:hAnsi="David"/>
                <w:b/>
                <w:bCs/>
                <w:sz w:val="27"/>
                <w:szCs w:val="27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פסק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באר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שבע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תפח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</w:rPr>
                <w:t>14965-08-20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14.10.2021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,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אשר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כבוד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השופטים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ואגו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,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אינפלד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חזק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                 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26.12.2022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מוטי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גדעוני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Ruller3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8" w:type="dxa"/>
            <w:tcBorders/>
          </w:tcPr>
          <w:p>
            <w:pPr>
              <w:pStyle w:val="Ruller3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4-2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יסקין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4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347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הורשע במסגרת הסדר טיעון </w:t>
      </w:r>
      <w:r>
        <w:rPr>
          <w:rFonts w:ascii="Times New Roman" w:hAnsi="Times New Roman" w:cs="Times New Roman"/>
          <w:spacing w:val="0"/>
          <w:szCs w:val="26"/>
          <w:rtl w:val="true"/>
        </w:rPr>
        <w:t>בביצוע עבירות 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אינוס ומעשי סדום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כלפי שלוש בנותיה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הקטינות </w:t>
      </w:r>
      <w:r>
        <w:rPr>
          <w:rFonts w:ascii="Times New Roman" w:hAnsi="Times New Roman" w:cs="Times New Roman"/>
          <w:spacing w:val="0"/>
          <w:szCs w:val="26"/>
          <w:rtl w:val="true"/>
        </w:rPr>
        <w:t>של בת זוגו לשעבר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</w:t>
      </w:r>
      <w:r>
        <w:rPr>
          <w:rFonts w:ascii="Times New Roman" w:hAnsi="Times New Roman" w:cs="Times New Roman"/>
          <w:spacing w:val="0"/>
          <w:szCs w:val="26"/>
          <w:rtl w:val="true"/>
        </w:rPr>
        <w:t>נגזרו על</w:t>
      </w:r>
      <w:r>
        <w:rPr>
          <w:rFonts w:ascii="Times New Roman" w:hAnsi="Times New Roman" w:cs="Times New Roman"/>
          <w:spacing w:val="0"/>
          <w:szCs w:val="26"/>
          <w:rtl w:val="true"/>
        </w:rPr>
        <w:t>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מלין על כך ש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מצוי בקצה העליון של הטווח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המוסכם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בנסיבות החמורות של הפרשה אין מדובר בעונש המחמיר עם המערער יתר על המידה </w:t>
      </w:r>
      <w:r>
        <w:rPr>
          <w:rFonts w:ascii="Times New Roman" w:hAnsi="Times New Roman" w:cs="Times New Roman"/>
          <w:spacing w:val="0"/>
          <w:szCs w:val="26"/>
          <w:rtl w:val="true"/>
        </w:rPr>
        <w:t>ומקובלת על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קביעתו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ולפיה אלמלא הסדר הטיעון היה עונשו של המערער חמור פי כמה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במשפחה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בקטינים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הסדר טיעון – טווח ענישה מוסכם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 מחוזי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שניתן בעקבות הרשעת המערער במסגרת הסדר טיעון </w:t>
      </w:r>
      <w:r>
        <w:rPr>
          <w:rFonts w:ascii="Times New Roman" w:hAnsi="Times New Roman" w:cs="Times New Roman"/>
          <w:spacing w:val="0"/>
          <w:szCs w:val="26"/>
          <w:rtl w:val="true"/>
        </w:rPr>
        <w:t>בביצוע עבירות 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אינוס ומעשי סדום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כלפי שלוש בנותיה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הקטינות </w:t>
      </w:r>
      <w:r>
        <w:rPr>
          <w:rFonts w:ascii="Times New Roman" w:hAnsi="Times New Roman" w:cs="Times New Roman"/>
          <w:spacing w:val="0"/>
          <w:szCs w:val="26"/>
          <w:rtl w:val="true"/>
        </w:rPr>
        <w:t>של בת זוגו לשעבר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שבו נגזרו על המערער </w:t>
      </w:r>
      <w:r>
        <w:rPr>
          <w:rFonts w:cs="Times New Roman" w:ascii="Times New Roman" w:hAnsi="Times New Roman"/>
          <w:spacing w:val="0"/>
          <w:szCs w:val="26"/>
        </w:rPr>
        <w:t>16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שנות מאסר בפועל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בניכוי ימי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 על 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בן שנה אחת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ופיצוי בסך </w:t>
      </w:r>
      <w:r>
        <w:rPr>
          <w:rFonts w:cs="Times New Roman" w:ascii="Times New Roman" w:hAnsi="Times New Roman"/>
          <w:spacing w:val="0"/>
          <w:szCs w:val="26"/>
        </w:rPr>
        <w:t>100,000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 לכל </w:t>
      </w:r>
      <w:r>
        <w:rPr>
          <w:rFonts w:ascii="Times New Roman" w:hAnsi="Times New Roman" w:cs="Times New Roman"/>
          <w:spacing w:val="0"/>
          <w:szCs w:val="26"/>
          <w:rtl w:val="true"/>
        </w:rPr>
        <w:t>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מלין על כך שהעונש שנגזר עליו מצוי בקצה העליון של הטווח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המוסכם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וטוען לנסיבות שיש בהן כדי להצדיק הקלה עמו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 בשל מצבו הרפואי וכן בשל העובדה שהודאתו חסכה את המשך ניהול ההליך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הנשיאה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חיות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השופטים 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כנפי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שטייניץ 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גרוסקופף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>דוע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 הערעור אינה נוטה להתערב בעונשים הנגזרים על ידי הערכאות הדיוניות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למעט במקרים חריגים שבהם נפלה טעות מהותית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כשהעונש סוטה באופן ממשי ממדיניות הענישה הנוהגת או הראויה בנסיבות דומות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 דנא אינו נמנה על ה</w:t>
      </w:r>
      <w:r>
        <w:rPr>
          <w:rFonts w:ascii="Times New Roman" w:hAnsi="Times New Roman" w:cs="Times New Roman"/>
          <w:spacing w:val="0"/>
          <w:szCs w:val="26"/>
          <w:rtl w:val="true"/>
        </w:rPr>
        <w:t>חריגים הללו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העבירות שבהן הורשע המערער הן חמורות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ניצל באופן בוטה את אמונן של המתלוננות – נערות צעירות שהיו תלויות בו וראו בו דמות אב – וביצע בהן שורה של עבירות מין קשות לאורך שנים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הפעלת לחץ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איומים ומניפולציות רגשיוֹת פסולות עליהן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בפסיקה הנוגעת לעבירות מין כלפי קטינים במשפחה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עמד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פעם אחר פעם על חומרתן המיוחדת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והדגיש את הצורך בהכבדת הענישה בגינן</w:t>
      </w:r>
      <w:r>
        <w:rPr>
          <w:rFonts w:cs="Times New Roman" w:ascii="Times New Roman" w:hAnsi="Times New Roman"/>
          <w:spacing w:val="0"/>
          <w:szCs w:val="26"/>
          <w:rtl w:val="true"/>
        </w:rPr>
        <w:t>;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שנגזר על המערער נקבע לאחר בחינה סדורה ושיטתית שערך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ובעקבותיה הדגיש כי אף שטווח העונש המוסכם חורג באופן משמעותי לקולה ממתחם העונש הראוי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בהפנותו לסעיף </w:t>
      </w:r>
      <w:r>
        <w:rPr>
          <w:rFonts w:cs="Times New Roman" w:ascii="Times New Roman" w:hAnsi="Times New Roman"/>
          <w:spacing w:val="0"/>
          <w:szCs w:val="26"/>
        </w:rPr>
        <w:t>351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8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העוסק בעבירות מין במשפחה והקובע עונש מאסר של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ראה להסתפק בהטלת עונש ברף העליון של מתחם העונש שסוכם ולא להתערב בהסדר הטיעון לחומרה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התייחס לשיקולים הרלוונטים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מחד הודאת המערער ומצבו הרפואי ומנגד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עמד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חומרת העבירות שבהן הורשע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על ריבוי הנפגעות והתמשכות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על עברו הפלילי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כולל הרשעה בעבירות הדומות במידה מסוימת לעבירות הנוכחיות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הרושם שהמערער לא הפנים את הנזק שגרם ולא ביטא חרטה פנימית והכאה על חטא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העובדה שהמערער בחר להודות ולהסכים להסדר הטיעון רק לאחר תחילת עדותה של ב</w:t>
      </w:r>
      <w:r>
        <w:rPr>
          <w:rFonts w:cs="Times New Roman" w:ascii="Times New Roman" w:hAnsi="Times New Roman"/>
          <w:spacing w:val="0"/>
          <w:szCs w:val="26"/>
          <w:rtl w:val="true"/>
        </w:rPr>
        <w:t>'.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מסקנ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זו מקובלת 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זה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וברי כי בנסיבות החמורות של הפרשה אין מדובר בעונש המחמיר עם המערער יתר על המידה </w:t>
      </w:r>
      <w:r>
        <w:rPr>
          <w:rFonts w:ascii="Times New Roman" w:hAnsi="Times New Roman" w:cs="Times New Roman"/>
          <w:spacing w:val="0"/>
          <w:szCs w:val="26"/>
          <w:rtl w:val="true"/>
        </w:rPr>
        <w:t>ומקובלת על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קביעתו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ולפיה אלמלא הסדר הטיעון היה עונשו של המערער חמור פי כמה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ממוקד במחיר שהוא נדרש לשלם על מעשיו ואינו מפנים באופן אמיתי את חומרת המעשים ואת הנזק שגרם למתלוננות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עוד 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בכל הנוגע לטענת המערער כי </w:t>
      </w:r>
      <w:r>
        <w:rPr>
          <w:rFonts w:ascii="Times New Roman" w:hAnsi="Times New Roman" w:cs="Times New Roman"/>
          <w:spacing w:val="0"/>
          <w:szCs w:val="26"/>
          <w:rtl w:val="true"/>
        </w:rPr>
        <w:t>ציפייתו ואינטרס ההסתמכות שלו הצדיקו הימנעות מגזירת עונש המצוי בקצה העליון של הטווח המוסכם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הודגש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הפסיקה שאליה הפנה המערער באשר לאינטרס ההסתמכות של נאשם על הסדר 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עוסקת בשאלה אם אינטרס ההסתמכות משפיע על הנכונות להתערב בהסדר 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בפסיקת עונש כזה או אחר בתוך הטווח שעליו הסכימו הצדדי</w:t>
      </w:r>
      <w:r>
        <w:rPr>
          <w:rFonts w:ascii="Times New Roman" w:hAnsi="Times New Roman" w:cs="Times New Roman"/>
          <w:spacing w:val="0"/>
          <w:szCs w:val="26"/>
          <w:rtl w:val="true"/>
        </w:rPr>
        <w:t>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זהו ערעור על גזר דינו של בית המשפט המחוזי בבאר שבע </w:t>
      </w:r>
      <w:r>
        <w:rPr>
          <w:rtl w:val="true"/>
        </w:rPr>
        <w:t>(</w:t>
      </w:r>
      <w:r>
        <w:rPr>
          <w:rtl w:val="true"/>
        </w:rPr>
        <w:t xml:space="preserve">סגן הנשיאה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ואגו</w:t>
      </w:r>
      <w:r>
        <w:rPr>
          <w:rtl w:val="true"/>
        </w:rPr>
        <w:t xml:space="preserve"> והשופטים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אינפלד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</w:t>
      </w:r>
      <w:r>
        <w:rPr>
          <w:rtl w:val="true"/>
        </w:rPr>
        <w:t xml:space="preserve">) </w:t>
      </w:r>
      <w:r>
        <w:rPr>
          <w:rtl w:val="true"/>
        </w:rPr>
        <w:t xml:space="preserve">מיום </w:t>
      </w:r>
      <w:r>
        <w:rPr/>
        <w:t>14.10.2021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תפח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14965-08-20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שבו נגזרו על המערער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</w:t>
      </w:r>
      <w:r>
        <w:rPr>
          <w:rtl w:val="true"/>
        </w:rPr>
        <w:t>(</w:t>
      </w:r>
      <w:r>
        <w:rPr>
          <w:rtl w:val="true"/>
        </w:rPr>
        <w:t>בניכוי ימי מעצרו</w:t>
      </w:r>
      <w:r>
        <w:rPr>
          <w:rtl w:val="true"/>
        </w:rPr>
        <w:t xml:space="preserve">); </w:t>
      </w:r>
      <w:r>
        <w:rPr>
          <w:rtl w:val="true"/>
        </w:rPr>
        <w:t>מאסר על תנאי בן שנה אחת</w:t>
      </w:r>
      <w:r>
        <w:rPr>
          <w:rtl w:val="true"/>
        </w:rPr>
        <w:t xml:space="preserve">, </w:t>
      </w:r>
      <w:r>
        <w:rPr>
          <w:rtl w:val="true"/>
        </w:rPr>
        <w:t>אשר יופעל אם המערער יבצע עבירת מין מסוג פשע תוך שלוש שנים ממועד שחרורו</w:t>
      </w:r>
      <w:r>
        <w:rPr>
          <w:rtl w:val="true"/>
        </w:rPr>
        <w:t xml:space="preserve">; </w:t>
      </w:r>
      <w:r>
        <w:rPr>
          <w:rtl w:val="true"/>
        </w:rPr>
        <w:t xml:space="preserve">ופיצוי בסך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לכל אחת משלוש המתלוננות בהליך</w:t>
      </w:r>
      <w:r>
        <w:rPr>
          <w:rtl w:val="true"/>
        </w:rPr>
        <w:t xml:space="preserve">. </w:t>
      </w:r>
      <w:r>
        <w:rPr>
          <w:rtl w:val="true"/>
        </w:rPr>
        <w:t xml:space="preserve">כבר עתה יצוין כי במהלך הדיון שהתקיים בערעור ביום </w:t>
      </w:r>
      <w:r>
        <w:rPr/>
        <w:t>26.12.2022</w:t>
      </w:r>
      <w:r>
        <w:rPr>
          <w:rtl w:val="true"/>
        </w:rPr>
        <w:t xml:space="preserve">, </w:t>
      </w:r>
      <w:r>
        <w:rPr>
          <w:rtl w:val="true"/>
        </w:rPr>
        <w:t>חזר בו המערער מערעורו ביחס לרכיב הפיצוי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רקע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קמא</w:t>
      </w:r>
    </w:p>
    <w:p>
      <w:pPr>
        <w:pStyle w:val="Ruller42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2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1971</w:t>
      </w:r>
      <w:r>
        <w:rPr>
          <w:rtl w:val="true"/>
        </w:rPr>
        <w:t xml:space="preserve">, </w:t>
      </w:r>
      <w:r>
        <w:rPr>
          <w:rtl w:val="true"/>
        </w:rPr>
        <w:t xml:space="preserve">הורשע על פי הודאתו </w:t>
      </w:r>
      <w:r>
        <w:rPr>
          <w:rtl w:val="true"/>
        </w:rPr>
        <w:t>ב</w:t>
      </w:r>
      <w:r>
        <w:rPr>
          <w:rtl w:val="true"/>
        </w:rPr>
        <w:t xml:space="preserve">ביצוע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 </w:t>
      </w:r>
      <w:r>
        <w:rPr>
          <w:rtl w:val="true"/>
        </w:rPr>
        <w:t>כלפי שלוש בנותיה של בת זוגו לשעבר</w:t>
      </w:r>
      <w:r>
        <w:rPr>
          <w:rtl w:val="true"/>
        </w:rPr>
        <w:t xml:space="preserve">. </w:t>
      </w:r>
      <w:r>
        <w:rPr>
          <w:rtl w:val="true"/>
        </w:rPr>
        <w:t>לפי עובדות כתב האישום המתוקן שבהן הודה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הוא התגורר במשך שנים עם בת זוגו דאז ושלוש בנותיה </w:t>
      </w:r>
      <w:r>
        <w:rPr>
          <w:rtl w:val="true"/>
        </w:rPr>
        <w:t>–</w:t>
      </w:r>
      <w:r>
        <w:rPr>
          <w:rtl w:val="true"/>
        </w:rPr>
        <w:t xml:space="preserve"> א</w:t>
      </w:r>
      <w:r>
        <w:rPr>
          <w:rtl w:val="true"/>
        </w:rPr>
        <w:t xml:space="preserve">', </w:t>
      </w:r>
      <w:r>
        <w:rPr>
          <w:rtl w:val="true"/>
        </w:rPr>
        <w:t xml:space="preserve">ילידת שנת </w:t>
      </w:r>
      <w:r>
        <w:rPr/>
        <w:t>2003</w:t>
      </w:r>
      <w:r>
        <w:rPr>
          <w:rtl w:val="true"/>
        </w:rPr>
        <w:t xml:space="preserve">;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 xml:space="preserve">ילידת </w:t>
      </w:r>
      <w:r>
        <w:rPr/>
        <w:t>2000</w:t>
      </w:r>
      <w:r>
        <w:rPr>
          <w:rtl w:val="true"/>
        </w:rPr>
        <w:t xml:space="preserve">; </w:t>
      </w:r>
      <w:r>
        <w:rPr>
          <w:rtl w:val="true"/>
        </w:rPr>
        <w:t>וג</w:t>
      </w:r>
      <w:r>
        <w:rPr>
          <w:rtl w:val="true"/>
        </w:rPr>
        <w:t xml:space="preserve">', </w:t>
      </w:r>
      <w:r>
        <w:rPr>
          <w:rtl w:val="true"/>
        </w:rPr>
        <w:t xml:space="preserve">ילידת </w:t>
      </w:r>
      <w:r>
        <w:rPr/>
        <w:t>1998</w:t>
      </w:r>
      <w:r>
        <w:rPr>
          <w:rtl w:val="true"/>
        </w:rPr>
        <w:t xml:space="preserve"> (</w:t>
      </w:r>
      <w:r>
        <w:rPr>
          <w:rtl w:val="true"/>
        </w:rPr>
        <w:t>להלן יחדיו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המתלוננות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שאינן בנותיו הביולוגיות</w:t>
      </w:r>
      <w:r>
        <w:rPr>
          <w:rtl w:val="true"/>
        </w:rPr>
        <w:t xml:space="preserve">, </w:t>
      </w:r>
      <w:r>
        <w:rPr>
          <w:rtl w:val="true"/>
        </w:rPr>
        <w:t>אך הוא גידל אותן והתיימר לשמש עבורן דמות אב</w:t>
      </w:r>
      <w:r>
        <w:rPr>
          <w:rtl w:val="true"/>
        </w:rPr>
        <w:t xml:space="preserve">. </w:t>
      </w:r>
      <w:r>
        <w:rPr>
          <w:rtl w:val="true"/>
        </w:rPr>
        <w:t>במועדים שונים ביצע המערער עבירות מין במתלוננות</w:t>
      </w:r>
      <w:r>
        <w:rPr>
          <w:rtl w:val="true"/>
        </w:rPr>
        <w:t xml:space="preserve">, </w:t>
      </w:r>
      <w:r>
        <w:rPr>
          <w:rtl w:val="true"/>
        </w:rPr>
        <w:t>שלא בהסכמתן החופשית</w:t>
      </w:r>
      <w:r>
        <w:rPr>
          <w:rtl w:val="true"/>
        </w:rPr>
        <w:t xml:space="preserve">, </w:t>
      </w:r>
      <w:r>
        <w:rPr>
          <w:rtl w:val="true"/>
        </w:rPr>
        <w:t>תוך הפעלת לחץ</w:t>
      </w:r>
      <w:r>
        <w:rPr>
          <w:rtl w:val="true"/>
        </w:rPr>
        <w:t xml:space="preserve">, </w:t>
      </w:r>
      <w:r>
        <w:rPr>
          <w:rtl w:val="true"/>
        </w:rPr>
        <w:t>יצירת תלות וניצול רגשי</w:t>
      </w:r>
      <w:r>
        <w:rPr>
          <w:rtl w:val="true"/>
        </w:rPr>
        <w:t xml:space="preserve">. </w:t>
      </w:r>
      <w:r>
        <w:rPr>
          <w:rtl w:val="true"/>
        </w:rPr>
        <w:t>לעתים בוצעו המעשים בבית המשפחה בעת שהאֵם נחה לאחר קבלת טיפול תרופתי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 האישום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בשנת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עת הייתה א</w:t>
      </w:r>
      <w:r>
        <w:rPr>
          <w:rtl w:val="true"/>
        </w:rPr>
        <w:t xml:space="preserve">' </w:t>
      </w:r>
      <w:r>
        <w:rPr>
          <w:rtl w:val="true"/>
        </w:rPr>
        <w:t xml:space="preserve">כבת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היא סיפרה למערער שקיימה יחסי מין עם החבר שלה</w:t>
      </w:r>
      <w:r>
        <w:rPr>
          <w:rtl w:val="true"/>
        </w:rPr>
        <w:t xml:space="preserve">, </w:t>
      </w:r>
      <w:r>
        <w:rPr>
          <w:rtl w:val="true"/>
        </w:rPr>
        <w:t>ובתגובה הוביל אותה המערער לחדרה</w:t>
      </w:r>
      <w:r>
        <w:rPr>
          <w:rtl w:val="true"/>
        </w:rPr>
        <w:t xml:space="preserve">, </w:t>
      </w:r>
      <w:r>
        <w:rPr>
          <w:rtl w:val="true"/>
        </w:rPr>
        <w:t>הפשיט את בגדיה והפציר בה לקיים עמו יחסי מין תוך שאמר לה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: </w:t>
      </w:r>
      <w:r>
        <w:rPr>
          <w:rtl w:val="true"/>
        </w:rPr>
        <w:t>"</w:t>
      </w:r>
      <w:r>
        <w:rPr>
          <w:rtl w:val="true"/>
        </w:rPr>
        <w:t>כל מה שאני עושה בשבילך ועוזר לך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בהמשך פישק המערער את רגליה של א</w:t>
      </w:r>
      <w:r>
        <w:rPr>
          <w:rtl w:val="true"/>
        </w:rPr>
        <w:t xml:space="preserve">' </w:t>
      </w:r>
      <w:r>
        <w:rPr>
          <w:rtl w:val="true"/>
        </w:rPr>
        <w:t>ובעל אותה בכך שהחדיר את איבר מינו לאיבר מינה שלא בהסכמתה החופשית</w:t>
      </w:r>
      <w:r>
        <w:rPr>
          <w:rtl w:val="true"/>
        </w:rPr>
        <w:t xml:space="preserve">. </w:t>
      </w:r>
      <w:r>
        <w:rPr>
          <w:rtl w:val="true"/>
        </w:rPr>
        <w:t xml:space="preserve">לאחר מכן ועד לחודש יולי </w:t>
      </w:r>
      <w:r>
        <w:rPr/>
        <w:t>2020</w:t>
      </w:r>
      <w:r>
        <w:rPr>
          <w:rtl w:val="true"/>
        </w:rPr>
        <w:t xml:space="preserve">, </w:t>
      </w:r>
      <w:r>
        <w:rPr>
          <w:rtl w:val="true"/>
        </w:rPr>
        <w:t>בעל המערער את א</w:t>
      </w:r>
      <w:r>
        <w:rPr>
          <w:rtl w:val="true"/>
        </w:rPr>
        <w:t xml:space="preserve">' </w:t>
      </w:r>
      <w:r>
        <w:rPr>
          <w:rtl w:val="true"/>
        </w:rPr>
        <w:t>מספר פעמים נוספות</w:t>
      </w:r>
      <w:r>
        <w:rPr>
          <w:rtl w:val="true"/>
        </w:rPr>
        <w:t xml:space="preserve">, </w:t>
      </w:r>
      <w:r>
        <w:rPr>
          <w:rtl w:val="true"/>
        </w:rPr>
        <w:t>שלא בהסכמתה החופשית</w:t>
      </w:r>
      <w:r>
        <w:rPr>
          <w:rtl w:val="true"/>
        </w:rPr>
        <w:t xml:space="preserve">, </w:t>
      </w:r>
      <w:r>
        <w:rPr>
          <w:rtl w:val="true"/>
        </w:rPr>
        <w:t>בכך שהחדיר את איבר מינו לאיבר מינה</w:t>
      </w:r>
      <w:r>
        <w:rPr>
          <w:rtl w:val="true"/>
        </w:rPr>
        <w:t xml:space="preserve">. </w:t>
      </w:r>
      <w:r>
        <w:rPr>
          <w:rtl w:val="true"/>
        </w:rPr>
        <w:t>לפי כתב האישום</w:t>
      </w:r>
      <w:r>
        <w:rPr>
          <w:rtl w:val="true"/>
        </w:rPr>
        <w:t xml:space="preserve">, </w:t>
      </w:r>
      <w:r>
        <w:rPr>
          <w:rtl w:val="true"/>
        </w:rPr>
        <w:t>המערער נהג לבצע מעשים אלו תוך הפעלת לחץ על א</w:t>
      </w:r>
      <w:r>
        <w:rPr>
          <w:rtl w:val="true"/>
        </w:rPr>
        <w:t xml:space="preserve">', </w:t>
      </w:r>
      <w:r>
        <w:rPr>
          <w:rtl w:val="true"/>
        </w:rPr>
        <w:t xml:space="preserve">והוא אמר לה </w:t>
      </w:r>
      <w:r>
        <w:rPr>
          <w:rtl w:val="true"/>
        </w:rPr>
        <w:t>"</w:t>
      </w:r>
      <w:r>
        <w:rPr>
          <w:rtl w:val="true"/>
        </w:rPr>
        <w:t>מה יקרה כשאמא שלך תדע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ופירט את שמותיהם של הנערים שעמם קיימה א</w:t>
      </w:r>
      <w:r>
        <w:rPr>
          <w:rtl w:val="true"/>
        </w:rPr>
        <w:t xml:space="preserve">' </w:t>
      </w:r>
      <w:r>
        <w:rPr>
          <w:rtl w:val="true"/>
        </w:rPr>
        <w:t>קשרים</w:t>
      </w:r>
      <w:r>
        <w:rPr>
          <w:rtl w:val="true"/>
        </w:rPr>
        <w:t xml:space="preserve">; </w:t>
      </w:r>
      <w:r>
        <w:rPr>
          <w:rtl w:val="true"/>
        </w:rPr>
        <w:t>הוסיף כי אמהּ תתאכזב ממנה ותכעס עליה</w:t>
      </w:r>
      <w:r>
        <w:rPr>
          <w:rtl w:val="true"/>
        </w:rPr>
        <w:t xml:space="preserve">; </w:t>
      </w:r>
      <w:r>
        <w:rPr>
          <w:rtl w:val="true"/>
        </w:rPr>
        <w:t>איים שיעזוב את הבית</w:t>
      </w:r>
      <w:r>
        <w:rPr>
          <w:rtl w:val="true"/>
        </w:rPr>
        <w:t xml:space="preserve">; </w:t>
      </w:r>
      <w:r>
        <w:rPr>
          <w:rtl w:val="true"/>
        </w:rPr>
        <w:t>ואמר לא</w:t>
      </w:r>
      <w:r>
        <w:rPr>
          <w:rtl w:val="true"/>
        </w:rPr>
        <w:t xml:space="preserve">' </w:t>
      </w:r>
      <w:r>
        <w:rPr>
          <w:rtl w:val="true"/>
        </w:rPr>
        <w:t>שאם תספר לאמהּ על מעשיו</w:t>
      </w:r>
      <w:r>
        <w:rPr>
          <w:rtl w:val="true"/>
        </w:rPr>
        <w:t xml:space="preserve">, </w:t>
      </w:r>
      <w:r>
        <w:rPr>
          <w:rtl w:val="true"/>
        </w:rPr>
        <w:t>הוא יהיה בכלא</w:t>
      </w:r>
      <w:r>
        <w:rPr>
          <w:rtl w:val="true"/>
        </w:rPr>
        <w:t xml:space="preserve">, </w:t>
      </w:r>
      <w:r>
        <w:rPr>
          <w:rtl w:val="true"/>
        </w:rPr>
        <w:t>האֵם תמות וא</w:t>
      </w:r>
      <w:r>
        <w:rPr>
          <w:rtl w:val="true"/>
        </w:rPr>
        <w:t xml:space="preserve">' </w:t>
      </w:r>
      <w:r>
        <w:rPr>
          <w:rtl w:val="true"/>
        </w:rPr>
        <w:t>תישאר לבדה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לפי האישום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בסמוך לחודש מאי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כשב</w:t>
      </w:r>
      <w:r>
        <w:rPr>
          <w:rtl w:val="true"/>
        </w:rPr>
        <w:t xml:space="preserve">' </w:t>
      </w:r>
      <w:r>
        <w:rPr>
          <w:rtl w:val="true"/>
        </w:rPr>
        <w:t xml:space="preserve">הייתה כבת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החל המערער לנהל עמה שיחות בנושאים מיניים בין היתר באשר ליחסיה עם אחד מבניו של המערער</w:t>
      </w:r>
      <w:r>
        <w:rPr>
          <w:rtl w:val="true"/>
        </w:rPr>
        <w:t xml:space="preserve">. </w:t>
      </w:r>
      <w:r>
        <w:rPr>
          <w:rtl w:val="true"/>
        </w:rPr>
        <w:t>במועדים שונים הפציר המערער בב</w:t>
      </w:r>
      <w:r>
        <w:rPr>
          <w:rtl w:val="true"/>
        </w:rPr>
        <w:t xml:space="preserve">' </w:t>
      </w:r>
      <w:r>
        <w:rPr>
          <w:rtl w:val="true"/>
        </w:rPr>
        <w:t>לקיים עמו יחסי מין</w:t>
      </w:r>
      <w:r>
        <w:rPr>
          <w:rtl w:val="true"/>
        </w:rPr>
        <w:t xml:space="preserve">, </w:t>
      </w:r>
      <w:r>
        <w:rPr>
          <w:rtl w:val="true"/>
        </w:rPr>
        <w:t>ואמר לה שיחדל כשהיא תהיה עם בנו</w:t>
      </w:r>
      <w:r>
        <w:rPr>
          <w:rtl w:val="true"/>
        </w:rPr>
        <w:t xml:space="preserve">. </w:t>
      </w:r>
      <w:r>
        <w:rPr>
          <w:rtl w:val="true"/>
        </w:rPr>
        <w:t>עוד לקח המערער את ב</w:t>
      </w:r>
      <w:r>
        <w:rPr>
          <w:rtl w:val="true"/>
        </w:rPr>
        <w:t xml:space="preserve">' </w:t>
      </w:r>
      <w:r>
        <w:rPr>
          <w:rtl w:val="true"/>
        </w:rPr>
        <w:t>לחדר השינה שלו ושל אמהּ</w:t>
      </w:r>
      <w:r>
        <w:rPr>
          <w:rtl w:val="true"/>
        </w:rPr>
        <w:t xml:space="preserve">, </w:t>
      </w:r>
      <w:r>
        <w:rPr>
          <w:rtl w:val="true"/>
        </w:rPr>
        <w:t xml:space="preserve">אמר לה להוריד את תחתוניה וביקש ממנה לבצע בו מין אוראלי באומרו כי הוא </w:t>
      </w:r>
      <w:r>
        <w:rPr>
          <w:rtl w:val="true"/>
        </w:rPr>
        <w:t>"</w:t>
      </w:r>
      <w:r>
        <w:rPr>
          <w:rtl w:val="true"/>
        </w:rPr>
        <w:t>ילמד אותה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סירבה</w:t>
      </w:r>
      <w:r>
        <w:rPr>
          <w:rtl w:val="true"/>
        </w:rPr>
        <w:t xml:space="preserve">, </w:t>
      </w:r>
      <w:r>
        <w:rPr>
          <w:rtl w:val="true"/>
        </w:rPr>
        <w:t>אך המערער מרח שמן על איבר מינו ובעל את ב</w:t>
      </w:r>
      <w:r>
        <w:rPr>
          <w:rtl w:val="true"/>
        </w:rPr>
        <w:t xml:space="preserve">' </w:t>
      </w:r>
      <w:r>
        <w:rPr>
          <w:rtl w:val="true"/>
        </w:rPr>
        <w:t>בכך שהחדיר את איבר מינו לאיבר מינה</w:t>
      </w:r>
      <w:r>
        <w:rPr>
          <w:rtl w:val="true"/>
        </w:rPr>
        <w:t xml:space="preserve">, </w:t>
      </w:r>
      <w:r>
        <w:rPr>
          <w:rtl w:val="true"/>
        </w:rPr>
        <w:t>חרף בקשתה שיפסיק</w:t>
      </w:r>
      <w:r>
        <w:rPr>
          <w:rtl w:val="true"/>
        </w:rPr>
        <w:t xml:space="preserve">. </w:t>
      </w:r>
      <w:r>
        <w:rPr>
          <w:rtl w:val="true"/>
        </w:rPr>
        <w:t>בתקופה העוקבת בעל המערער את ב</w:t>
      </w:r>
      <w:r>
        <w:rPr>
          <w:rtl w:val="true"/>
        </w:rPr>
        <w:t xml:space="preserve">' </w:t>
      </w:r>
      <w:r>
        <w:rPr>
          <w:rtl w:val="true"/>
        </w:rPr>
        <w:t>מספר פעמים</w:t>
      </w:r>
      <w:r>
        <w:rPr>
          <w:rtl w:val="true"/>
        </w:rPr>
        <w:t xml:space="preserve">, </w:t>
      </w:r>
      <w:r>
        <w:rPr>
          <w:rtl w:val="true"/>
        </w:rPr>
        <w:t xml:space="preserve">עד שהגיעה לגיל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בכך שהחדיר את איבר מינו לאיבר מינה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 שימוש באיומים ובסחיטה רגשית באומרו לב</w:t>
      </w:r>
      <w:r>
        <w:rPr>
          <w:rtl w:val="true"/>
        </w:rPr>
        <w:t xml:space="preserve">' </w:t>
      </w:r>
      <w:r>
        <w:rPr>
          <w:rtl w:val="true"/>
        </w:rPr>
        <w:t>כי הוא עומד לעזוב את אמהּ וכי חייה</w:t>
      </w:r>
      <w:r>
        <w:rPr>
          <w:rtl w:val="true"/>
        </w:rPr>
        <w:t xml:space="preserve">, </w:t>
      </w:r>
      <w:r>
        <w:rPr>
          <w:rtl w:val="true"/>
        </w:rPr>
        <w:t>חיי אמהּ וחיי אחיותיה ייהרסו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לפי האישום השלישי</w:t>
      </w:r>
      <w:r>
        <w:rPr>
          <w:rtl w:val="true"/>
        </w:rPr>
        <w:t xml:space="preserve">, </w:t>
      </w:r>
      <w:r>
        <w:rPr>
          <w:rtl w:val="true"/>
        </w:rPr>
        <w:t xml:space="preserve">בסוף שנת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עת הייתה ג</w:t>
      </w:r>
      <w:r>
        <w:rPr>
          <w:rtl w:val="true"/>
        </w:rPr>
        <w:t xml:space="preserve">' </w:t>
      </w:r>
      <w:r>
        <w:rPr>
          <w:rtl w:val="true"/>
        </w:rPr>
        <w:t xml:space="preserve">כבת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היא החלה לקיים קשר רומנטי עם אחד מבניו של המערער</w:t>
      </w:r>
      <w:r>
        <w:rPr>
          <w:rtl w:val="true"/>
        </w:rPr>
        <w:t xml:space="preserve">, </w:t>
      </w:r>
      <w:r>
        <w:rPr>
          <w:rtl w:val="true"/>
        </w:rPr>
        <w:t>והמערער שאל את ג</w:t>
      </w:r>
      <w:r>
        <w:rPr>
          <w:rtl w:val="true"/>
        </w:rPr>
        <w:t xml:space="preserve">' </w:t>
      </w:r>
      <w:r>
        <w:rPr>
          <w:rtl w:val="true"/>
        </w:rPr>
        <w:t>אם קרה ביניהם משהו מיני</w:t>
      </w:r>
      <w:r>
        <w:rPr>
          <w:rtl w:val="true"/>
        </w:rPr>
        <w:t xml:space="preserve">. </w:t>
      </w:r>
      <w:r>
        <w:rPr>
          <w:rtl w:val="true"/>
        </w:rPr>
        <w:t>מספר ימים לאחר מכן</w:t>
      </w:r>
      <w:r>
        <w:rPr>
          <w:rtl w:val="true"/>
        </w:rPr>
        <w:t xml:space="preserve">, </w:t>
      </w:r>
      <w:r>
        <w:rPr>
          <w:rtl w:val="true"/>
        </w:rPr>
        <w:t>בעת שג</w:t>
      </w:r>
      <w:r>
        <w:rPr>
          <w:rtl w:val="true"/>
        </w:rPr>
        <w:t xml:space="preserve">' </w:t>
      </w:r>
      <w:r>
        <w:rPr>
          <w:rtl w:val="true"/>
        </w:rPr>
        <w:t>והמערער נסעו יחד ברכבו</w:t>
      </w:r>
      <w:r>
        <w:rPr>
          <w:rtl w:val="true"/>
        </w:rPr>
        <w:t xml:space="preserve">, </w:t>
      </w:r>
      <w:r>
        <w:rPr>
          <w:rtl w:val="true"/>
        </w:rPr>
        <w:t>עצר המערער את הרכב</w:t>
      </w:r>
      <w:r>
        <w:rPr>
          <w:rtl w:val="true"/>
        </w:rPr>
        <w:t xml:space="preserve">, </w:t>
      </w:r>
      <w:r>
        <w:rPr>
          <w:rtl w:val="true"/>
        </w:rPr>
        <w:t>הניח את ידו על חזהּ של ג</w:t>
      </w:r>
      <w:r>
        <w:rPr>
          <w:rtl w:val="true"/>
        </w:rPr>
        <w:t xml:space="preserve">' </w:t>
      </w:r>
      <w:r>
        <w:rPr>
          <w:rtl w:val="true"/>
        </w:rPr>
        <w:t xml:space="preserve">ואמר לה כי אינו יכול לעמוד בפיתוי </w:t>
      </w:r>
      <w:r>
        <w:rPr>
          <w:rtl w:val="true"/>
        </w:rPr>
        <w:t>(</w:t>
      </w:r>
      <w:r>
        <w:rPr>
          <w:rtl w:val="true"/>
        </w:rPr>
        <w:t>או אמירה דומה לכך</w:t>
      </w:r>
      <w:r>
        <w:rPr>
          <w:rtl w:val="true"/>
        </w:rPr>
        <w:t xml:space="preserve">). </w:t>
      </w:r>
      <w:r>
        <w:rPr>
          <w:rtl w:val="true"/>
        </w:rPr>
        <w:t>המערער הוציא את איבר מינו</w:t>
      </w:r>
      <w:r>
        <w:rPr>
          <w:rtl w:val="true"/>
        </w:rPr>
        <w:t xml:space="preserve">, </w:t>
      </w:r>
      <w:r>
        <w:rPr>
          <w:rtl w:val="true"/>
        </w:rPr>
        <w:t>אחז בראשה של ג</w:t>
      </w:r>
      <w:r>
        <w:rPr>
          <w:rtl w:val="true"/>
        </w:rPr>
        <w:t xml:space="preserve">' </w:t>
      </w:r>
      <w:r>
        <w:rPr>
          <w:rtl w:val="true"/>
        </w:rPr>
        <w:t>והחל לדחוף אותו לכיוון איבר מינו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ניסתה להתנגד</w:t>
      </w:r>
      <w:r>
        <w:rPr>
          <w:rtl w:val="true"/>
        </w:rPr>
        <w:t xml:space="preserve">, </w:t>
      </w:r>
      <w:r>
        <w:rPr>
          <w:rtl w:val="true"/>
        </w:rPr>
        <w:t>אך המערער המשיך במעשיו באומרו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"</w:t>
      </w:r>
      <w:r>
        <w:rPr>
          <w:rtl w:val="true"/>
        </w:rPr>
        <w:t>כפרה עלייך פעם אחת תגשימי לי את הפנטזיה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 xml:space="preserve">', </w:t>
      </w:r>
      <w:r>
        <w:rPr>
          <w:rtl w:val="true"/>
        </w:rPr>
        <w:t>שפחדה מן המערער</w:t>
      </w:r>
      <w:r>
        <w:rPr>
          <w:rtl w:val="true"/>
        </w:rPr>
        <w:t xml:space="preserve">, </w:t>
      </w:r>
      <w:r>
        <w:rPr>
          <w:rtl w:val="true"/>
        </w:rPr>
        <w:t>עשתה כבקשתו ומצצה את איבר מינו תוך שהוא אוחז בראשה בחוזקה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ועד שהגיעה ג</w:t>
      </w:r>
      <w:r>
        <w:rPr>
          <w:rtl w:val="true"/>
        </w:rPr>
        <w:t xml:space="preserve">' </w:t>
      </w:r>
      <w:r>
        <w:rPr>
          <w:rtl w:val="true"/>
        </w:rPr>
        <w:t xml:space="preserve">לגיל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 xml:space="preserve">בעל אותה המערער מספר פעמים בכך שהחדיר את איבר מינו לאיבר מינה </w:t>
      </w:r>
      <w:r>
        <w:rPr>
          <w:rtl w:val="true"/>
        </w:rPr>
        <w:t>–</w:t>
      </w:r>
      <w:r>
        <w:rPr>
          <w:rtl w:val="true"/>
        </w:rPr>
        <w:t xml:space="preserve"> והכל תחת איומים וסחיטה רגשית</w:t>
      </w:r>
      <w:r>
        <w:rPr>
          <w:rtl w:val="true"/>
        </w:rPr>
        <w:t xml:space="preserve">, </w:t>
      </w:r>
      <w:r>
        <w:rPr>
          <w:rtl w:val="true"/>
        </w:rPr>
        <w:t>תוך שאמר לג</w:t>
      </w:r>
      <w:r>
        <w:rPr>
          <w:rtl w:val="true"/>
        </w:rPr>
        <w:t xml:space="preserve">' </w:t>
      </w:r>
      <w:r>
        <w:rPr>
          <w:rtl w:val="true"/>
        </w:rPr>
        <w:t xml:space="preserve">כי אם לא תגשים את הפנטזיות שלו הוא יחשוף את סודותיה וירע לאחיותיה ולאמהּ עד שהיא תמות או תתאבד </w:t>
      </w:r>
      <w:r>
        <w:rPr>
          <w:rtl w:val="true"/>
        </w:rPr>
        <w:t>(</w:t>
      </w:r>
      <w:r>
        <w:rPr>
          <w:rtl w:val="true"/>
        </w:rPr>
        <w:t>או אמירה דומה לכך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כתב האישום המקורי שהוגש נגד המערער בחודש אוגוסט 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>התייחס לעבירות כלפי א</w:t>
      </w:r>
      <w:r>
        <w:rPr>
          <w:rtl w:val="true"/>
        </w:rPr>
        <w:t xml:space="preserve">' </w:t>
      </w:r>
      <w:r>
        <w:rPr>
          <w:rtl w:val="true"/>
        </w:rPr>
        <w:t>וב</w:t>
      </w:r>
      <w:r>
        <w:rPr>
          <w:rtl w:val="true"/>
        </w:rPr>
        <w:t xml:space="preserve">'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ובהמשך תוקן כך שצורף לו אישום המתייחס למעשים כלפי ג</w:t>
      </w:r>
      <w:r>
        <w:rPr>
          <w:rtl w:val="true"/>
        </w:rPr>
        <w:t xml:space="preserve">'. </w:t>
      </w:r>
      <w:r>
        <w:rPr>
          <w:rtl w:val="true"/>
        </w:rPr>
        <w:t>במקביל התקיים הליך גישור בפני נשיאת בית המשפט המחוזי בבאר שבע</w:t>
      </w:r>
      <w:r>
        <w:rPr>
          <w:rtl w:val="true"/>
        </w:rPr>
        <w:t xml:space="preserve">,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יפה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ץ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אך לא הושגו הסכמות והמערער כפר במיוחס לו</w:t>
      </w:r>
      <w:r>
        <w:rPr>
          <w:rtl w:val="true"/>
        </w:rPr>
        <w:t xml:space="preserve">. </w:t>
      </w:r>
      <w:r>
        <w:rPr>
          <w:rtl w:val="true"/>
        </w:rPr>
        <w:t>לפיכך נקבעו דיוני הוכחות בהליך ונקבע כי עדותה של ב</w:t>
      </w:r>
      <w:r>
        <w:rPr>
          <w:rtl w:val="true"/>
        </w:rPr>
        <w:t xml:space="preserve">' </w:t>
      </w:r>
      <w:r>
        <w:rPr>
          <w:rtl w:val="true"/>
        </w:rPr>
        <w:t>תישמע ראשונה</w:t>
      </w:r>
      <w:r>
        <w:rPr>
          <w:rtl w:val="true"/>
        </w:rPr>
        <w:t xml:space="preserve">. </w:t>
      </w:r>
      <w:r>
        <w:rPr>
          <w:rtl w:val="true"/>
        </w:rPr>
        <w:t xml:space="preserve">במהלך דיון הוכחות שהתקיים ביום </w:t>
      </w:r>
      <w:r>
        <w:rPr/>
        <w:t>13.7.2021</w:t>
      </w:r>
      <w:r>
        <w:rPr>
          <w:rtl w:val="true"/>
        </w:rPr>
        <w:t xml:space="preserve">, </w:t>
      </w:r>
      <w:r>
        <w:rPr>
          <w:rtl w:val="true"/>
        </w:rPr>
        <w:t>לאחר שב</w:t>
      </w:r>
      <w:r>
        <w:rPr>
          <w:rtl w:val="true"/>
        </w:rPr>
        <w:t xml:space="preserve">' </w:t>
      </w:r>
      <w:r>
        <w:rPr>
          <w:rtl w:val="true"/>
        </w:rPr>
        <w:t>החלה להעיד בחקירה ראשית</w:t>
      </w:r>
      <w:r>
        <w:rPr>
          <w:rtl w:val="true"/>
        </w:rPr>
        <w:t xml:space="preserve">, </w:t>
      </w:r>
      <w:r>
        <w:rPr>
          <w:rtl w:val="true"/>
        </w:rPr>
        <w:t>ביקש המערער הפסקה ולאחריה הודיע כי הוא מקבל את ההסדר שהוצע בגישור</w:t>
      </w:r>
      <w:r>
        <w:rPr>
          <w:rtl w:val="true"/>
        </w:rPr>
        <w:t xml:space="preserve">. </w:t>
      </w:r>
      <w:r>
        <w:rPr>
          <w:rtl w:val="true"/>
        </w:rPr>
        <w:t>בעקבות זאת הותר למערער לחזור בו מכפירתו וכתב האישום נגדו תוקן פעם נוספת</w:t>
      </w:r>
      <w:r>
        <w:rPr>
          <w:rtl w:val="true"/>
        </w:rPr>
        <w:t xml:space="preserve">. </w:t>
      </w:r>
      <w:r>
        <w:rPr>
          <w:rtl w:val="true"/>
        </w:rPr>
        <w:t>לאחר שהמערער התייחס לכל אחד מן האישומים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הרשיע אותו בית המשפט קמא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אינוס</w:t>
      </w:r>
      <w:r>
        <w:rPr>
          <w:rtl w:val="true"/>
        </w:rPr>
        <w:t xml:space="preserve"> </w:t>
      </w:r>
      <w:r>
        <w:rPr>
          <w:rtl w:val="true"/>
        </w:rPr>
        <w:t>קטינה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11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2"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ה</w:t>
      </w:r>
      <w:r>
        <w:rPr>
          <w:rFonts w:ascii="Arial TUR;Arial" w:hAnsi="Arial TUR;Arial" w:cs="Arial TUR;Arial"/>
          <w:sz w:val="22"/>
          <w:sz w:val="22"/>
          <w:rtl w:val="true"/>
        </w:rPr>
        <w:t>תשל</w:t>
      </w:r>
      <w:r>
        <w:rPr>
          <w:rFonts w:cs="Arial TUR;Arial" w:ascii="Arial TUR;Arial" w:hAnsi="Arial TUR;Arial"/>
          <w:sz w:val="22"/>
          <w:rtl w:val="true"/>
        </w:rPr>
        <w:t>"</w:t>
      </w:r>
      <w:r>
        <w:rPr>
          <w:rFonts w:ascii="Arial TUR;Arial" w:hAnsi="Arial TUR;Arial" w:cs="Arial TUR;Arial"/>
          <w:sz w:val="22"/>
          <w:sz w:val="22"/>
          <w:rtl w:val="true"/>
        </w:rPr>
        <w:t>ז</w:t>
      </w:r>
      <w:r>
        <w:rPr>
          <w:rFonts w:cs="Arial TUR;Arial" w:ascii="Arial TUR;Arial" w:hAnsi="Arial TUR;Arial"/>
          <w:sz w:val="22"/>
          <w:rtl w:val="true"/>
        </w:rPr>
        <w:t>-</w:t>
      </w:r>
      <w:r>
        <w:rPr>
          <w:rFonts w:cs="Arial TUR;Arial" w:ascii="Arial TUR;Arial" w:hAnsi="Arial TUR;Arial"/>
          <w:sz w:val="22"/>
        </w:rPr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 xml:space="preserve">וכן בעבירת מין במשפחה </w:t>
      </w:r>
      <w:r>
        <w:rPr>
          <w:rtl w:val="true"/>
        </w:rPr>
        <w:t>(</w:t>
      </w:r>
      <w:r>
        <w:rPr>
          <w:rtl w:val="true"/>
        </w:rPr>
        <w:t>מעשה סדום בקטינה</w:t>
      </w:r>
      <w:r>
        <w:rPr>
          <w:rtl w:val="true"/>
        </w:rPr>
        <w:t xml:space="preserve">) </w:t>
      </w:r>
      <w:r>
        <w:rPr>
          <w:rtl w:val="true"/>
        </w:rPr>
        <w:t xml:space="preserve">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15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6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העונשין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בהסדר הטיעון צוין כי המשיבה תטען לעונש של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 מאסר וההגנה תטען לעניין העונש כראות עיניה</w:t>
      </w:r>
      <w:r>
        <w:rPr>
          <w:rtl w:val="true"/>
        </w:rPr>
        <w:t xml:space="preserve">; </w:t>
      </w:r>
      <w:r>
        <w:rPr>
          <w:rtl w:val="true"/>
        </w:rPr>
        <w:t>כי יוטל על המערער מאסר על תנאי בהתאם לשיקול דעת בית המשפט</w:t>
      </w:r>
      <w:r>
        <w:rPr>
          <w:rtl w:val="true"/>
        </w:rPr>
        <w:t xml:space="preserve">; </w:t>
      </w:r>
      <w:r>
        <w:rPr>
          <w:rtl w:val="true"/>
        </w:rPr>
        <w:t>וכי הצדדים לא הגיעו להסכמה באשר לרכיב הפיצוי</w:t>
      </w:r>
      <w:r>
        <w:rPr>
          <w:rtl w:val="true"/>
        </w:rPr>
        <w:t xml:space="preserve">. </w:t>
      </w:r>
      <w:r>
        <w:rPr>
          <w:rtl w:val="true"/>
        </w:rPr>
        <w:t>על רקע זה טענו באי</w:t>
      </w:r>
      <w:r>
        <w:rPr>
          <w:rtl w:val="true"/>
        </w:rPr>
        <w:t>-</w:t>
      </w:r>
      <w:r>
        <w:rPr>
          <w:rtl w:val="true"/>
        </w:rPr>
        <w:t>כוח הצדדים לעניין העונש</w:t>
      </w:r>
      <w:r>
        <w:rPr>
          <w:rtl w:val="true"/>
        </w:rPr>
        <w:t xml:space="preserve">, </w:t>
      </w:r>
      <w:r>
        <w:rPr>
          <w:rtl w:val="true"/>
        </w:rPr>
        <w:t>הוגש הרישום הפלילי של המערער לבית המשפט</w:t>
      </w:r>
      <w:r>
        <w:rPr>
          <w:rtl w:val="true"/>
        </w:rPr>
        <w:t xml:space="preserve">, </w:t>
      </w:r>
      <w:r>
        <w:rPr>
          <w:rtl w:val="true"/>
        </w:rPr>
        <w:t>ובאת</w:t>
      </w:r>
      <w:r>
        <w:rPr>
          <w:rtl w:val="true"/>
        </w:rPr>
        <w:t>-</w:t>
      </w:r>
      <w:r>
        <w:rPr>
          <w:rtl w:val="true"/>
        </w:rPr>
        <w:t xml:space="preserve">כוח המשיבה הבהירה </w:t>
      </w:r>
      <w:r>
        <w:rPr>
          <w:rtl w:val="true"/>
        </w:rPr>
        <w:t>"</w:t>
      </w:r>
      <w:r>
        <w:rPr>
          <w:rtl w:val="true"/>
        </w:rPr>
        <w:t>אנו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מבקשים</w:t>
      </w:r>
      <w:r>
        <w:rPr>
          <w:rtl w:val="true"/>
        </w:rPr>
        <w:t xml:space="preserve"> </w:t>
      </w:r>
      <w:r>
        <w:rPr>
          <w:rtl w:val="true"/>
        </w:rPr>
        <w:t>תסקירי</w:t>
      </w:r>
      <w:r>
        <w:rPr>
          <w:rtl w:val="true"/>
        </w:rPr>
        <w:t xml:space="preserve"> </w:t>
      </w:r>
      <w:r>
        <w:rPr>
          <w:rtl w:val="true"/>
        </w:rPr>
        <w:t>נפגעות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והסנגור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יבקש</w:t>
      </w:r>
      <w:r>
        <w:rPr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הבנות</w:t>
      </w:r>
      <w:r>
        <w:rPr>
          <w:rtl w:val="true"/>
        </w:rPr>
        <w:t xml:space="preserve"> </w:t>
      </w:r>
      <w:r>
        <w:rPr>
          <w:rtl w:val="true"/>
        </w:rPr>
        <w:t>שהיו</w:t>
      </w:r>
      <w:r>
        <w:rPr>
          <w:rtl w:val="true"/>
        </w:rPr>
        <w:t xml:space="preserve"> </w:t>
      </w:r>
      <w:r>
        <w:rPr>
          <w:rtl w:val="true"/>
        </w:rPr>
        <w:t>בגישור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כמו כן נשמע באותו שלב המערער</w:t>
      </w:r>
      <w:r>
        <w:rPr>
          <w:rtl w:val="true"/>
        </w:rPr>
        <w:t xml:space="preserve">; </w:t>
      </w:r>
      <w:r>
        <w:rPr>
          <w:rtl w:val="true"/>
        </w:rPr>
        <w:t>ואמן של המתלוננות</w:t>
      </w:r>
      <w:r>
        <w:rPr>
          <w:rtl w:val="true"/>
        </w:rPr>
        <w:t xml:space="preserve">, </w:t>
      </w:r>
      <w:r>
        <w:rPr>
          <w:rtl w:val="true"/>
        </w:rPr>
        <w:t>שנשמעה אף היא</w:t>
      </w:r>
      <w:r>
        <w:rPr>
          <w:rtl w:val="true"/>
        </w:rPr>
        <w:t xml:space="preserve">, </w:t>
      </w:r>
      <w:r>
        <w:rPr>
          <w:rtl w:val="true"/>
        </w:rPr>
        <w:t>התייחסה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למצבן של המתלוננות</w:t>
      </w:r>
      <w:r>
        <w:rPr>
          <w:rtl w:val="true"/>
        </w:rPr>
        <w:t xml:space="preserve">. </w:t>
      </w:r>
      <w:r>
        <w:rPr>
          <w:rtl w:val="true"/>
        </w:rPr>
        <w:t>לאחר הדיון הגישו הצדדים מסמכים נוספים מטעמם</w:t>
      </w:r>
      <w:r>
        <w:rPr>
          <w:rtl w:val="true"/>
        </w:rPr>
        <w:t xml:space="preserve">: </w:t>
      </w:r>
      <w:r>
        <w:rPr>
          <w:rtl w:val="true"/>
        </w:rPr>
        <w:t>המשיבה הגישה מסמכים רפואיים וטיפוליים בנוגע למצבן הנפשי של המתלוננות והצהרות מטעם ב</w:t>
      </w:r>
      <w:r>
        <w:rPr>
          <w:rtl w:val="true"/>
        </w:rPr>
        <w:t xml:space="preserve">' </w:t>
      </w:r>
      <w:r>
        <w:rPr>
          <w:rtl w:val="true"/>
        </w:rPr>
        <w:t>וג</w:t>
      </w:r>
      <w:r>
        <w:rPr>
          <w:rtl w:val="true"/>
        </w:rPr>
        <w:t xml:space="preserve">', </w:t>
      </w:r>
      <w:r>
        <w:rPr>
          <w:rtl w:val="true"/>
        </w:rPr>
        <w:t>והמערער הגיש מסמכים המעידים על מצבו הרפואי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14.10.2021</w:t>
      </w:r>
      <w:r>
        <w:rPr>
          <w:rtl w:val="true"/>
        </w:rPr>
        <w:t xml:space="preserve"> </w:t>
      </w:r>
      <w:r>
        <w:rPr>
          <w:rtl w:val="true"/>
        </w:rPr>
        <w:t xml:space="preserve">ניתן גזר הדין בעניינו של המערער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אינפלד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בהסכמת סגן הנשיאה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ואגו</w:t>
      </w:r>
      <w:r>
        <w:rPr>
          <w:rtl w:val="true"/>
        </w:rPr>
        <w:t xml:space="preserve"> והשופט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</w:t>
      </w:r>
      <w:r>
        <w:rPr>
          <w:rtl w:val="true"/>
        </w:rPr>
        <w:t xml:space="preserve">). </w:t>
      </w:r>
      <w:r>
        <w:rPr>
          <w:rtl w:val="true"/>
        </w:rPr>
        <w:t>בית המשפט עמד על כך שבעקבות הודאת המערער נחסכו המשך שמיעת עדותה של ב</w:t>
      </w:r>
      <w:r>
        <w:rPr>
          <w:rtl w:val="true"/>
        </w:rPr>
        <w:t xml:space="preserve">' </w:t>
      </w:r>
      <w:r>
        <w:rPr>
          <w:rtl w:val="true"/>
        </w:rPr>
        <w:t>ושמיעת יתר המתלוננות</w:t>
      </w:r>
      <w:r>
        <w:rPr>
          <w:rtl w:val="true"/>
        </w:rPr>
        <w:t xml:space="preserve">, </w:t>
      </w:r>
      <w:r>
        <w:rPr>
          <w:rtl w:val="true"/>
        </w:rPr>
        <w:t>וכן נחסך המשך שמיעת הראיות</w:t>
      </w:r>
      <w:r>
        <w:rPr>
          <w:rtl w:val="true"/>
        </w:rPr>
        <w:t xml:space="preserve">. </w:t>
      </w:r>
      <w:r>
        <w:rPr>
          <w:rtl w:val="true"/>
        </w:rPr>
        <w:t>עוד צוין כי המערער הצהיר שהבין את הפסול שבהתנהגותו</w:t>
      </w:r>
      <w:r>
        <w:rPr>
          <w:rtl w:val="true"/>
        </w:rPr>
        <w:t xml:space="preserve">, </w:t>
      </w:r>
      <w:r>
        <w:rPr>
          <w:rtl w:val="true"/>
        </w:rPr>
        <w:t>והצהיר שהפעיל על המתלוננות לחץ רגשי שאינו ראוי ואינו מתאים לגילן</w:t>
      </w:r>
      <w:r>
        <w:rPr>
          <w:rtl w:val="true"/>
        </w:rPr>
        <w:t xml:space="preserve">, </w:t>
      </w:r>
      <w:r>
        <w:rPr>
          <w:rtl w:val="true"/>
        </w:rPr>
        <w:t>אשר הובילן לקיים עמו יחסי מין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כך צוין</w:t>
      </w:r>
      <w:r>
        <w:rPr>
          <w:rtl w:val="true"/>
        </w:rPr>
        <w:t xml:space="preserve">, </w:t>
      </w:r>
      <w:r>
        <w:rPr>
          <w:rtl w:val="true"/>
        </w:rPr>
        <w:t>בדברים שאמר המערער בפני בית המשפט הוא פתח בתיאור מצבו הרפואי וציין שלא ביצע את מעשיו מתוך רשעות אלא מהיעדר הבנה שלו או של המתלוננות</w:t>
      </w:r>
      <w:r>
        <w:rPr>
          <w:rtl w:val="true"/>
        </w:rPr>
        <w:t xml:space="preserve">, </w:t>
      </w:r>
      <w:r>
        <w:rPr>
          <w:rtl w:val="true"/>
        </w:rPr>
        <w:t xml:space="preserve">וציין </w:t>
      </w:r>
      <w:r>
        <w:rPr>
          <w:rtl w:val="true"/>
        </w:rPr>
        <w:t>"</w:t>
      </w:r>
      <w:r>
        <w:rPr>
          <w:rtl w:val="true"/>
        </w:rPr>
        <w:t>הם</w:t>
      </w:r>
      <w:r>
        <w:rPr>
          <w:rtl w:val="true"/>
        </w:rPr>
        <w:t xml:space="preserve"> </w:t>
      </w:r>
      <w:r>
        <w:rPr>
          <w:rtl w:val="true"/>
        </w:rPr>
        <w:t>רגשית</w:t>
      </w:r>
      <w:r>
        <w:rPr>
          <w:rtl w:val="true"/>
        </w:rPr>
        <w:t xml:space="preserve"> </w:t>
      </w:r>
      <w:r>
        <w:rPr>
          <w:rtl w:val="true"/>
        </w:rPr>
        <w:t>ואני</w:t>
      </w:r>
      <w:r>
        <w:rPr>
          <w:rtl w:val="true"/>
        </w:rPr>
        <w:t xml:space="preserve"> </w:t>
      </w:r>
      <w:r>
        <w:rPr>
          <w:rtl w:val="true"/>
        </w:rPr>
        <w:t>רגשית</w:t>
      </w:r>
      <w:r>
        <w:rPr>
          <w:rtl w:val="true"/>
        </w:rPr>
        <w:t xml:space="preserve"> </w:t>
      </w:r>
      <w:r>
        <w:rPr>
          <w:rtl w:val="true"/>
        </w:rPr>
        <w:t>ומשכתי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 </w:t>
      </w:r>
      <w:r>
        <w:rPr>
          <w:rtl w:val="true"/>
        </w:rPr>
        <w:t>לכיוון</w:t>
      </w:r>
      <w:r>
        <w:rPr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 </w:t>
      </w:r>
      <w:r>
        <w:rPr>
          <w:rtl w:val="true"/>
        </w:rPr>
        <w:t>וקרו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כך הוסבר</w:t>
      </w:r>
      <w:r>
        <w:rPr>
          <w:rtl w:val="true"/>
        </w:rPr>
        <w:t xml:space="preserve">, </w:t>
      </w:r>
      <w:r>
        <w:rPr>
          <w:rtl w:val="true"/>
        </w:rPr>
        <w:t>התנסח מעט אחרת לאחר שקיבל תזכורת בדבר חומרת מעשיו</w:t>
      </w:r>
      <w:r>
        <w:rPr>
          <w:rtl w:val="true"/>
        </w:rPr>
        <w:t xml:space="preserve">, </w:t>
      </w:r>
      <w:r>
        <w:rPr>
          <w:rtl w:val="true"/>
        </w:rPr>
        <w:t>וציין כי ייתכן שחשב בעבר שמעשיו אינם נוראיים</w:t>
      </w:r>
      <w:r>
        <w:rPr>
          <w:rtl w:val="true"/>
        </w:rPr>
        <w:t xml:space="preserve">, </w:t>
      </w:r>
      <w:r>
        <w:rPr>
          <w:rtl w:val="true"/>
        </w:rPr>
        <w:t>וכיום הוא מבין אחרת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בהמשך חזר המערער להמעיט בחומרת מעשיו בציינו</w:t>
      </w:r>
      <w:r>
        <w:rPr>
          <w:rtl w:val="true"/>
        </w:rPr>
        <w:t xml:space="preserve">: </w:t>
      </w:r>
      <w:r>
        <w:rPr>
          <w:rtl w:val="true"/>
        </w:rPr>
        <w:t>"</w:t>
      </w:r>
      <w:r>
        <w:rPr>
          <w:rtl w:val="true"/>
        </w:rPr>
        <w:t>אתה</w:t>
      </w:r>
      <w:r>
        <w:rPr>
          <w:rtl w:val="true"/>
        </w:rPr>
        <w:t xml:space="preserve"> </w:t>
      </w:r>
      <w:r>
        <w:rPr>
          <w:rtl w:val="true"/>
        </w:rPr>
        <w:t>יושב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ופתאום</w:t>
      </w:r>
      <w:r>
        <w:rPr>
          <w:rtl w:val="true"/>
        </w:rPr>
        <w:t xml:space="preserve"> </w:t>
      </w:r>
      <w:r>
        <w:rPr>
          <w:rtl w:val="true"/>
        </w:rPr>
        <w:t>באה</w:t>
      </w:r>
      <w:r>
        <w:rPr>
          <w:rtl w:val="true"/>
        </w:rPr>
        <w:t xml:space="preserve"> </w:t>
      </w:r>
      <w:r>
        <w:rPr>
          <w:rtl w:val="true"/>
        </w:rPr>
        <w:t>מישהי</w:t>
      </w:r>
      <w:r>
        <w:rPr>
          <w:rtl w:val="true"/>
        </w:rPr>
        <w:t xml:space="preserve"> </w:t>
      </w:r>
      <w:r>
        <w:rPr>
          <w:rtl w:val="true"/>
        </w:rPr>
        <w:t>ומחמיאה</w:t>
      </w:r>
      <w:r>
        <w:rPr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קרה</w:t>
      </w:r>
      <w:r>
        <w:rPr>
          <w:rtl w:val="true"/>
        </w:rPr>
        <w:t xml:space="preserve"> </w:t>
      </w:r>
      <w:r>
        <w:rPr>
          <w:rtl w:val="true"/>
        </w:rPr>
        <w:t>הפוך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עוד ציין בית המשפט כי המערער לא הגיש תגובה בכתב למסמכים שהגישה המשיבה בעניין מצבן של המתלוננות</w:t>
      </w:r>
      <w:r>
        <w:rPr>
          <w:rtl w:val="true"/>
        </w:rPr>
        <w:t xml:space="preserve">, </w:t>
      </w:r>
      <w:r>
        <w:rPr>
          <w:rtl w:val="true"/>
        </w:rPr>
        <w:t>ואף לא הגיש פסיקה מטעמו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בית המשפט התייחס בגזר הדין למצבן הנפשי של המתלוננות</w:t>
      </w:r>
      <w:r>
        <w:rPr>
          <w:rtl w:val="true"/>
        </w:rPr>
        <w:t xml:space="preserve">, </w:t>
      </w:r>
      <w:r>
        <w:rPr>
          <w:rtl w:val="true"/>
        </w:rPr>
        <w:t>כפי שהוא עולה מן המסמכים שהגישה המשיבה</w:t>
      </w:r>
      <w:r>
        <w:rPr>
          <w:rtl w:val="true"/>
        </w:rPr>
        <w:t xml:space="preserve">. </w:t>
      </w:r>
      <w:r>
        <w:rPr>
          <w:rtl w:val="true"/>
        </w:rPr>
        <w:t>בתוך כך צוין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כי מצבה הרגשי של א</w:t>
      </w:r>
      <w:r>
        <w:rPr>
          <w:rtl w:val="true"/>
        </w:rPr>
        <w:t xml:space="preserve">' </w:t>
      </w:r>
      <w:r>
        <w:rPr>
          <w:rtl w:val="true"/>
        </w:rPr>
        <w:t>הוא מורכב וקשה מאוד</w:t>
      </w:r>
      <w:r>
        <w:rPr>
          <w:rtl w:val="true"/>
        </w:rPr>
        <w:t xml:space="preserve">; </w:t>
      </w:r>
      <w:r>
        <w:rPr>
          <w:rtl w:val="true"/>
        </w:rPr>
        <w:t>כי הצהרתה של ב</w:t>
      </w:r>
      <w:r>
        <w:rPr>
          <w:rtl w:val="true"/>
        </w:rPr>
        <w:t xml:space="preserve">' </w:t>
      </w:r>
      <w:r>
        <w:rPr>
          <w:rtl w:val="true"/>
        </w:rPr>
        <w:t>מעידה על כאבה העמוק ומתארת כיצד לקחה על עצמה להעיד בבית המשפט</w:t>
      </w:r>
      <w:r>
        <w:rPr>
          <w:rtl w:val="true"/>
        </w:rPr>
        <w:t xml:space="preserve">, </w:t>
      </w:r>
      <w:r>
        <w:rPr>
          <w:rtl w:val="true"/>
        </w:rPr>
        <w:t>ביודעה כי מצבן הנפשי של אחיותיה אינו מאפשר זאת</w:t>
      </w:r>
      <w:r>
        <w:rPr>
          <w:rtl w:val="true"/>
        </w:rPr>
        <w:t xml:space="preserve">; </w:t>
      </w:r>
      <w:r>
        <w:rPr>
          <w:rtl w:val="true"/>
        </w:rPr>
        <w:t>וכי הצהרתה של ג</w:t>
      </w:r>
      <w:r>
        <w:rPr>
          <w:rtl w:val="true"/>
        </w:rPr>
        <w:t xml:space="preserve">' </w:t>
      </w:r>
      <w:r>
        <w:rPr>
          <w:rtl w:val="true"/>
        </w:rPr>
        <w:t>פותחת צוהר לקשיים שהיא חווה ולמאמציה להתגבר עליהם ולחזור לתפקד בחיי היום</w:t>
      </w:r>
      <w:r>
        <w:rPr>
          <w:rtl w:val="true"/>
        </w:rPr>
        <w:t>-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עוד צוין כי ב</w:t>
      </w:r>
      <w:r>
        <w:rPr>
          <w:rtl w:val="true"/>
        </w:rPr>
        <w:t xml:space="preserve">' </w:t>
      </w:r>
      <w:r>
        <w:rPr>
          <w:rtl w:val="true"/>
        </w:rPr>
        <w:t>ביקשה לכבד את הסדר הטיעון</w:t>
      </w:r>
      <w:r>
        <w:rPr>
          <w:rtl w:val="true"/>
        </w:rPr>
        <w:t xml:space="preserve">, </w:t>
      </w:r>
      <w:r>
        <w:rPr>
          <w:rtl w:val="true"/>
        </w:rPr>
        <w:t>אך עתרה להטיל על המערער את העונש החמור ביותר האפשרי</w:t>
      </w:r>
      <w:r>
        <w:rPr>
          <w:rtl w:val="true"/>
        </w:rPr>
        <w:t xml:space="preserve">, </w:t>
      </w:r>
      <w:r>
        <w:rPr>
          <w:rtl w:val="true"/>
        </w:rPr>
        <w:t>שייתכן כי תימצא בו מעט נחמה</w:t>
      </w:r>
      <w:r>
        <w:rPr>
          <w:rtl w:val="true"/>
        </w:rPr>
        <w:t xml:space="preserve">. </w:t>
      </w:r>
      <w:r>
        <w:rPr>
          <w:rtl w:val="true"/>
        </w:rPr>
        <w:t>בהמשך התייחס בית המשפט למסמכים הרפואיים שהגיש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בציינו כי נקבעו למערער 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אחוזי אי</w:t>
      </w:r>
      <w:r>
        <w:rPr>
          <w:rtl w:val="true"/>
        </w:rPr>
        <w:t>-</w:t>
      </w:r>
      <w:r>
        <w:rPr>
          <w:rtl w:val="true"/>
        </w:rPr>
        <w:t>כושר לצמיתות וכי הוא סובל מפגיעות תפקודיות ומכאבים בחלקי גוף שונים</w:t>
      </w:r>
      <w:r>
        <w:rPr>
          <w:rtl w:val="true"/>
        </w:rPr>
        <w:t xml:space="preserve">, </w:t>
      </w:r>
      <w:r>
        <w:rPr>
          <w:rtl w:val="true"/>
        </w:rPr>
        <w:t>אשר נובעים בעיקרם ממחלת הסכרת שממנה הוא סובל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בית המשפט הדגיש כי בהתייחסו להסדר טיעון עליו לבחון</w:t>
      </w:r>
      <w:r>
        <w:rPr>
          <w:rtl w:val="true"/>
        </w:rPr>
        <w:t xml:space="preserve">, </w:t>
      </w:r>
      <w:r>
        <w:rPr>
          <w:rtl w:val="true"/>
        </w:rPr>
        <w:t>בעיקרו של דבר</w:t>
      </w:r>
      <w:r>
        <w:rPr>
          <w:rtl w:val="true"/>
        </w:rPr>
        <w:t xml:space="preserve">, </w:t>
      </w:r>
      <w:r>
        <w:rPr>
          <w:rtl w:val="true"/>
        </w:rPr>
        <w:t>את האיזון בין ההקלה שיקבל הנאשם ובין האינטרס הציבורי בקיום ההסדר</w:t>
      </w:r>
      <w:r>
        <w:rPr>
          <w:rtl w:val="true"/>
        </w:rPr>
        <w:t xml:space="preserve">. </w:t>
      </w:r>
      <w:r>
        <w:rPr>
          <w:rtl w:val="true"/>
        </w:rPr>
        <w:t xml:space="preserve">כמו כן צוין כי במקרים שבהם </w:t>
      </w:r>
      <w:r>
        <w:rPr>
          <w:rtl w:val="true"/>
        </w:rPr>
        <w:t>"</w:t>
      </w:r>
      <w:r>
        <w:rPr>
          <w:rtl w:val="true"/>
        </w:rPr>
        <w:t>ברור</w:t>
      </w:r>
      <w:r>
        <w:rPr>
          <w:rtl w:val="true"/>
        </w:rPr>
        <w:t xml:space="preserve"> </w:t>
      </w:r>
      <w:r>
        <w:rPr>
          <w:rtl w:val="true"/>
        </w:rPr>
        <w:t>ששיקולי</w:t>
      </w:r>
      <w:r>
        <w:rPr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 </w:t>
      </w:r>
      <w:r>
        <w:rPr>
          <w:rtl w:val="true"/>
        </w:rPr>
        <w:t>מכריעים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 xml:space="preserve">והעונש המוסכם אינו </w:t>
      </w:r>
      <w:r>
        <w:rPr>
          <w:rtl w:val="true"/>
        </w:rPr>
        <w:t>"</w:t>
      </w:r>
      <w:r>
        <w:rPr>
          <w:rtl w:val="true"/>
        </w:rPr>
        <w:t>חורג לגמרי מן המתחם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אין חובה לקבוע מתחם ענישה מדויק </w:t>
      </w:r>
      <w:r>
        <w:rPr>
          <w:rtl w:val="true"/>
        </w:rPr>
        <w:t>–</w:t>
      </w:r>
      <w:r>
        <w:rPr>
          <w:rtl w:val="true"/>
        </w:rPr>
        <w:t xml:space="preserve"> מה גם שבענייננו קיים קושי ממשי בקביעת מתחם מדויק</w:t>
      </w:r>
      <w:r>
        <w:rPr>
          <w:rtl w:val="true"/>
        </w:rPr>
        <w:t xml:space="preserve">, </w:t>
      </w:r>
      <w:r>
        <w:rPr>
          <w:rtl w:val="true"/>
        </w:rPr>
        <w:t>"</w:t>
      </w:r>
      <w:r>
        <w:rPr>
          <w:rtl w:val="true"/>
        </w:rPr>
        <w:t>בהעדר</w:t>
      </w:r>
      <w:r>
        <w:rPr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 </w:t>
      </w:r>
      <w:r>
        <w:rPr>
          <w:rtl w:val="true"/>
        </w:rPr>
        <w:t>אדוורסרי</w:t>
      </w:r>
      <w:r>
        <w:rPr>
          <w:rtl w:val="true"/>
        </w:rPr>
        <w:t xml:space="preserve"> </w:t>
      </w:r>
      <w:r>
        <w:rPr>
          <w:rtl w:val="true"/>
        </w:rPr>
        <w:t>מפורט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ומשהצדדים לא הציגו פסיקה בנושא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כך צוין</w:t>
      </w:r>
      <w:r>
        <w:rPr>
          <w:rtl w:val="true"/>
        </w:rPr>
        <w:t xml:space="preserve">, </w:t>
      </w:r>
      <w:r>
        <w:rPr>
          <w:rtl w:val="true"/>
        </w:rPr>
        <w:t>"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יושב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ומודע</w:t>
      </w:r>
      <w:r>
        <w:rPr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 </w:t>
      </w:r>
      <w:r>
        <w:rPr>
          <w:rtl w:val="true"/>
        </w:rPr>
        <w:t>לסדרי</w:t>
      </w:r>
      <w:r>
        <w:rPr>
          <w:rtl w:val="true"/>
        </w:rPr>
        <w:t xml:space="preserve"> </w:t>
      </w:r>
      <w:r>
        <w:rPr>
          <w:rtl w:val="true"/>
        </w:rPr>
        <w:t>הגודל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על רקע זה פנה בית המשפט קמא לבחינת הסדר הטיעון שאליו הגיעו הצדדים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עמד על החומרה היתרה במעשיו של המערער ועל </w:t>
      </w:r>
      <w:r>
        <w:rPr>
          <w:rtl w:val="true"/>
        </w:rPr>
        <w:t>"</w:t>
      </w:r>
      <w:r>
        <w:rPr>
          <w:rtl w:val="true"/>
        </w:rPr>
        <w:t>רוע</w:t>
      </w:r>
      <w:r>
        <w:rPr>
          <w:rtl w:val="true"/>
        </w:rPr>
        <w:t xml:space="preserve"> </w:t>
      </w:r>
      <w:r>
        <w:rPr>
          <w:rtl w:val="true"/>
        </w:rPr>
        <w:t>לבבו</w:t>
      </w:r>
      <w:r>
        <w:rPr>
          <w:rtl w:val="true"/>
        </w:rPr>
        <w:t xml:space="preserve"> </w:t>
      </w:r>
      <w:r>
        <w:rPr>
          <w:rtl w:val="true"/>
        </w:rPr>
        <w:t>וזדון</w:t>
      </w:r>
      <w:r>
        <w:rPr>
          <w:rtl w:val="true"/>
        </w:rPr>
        <w:t xml:space="preserve"> </w:t>
      </w:r>
      <w:r>
        <w:rPr>
          <w:rtl w:val="true"/>
        </w:rPr>
        <w:t>מחשבתו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במניפולציה</w:t>
      </w:r>
      <w:r>
        <w:rPr>
          <w:rtl w:val="true"/>
        </w:rPr>
        <w:t xml:space="preserve"> </w:t>
      </w:r>
      <w:r>
        <w:rPr>
          <w:rtl w:val="true"/>
        </w:rPr>
        <w:t>המרושעת</w:t>
      </w:r>
      <w:r>
        <w:rPr>
          <w:rtl w:val="true"/>
        </w:rPr>
        <w:t xml:space="preserve"> </w:t>
      </w:r>
      <w:r>
        <w:rPr>
          <w:rtl w:val="true"/>
        </w:rPr>
        <w:t>שהפעיל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עוד צוין כי מעשי המערער פגעו קשות בערך כבוד האדם</w:t>
      </w:r>
      <w:r>
        <w:rPr>
          <w:rtl w:val="true"/>
        </w:rPr>
        <w:t xml:space="preserve">, </w:t>
      </w:r>
      <w:r>
        <w:rPr>
          <w:rtl w:val="true"/>
        </w:rPr>
        <w:t>המתבטא ב</w:t>
      </w:r>
      <w:r>
        <w:rPr>
          <w:rtl w:val="true"/>
        </w:rPr>
        <w:t>פרטיותו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</w:t>
      </w:r>
      <w:r>
        <w:rPr>
          <w:rtl w:val="true"/>
        </w:rPr>
        <w:t>צניעותו</w:t>
      </w:r>
      <w:r>
        <w:rPr>
          <w:rtl w:val="true"/>
        </w:rPr>
        <w:t xml:space="preserve">; </w:t>
      </w:r>
      <w:r>
        <w:rPr>
          <w:rtl w:val="true"/>
        </w:rPr>
        <w:t>בחירות הפרט</w:t>
      </w:r>
      <w:r>
        <w:rPr>
          <w:rtl w:val="true"/>
        </w:rPr>
        <w:t xml:space="preserve">, </w:t>
      </w:r>
      <w:r>
        <w:rPr>
          <w:rtl w:val="true"/>
        </w:rPr>
        <w:t>אשר באה לידי ביטוי באוטונומיה של האדם על גופו</w:t>
      </w:r>
      <w:r>
        <w:rPr>
          <w:rtl w:val="true"/>
        </w:rPr>
        <w:t xml:space="preserve">; </w:t>
      </w:r>
      <w:r>
        <w:rPr>
          <w:rtl w:val="true"/>
        </w:rPr>
        <w:t>בערך ההגנה על שלמות גופם ונפשם של קטינים</w:t>
      </w:r>
      <w:r>
        <w:rPr>
          <w:rtl w:val="true"/>
        </w:rPr>
        <w:t xml:space="preserve">, </w:t>
      </w:r>
      <w:r>
        <w:rPr>
          <w:rtl w:val="true"/>
        </w:rPr>
        <w:t>בפרט בתוך ביתם ומשפחתם</w:t>
      </w:r>
      <w:r>
        <w:rPr>
          <w:rtl w:val="true"/>
        </w:rPr>
        <w:t xml:space="preserve">; </w:t>
      </w:r>
      <w:r>
        <w:rPr>
          <w:rtl w:val="true"/>
        </w:rPr>
        <w:t>בזכות הילד והמתבגר להתפתחות נפשית ומינית תקינה</w:t>
      </w:r>
      <w:r>
        <w:rPr>
          <w:rtl w:val="true"/>
        </w:rPr>
        <w:t xml:space="preserve">; </w:t>
      </w:r>
      <w:r>
        <w:rPr>
          <w:rtl w:val="true"/>
        </w:rPr>
        <w:t>בערך ההגנה מפני ניצול רגשי ומפני יצירת תלות לשם סיפוק האינטרסים של אחר</w:t>
      </w:r>
      <w:r>
        <w:rPr>
          <w:rtl w:val="true"/>
        </w:rPr>
        <w:t xml:space="preserve">; </w:t>
      </w:r>
      <w:r>
        <w:rPr>
          <w:rtl w:val="true"/>
        </w:rPr>
        <w:t>ובערך ההגנה על קטינים מפני ניצול לרעה של האמון שהם רוחשים לבני משפחתם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 הודגש כי בקביעת העונש הראוי יש לשקול את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הצטברות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ריבוי המתלוננות וחומרת הנסיבות </w:t>
      </w:r>
      <w:r>
        <w:rPr>
          <w:rtl w:val="true"/>
        </w:rPr>
        <w:t>–</w:t>
      </w:r>
      <w:r>
        <w:rPr>
          <w:rtl w:val="true"/>
        </w:rPr>
        <w:t xml:space="preserve"> ובהן הפגיעה בתוך התא המשפחתי</w:t>
      </w:r>
      <w:r>
        <w:rPr>
          <w:rtl w:val="true"/>
        </w:rPr>
        <w:t xml:space="preserve">, </w:t>
      </w:r>
      <w:r>
        <w:rPr>
          <w:rtl w:val="true"/>
        </w:rPr>
        <w:t>גילן הצעיר של המתלוננות והפעלת הלחצים הרגשיים</w:t>
      </w:r>
      <w:r>
        <w:rPr>
          <w:rtl w:val="true"/>
        </w:rPr>
        <w:t xml:space="preserve">. </w:t>
      </w:r>
      <w:r>
        <w:rPr>
          <w:rtl w:val="true"/>
        </w:rPr>
        <w:t>בית המשפט הוסיף כי כשמדובר במעשים מרובים כלפי נפגע אחד</w:t>
      </w:r>
      <w:r>
        <w:rPr>
          <w:rtl w:val="true"/>
        </w:rPr>
        <w:t xml:space="preserve">, </w:t>
      </w:r>
      <w:r>
        <w:rPr>
          <w:rtl w:val="true"/>
        </w:rPr>
        <w:t>"</w:t>
      </w:r>
      <w:r>
        <w:rPr>
          <w:rtl w:val="true"/>
        </w:rPr>
        <w:t>דרך המלך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היא קביעת מתחם ענישה חופף</w:t>
      </w:r>
      <w:r>
        <w:rPr>
          <w:rtl w:val="true"/>
        </w:rPr>
        <w:t xml:space="preserve">; </w:t>
      </w:r>
      <w:r>
        <w:rPr>
          <w:rtl w:val="true"/>
        </w:rPr>
        <w:t xml:space="preserve">אך כשמדובר בריבוי נפגעים ובעבירות חמורות </w:t>
      </w:r>
      <w:r>
        <w:rPr>
          <w:rtl w:val="true"/>
        </w:rPr>
        <w:t>–</w:t>
      </w:r>
      <w:r>
        <w:rPr>
          <w:rtl w:val="true"/>
        </w:rPr>
        <w:t xml:space="preserve"> ובהן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 </w:t>
      </w:r>
      <w:r>
        <w:rPr>
          <w:rtl w:val="true"/>
        </w:rPr>
        <w:t xml:space="preserve">קשות </w:t>
      </w:r>
      <w:r>
        <w:rPr>
          <w:rtl w:val="true"/>
        </w:rPr>
        <w:t>–</w:t>
      </w:r>
      <w:r>
        <w:rPr>
          <w:rtl w:val="true"/>
        </w:rPr>
        <w:t xml:space="preserve"> הנטייה היא </w:t>
      </w:r>
      <w:r>
        <w:rPr>
          <w:rtl w:val="true"/>
        </w:rPr>
        <w:t>"</w:t>
      </w:r>
      <w:r>
        <w:rPr>
          <w:rtl w:val="true"/>
        </w:rPr>
        <w:t>לצבור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עיקרה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 xml:space="preserve">וליתן משקל </w:t>
      </w:r>
      <w:r>
        <w:rPr>
          <w:rtl w:val="true"/>
        </w:rPr>
        <w:t>"</w:t>
      </w:r>
      <w:r>
        <w:rPr>
          <w:rtl w:val="true"/>
        </w:rPr>
        <w:t>כמעט מלא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לסבל של כל נפגע ונפגע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נוכח האמור ציין בית המשפט</w:t>
      </w:r>
      <w:r>
        <w:rPr>
          <w:rtl w:val="true"/>
        </w:rPr>
        <w:t xml:space="preserve">, </w:t>
      </w:r>
      <w:r>
        <w:rPr>
          <w:rtl w:val="true"/>
        </w:rPr>
        <w:t>מבלי לקבוע מסמרות</w:t>
      </w:r>
      <w:r>
        <w:rPr>
          <w:rtl w:val="true"/>
        </w:rPr>
        <w:t xml:space="preserve">, </w:t>
      </w:r>
      <w:r>
        <w:rPr>
          <w:rtl w:val="true"/>
        </w:rPr>
        <w:t>כי ניתן לשער שהקצה העליון של מתחם הענישה ההולם לגבי כל מתלוננת בנפרד</w:t>
      </w:r>
      <w:r>
        <w:rPr>
          <w:rtl w:val="true"/>
        </w:rPr>
        <w:t xml:space="preserve">, </w:t>
      </w:r>
      <w:r>
        <w:rPr>
          <w:rtl w:val="true"/>
        </w:rPr>
        <w:t xml:space="preserve">הוא גבוה מהתקרה שצוינה בהסדר הטיעון ואינו רחוק מהעונש המרבי למעשה אחד </w:t>
      </w:r>
      <w:r>
        <w:rPr>
          <w:rtl w:val="true"/>
        </w:rPr>
        <w:t>(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קרוב 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בעת הערכת העונש ההולם ביחס לפגיעה בכל שלוש המתלוננות</w:t>
      </w:r>
      <w:r>
        <w:rPr>
          <w:rtl w:val="true"/>
        </w:rPr>
        <w:t xml:space="preserve">, </w:t>
      </w:r>
      <w:r>
        <w:rPr>
          <w:rtl w:val="true"/>
        </w:rPr>
        <w:t>"</w:t>
      </w:r>
      <w:r>
        <w:rPr>
          <w:rtl w:val="true"/>
        </w:rPr>
        <w:t xml:space="preserve">נראה כי הקצה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התחתון</w:t>
      </w:r>
      <w:r>
        <w:rPr>
          <w:rtl w:val="true"/>
        </w:rPr>
        <w:t xml:space="preserve"> של המתחם גבוה מתקרת ההסדר</w:t>
      </w:r>
      <w:r>
        <w:rPr>
          <w:rtl w:val="true"/>
        </w:rPr>
        <w:t xml:space="preserve">, </w:t>
      </w:r>
      <w:r>
        <w:rPr>
          <w:rtl w:val="true"/>
        </w:rPr>
        <w:t>ולמעשה גבוה אף מהעונש המרבי בחוק למעשה אחד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ההדגשה במקור</w:t>
      </w:r>
      <w:r>
        <w:rPr>
          <w:rtl w:val="true"/>
        </w:rPr>
        <w:t xml:space="preserve">), </w:t>
      </w:r>
      <w:r>
        <w:rPr>
          <w:rtl w:val="true"/>
        </w:rPr>
        <w:t xml:space="preserve">והקצה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העליון</w:t>
      </w:r>
      <w:r>
        <w:rPr>
          <w:rtl w:val="true"/>
        </w:rPr>
        <w:t xml:space="preserve"> של המתחם גבוה לפחות פי שניים מתקרת ההסדר</w:t>
      </w:r>
      <w:r>
        <w:rPr>
          <w:rtl w:val="true"/>
        </w:rPr>
        <w:t xml:space="preserve">. </w:t>
      </w:r>
      <w:r>
        <w:rPr>
          <w:rtl w:val="true"/>
        </w:rPr>
        <w:t xml:space="preserve">לפיכך נקבע שהסדר הטיעון מגלם ענישה החורגת </w:t>
      </w:r>
      <w:r>
        <w:rPr>
          <w:rtl w:val="true"/>
        </w:rPr>
        <w:t>"</w:t>
      </w:r>
      <w:r>
        <w:rPr>
          <w:rtl w:val="true"/>
        </w:rPr>
        <w:t>במידה משמעותית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לקולה ממתחם הענישה הראוי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באשר לשאלה אם מתקיימת בענייננו הצדקה להקלה כזו</w:t>
      </w:r>
      <w:r>
        <w:rPr>
          <w:rtl w:val="true"/>
        </w:rPr>
        <w:t xml:space="preserve">, </w:t>
      </w:r>
      <w:r>
        <w:rPr>
          <w:rtl w:val="true"/>
        </w:rPr>
        <w:t>קבע בית המשפט כי ה</w:t>
      </w:r>
      <w:r>
        <w:rPr>
          <w:rtl w:val="true"/>
        </w:rPr>
        <w:t>"</w:t>
      </w:r>
      <w:r>
        <w:rPr>
          <w:rtl w:val="true"/>
        </w:rPr>
        <w:t>תמורה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שקיבל הציבור מההסדר היא משמעותית</w:t>
      </w:r>
      <w:r>
        <w:rPr>
          <w:rtl w:val="true"/>
        </w:rPr>
        <w:t xml:space="preserve">, </w:t>
      </w:r>
      <w:r>
        <w:rPr>
          <w:rtl w:val="true"/>
        </w:rPr>
        <w:t>וכי האינטרס הציבורי מצדיק את ה</w:t>
      </w:r>
      <w:r>
        <w:rPr>
          <w:rtl w:val="true"/>
        </w:rPr>
        <w:t>"</w:t>
      </w:r>
      <w:r>
        <w:rPr>
          <w:rtl w:val="true"/>
        </w:rPr>
        <w:t>מחיר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 xml:space="preserve">ששילמה המשיבה בהסכמתה לענישה שהיא </w:t>
      </w:r>
      <w:r>
        <w:rPr>
          <w:rtl w:val="true"/>
        </w:rPr>
        <w:t>"</w:t>
      </w:r>
      <w:r>
        <w:rPr>
          <w:rtl w:val="true"/>
        </w:rPr>
        <w:t>קלה בהרבה מהראוי למעשה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בתוך כך עמד בית המשפט על הקושי של המתלוננות להשמיע את קולן על דוכן העדים</w:t>
      </w:r>
      <w:r>
        <w:rPr>
          <w:rtl w:val="true"/>
        </w:rPr>
        <w:t xml:space="preserve">, </w:t>
      </w:r>
      <w:r>
        <w:rPr>
          <w:rtl w:val="true"/>
        </w:rPr>
        <w:t>ועל החשש ששתיים מהן לא תוכלנה לעשות כן</w:t>
      </w:r>
      <w:r>
        <w:rPr>
          <w:rtl w:val="true"/>
        </w:rPr>
        <w:t xml:space="preserve">; </w:t>
      </w:r>
      <w:r>
        <w:rPr>
          <w:rtl w:val="true"/>
        </w:rPr>
        <w:t>על החשש שהעדתן תגרום להן נזק נפשי נוסף</w:t>
      </w:r>
      <w:r>
        <w:rPr>
          <w:rtl w:val="true"/>
        </w:rPr>
        <w:t xml:space="preserve">; </w:t>
      </w:r>
      <w:r>
        <w:rPr>
          <w:rtl w:val="true"/>
        </w:rPr>
        <w:t>ועל האינטרס של המתלוננות לסיים את אי</w:t>
      </w:r>
      <w:r>
        <w:rPr>
          <w:rtl w:val="true"/>
        </w:rPr>
        <w:t>-</w:t>
      </w:r>
      <w:r>
        <w:rPr>
          <w:rtl w:val="true"/>
        </w:rPr>
        <w:t>הוודאות לגבי תוצאות ההליך ורצונן ב</w:t>
      </w:r>
      <w:r>
        <w:rPr>
          <w:rtl w:val="true"/>
        </w:rPr>
        <w:t>"</w:t>
      </w:r>
      <w:r>
        <w:rPr>
          <w:rtl w:val="true"/>
        </w:rPr>
        <w:t>ביטחון</w:t>
      </w:r>
      <w:r>
        <w:rPr>
          <w:rtl w:val="true"/>
        </w:rPr>
        <w:t xml:space="preserve"> </w:t>
      </w:r>
      <w:r>
        <w:rPr>
          <w:rtl w:val="true"/>
        </w:rPr>
        <w:t>במיצוי</w:t>
      </w:r>
      <w:r>
        <w:rPr>
          <w:rtl w:val="true"/>
        </w:rPr>
        <w:t xml:space="preserve"> </w:t>
      </w:r>
      <w:r>
        <w:rPr>
          <w:rtl w:val="true"/>
        </w:rPr>
        <w:t>עצם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עוד הדגיש בית המשפט את ההסכמה שהביעה ב</w:t>
      </w:r>
      <w:r>
        <w:rPr>
          <w:rtl w:val="true"/>
        </w:rPr>
        <w:t xml:space="preserve">' </w:t>
      </w:r>
      <w:r>
        <w:rPr>
          <w:rtl w:val="true"/>
        </w:rPr>
        <w:t>להסדר הטיעון</w:t>
      </w:r>
      <w:r>
        <w:rPr>
          <w:rtl w:val="true"/>
        </w:rPr>
        <w:t xml:space="preserve">, </w:t>
      </w:r>
      <w:r>
        <w:rPr>
          <w:rtl w:val="true"/>
        </w:rPr>
        <w:t>אף שלא מדובר בשיקול מכריע</w:t>
      </w:r>
      <w:r>
        <w:rPr>
          <w:rtl w:val="true"/>
        </w:rPr>
        <w:t xml:space="preserve">. </w:t>
      </w:r>
      <w:r>
        <w:rPr>
          <w:rtl w:val="true"/>
        </w:rPr>
        <w:t>בית המשפט הוסיף כי העונש שצוין בהסדר הוא אמנם מקל</w:t>
      </w:r>
      <w:r>
        <w:rPr>
          <w:rtl w:val="true"/>
        </w:rPr>
        <w:t xml:space="preserve">, </w:t>
      </w:r>
      <w:r>
        <w:rPr>
          <w:rtl w:val="true"/>
        </w:rPr>
        <w:t>אך בכל זאת מדובר ב</w:t>
      </w:r>
      <w:r>
        <w:rPr>
          <w:rtl w:val="true"/>
        </w:rPr>
        <w:t>"</w:t>
      </w:r>
      <w:r>
        <w:rPr>
          <w:rtl w:val="true"/>
        </w:rPr>
        <w:t>ענישה</w:t>
      </w:r>
      <w:r>
        <w:rPr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אשר תוביל להרחקת אדם מסוכן מהחברה לתקופה משמעותית</w:t>
      </w:r>
      <w:r>
        <w:rPr>
          <w:rtl w:val="true"/>
        </w:rPr>
        <w:t xml:space="preserve">, </w:t>
      </w:r>
      <w:r>
        <w:rPr>
          <w:rtl w:val="true"/>
        </w:rPr>
        <w:t>ולהטלת מאסר על תנאי שיאפשר לבוא חשבון עם המערער ככל שיבצע מעשים דומים בעתיד</w:t>
      </w:r>
      <w:r>
        <w:rPr>
          <w:rtl w:val="true"/>
        </w:rPr>
        <w:t xml:space="preserve">. </w:t>
      </w:r>
      <w:r>
        <w:rPr>
          <w:rtl w:val="true"/>
        </w:rPr>
        <w:t>עוד צוין כי יש ליתן משקל מיוחד לכך שהסדר הטיעון הושג לאחר גישור באמצעות שופט</w:t>
      </w:r>
      <w:r>
        <w:rPr>
          <w:rtl w:val="true"/>
        </w:rPr>
        <w:t xml:space="preserve">, </w:t>
      </w:r>
      <w:r>
        <w:rPr>
          <w:rtl w:val="true"/>
        </w:rPr>
        <w:t>נוכח אינטרס ההסתמכות המוגבר של הנאשם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משנקבע כי יש לכבד את הסדר הטיעון</w:t>
      </w:r>
      <w:r>
        <w:rPr>
          <w:rtl w:val="true"/>
        </w:rPr>
        <w:t xml:space="preserve">, </w:t>
      </w:r>
      <w:r>
        <w:rPr>
          <w:rtl w:val="true"/>
        </w:rPr>
        <w:t>נדרש בית המשפט לשאלה אם ראוי להסתפק בהטלת עונש הנמוך מן התקרה שבהסדר</w:t>
      </w:r>
      <w:r>
        <w:rPr>
          <w:rtl w:val="true"/>
        </w:rPr>
        <w:t xml:space="preserve">. </w:t>
      </w:r>
      <w:r>
        <w:rPr>
          <w:rtl w:val="true"/>
        </w:rPr>
        <w:t>בהשיבו על שאלה זו בשלילה הדגיש בית המשפט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כי אמנם קיים אינטרס מערכתי להקל עם נאשמים שהגיעו להסדר טיעון ולהטיל עליהם עונש הנמוך מהקצה העליון שהוסכם</w:t>
      </w:r>
      <w:r>
        <w:rPr>
          <w:rtl w:val="true"/>
        </w:rPr>
        <w:t xml:space="preserve">, </w:t>
      </w:r>
      <w:r>
        <w:rPr>
          <w:rtl w:val="true"/>
        </w:rPr>
        <w:t xml:space="preserve">אך ככל שעסקינן בעבירות חמורות הנטייה תהא לדבוק ברף העליון של טווח ההסכמה </w:t>
      </w:r>
      <w:r>
        <w:rPr>
          <w:rtl w:val="true"/>
        </w:rPr>
        <w:t>–</w:t>
      </w:r>
      <w:r>
        <w:rPr>
          <w:rtl w:val="true"/>
        </w:rPr>
        <w:t xml:space="preserve"> וזאת במיוחד כאשר </w:t>
      </w:r>
      <w:r>
        <w:rPr>
          <w:rtl w:val="true"/>
        </w:rPr>
        <w:t>הטווח</w:t>
      </w:r>
      <w:r>
        <w:rPr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 </w:t>
      </w:r>
      <w:r>
        <w:rPr>
          <w:rtl w:val="true"/>
        </w:rPr>
        <w:t>רחוק</w:t>
      </w:r>
      <w:r>
        <w:rPr>
          <w:rtl w:val="true"/>
        </w:rPr>
        <w:t xml:space="preserve"> </w:t>
      </w:r>
      <w:r>
        <w:rPr>
          <w:rtl w:val="true"/>
        </w:rPr>
        <w:t>מהענישה</w:t>
      </w:r>
      <w:r>
        <w:rPr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. </w:t>
      </w:r>
      <w:r>
        <w:rPr>
          <w:rtl w:val="true"/>
        </w:rPr>
        <w:t>עוד צוין כי אילו היה דינו של המערער נגזר בהתאם לכללי הבניית הענישה</w:t>
      </w:r>
      <w:r>
        <w:rPr>
          <w:rtl w:val="true"/>
        </w:rPr>
        <w:t xml:space="preserve">, </w:t>
      </w:r>
      <w:r>
        <w:rPr>
          <w:rtl w:val="true"/>
        </w:rPr>
        <w:t>נסיבותיו האישיות לא היו מצדיקות ענישה הקרובה לקצה התחתון של המתחם</w:t>
      </w:r>
      <w:r>
        <w:rPr>
          <w:rtl w:val="true"/>
        </w:rPr>
        <w:t xml:space="preserve">, </w:t>
      </w:r>
      <w:r>
        <w:rPr>
          <w:rtl w:val="true"/>
        </w:rPr>
        <w:t xml:space="preserve">אם כי הוא </w:t>
      </w:r>
      <w:r>
        <w:rPr>
          <w:rtl w:val="true"/>
        </w:rPr>
        <w:t>"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מגיע</w:t>
      </w:r>
      <w:r>
        <w:rPr>
          <w:rtl w:val="true"/>
        </w:rPr>
        <w:t xml:space="preserve"> </w:t>
      </w:r>
      <w:r>
        <w:rPr>
          <w:rtl w:val="true"/>
        </w:rPr>
        <w:t>למחצית</w:t>
      </w:r>
      <w:r>
        <w:rPr>
          <w:rtl w:val="true"/>
        </w:rPr>
        <w:t xml:space="preserve"> </w:t>
      </w:r>
      <w:r>
        <w:rPr>
          <w:rtl w:val="true"/>
        </w:rPr>
        <w:t>העליו</w:t>
      </w:r>
      <w:r>
        <w:rPr>
          <w:rtl w:val="true"/>
        </w:rPr>
        <w:t>[</w:t>
      </w:r>
      <w:r>
        <w:rPr>
          <w:rtl w:val="true"/>
        </w:rPr>
        <w:t>נה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ומכל מקום </w:t>
      </w:r>
      <w:r>
        <w:rPr>
          <w:rtl w:val="true"/>
        </w:rPr>
        <w:t>"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 </w:t>
      </w:r>
      <w:r>
        <w:rPr>
          <w:rtl w:val="true"/>
        </w:rPr>
        <w:t>מתקרת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המוצעת</w:t>
      </w:r>
      <w:r>
        <w:rPr>
          <w:rtl w:val="true"/>
        </w:rPr>
        <w:t xml:space="preserve"> </w:t>
      </w:r>
      <w:r>
        <w:rPr>
          <w:rtl w:val="true"/>
        </w:rPr>
        <w:t>בהסדר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 זה עמד בית המשפט על מצבו הרפואי המורכב של המערער ועל תחושותיו הסובייקטיביות הקשות</w:t>
      </w:r>
      <w:r>
        <w:rPr>
          <w:rtl w:val="true"/>
        </w:rPr>
        <w:t xml:space="preserve">, </w:t>
      </w:r>
      <w:r>
        <w:rPr>
          <w:rtl w:val="true"/>
        </w:rPr>
        <w:t>וציין כי נסיבה זו נושאת משקל ממשי אך לא מכריע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שכן יש ביכולתו של המערער לקבל טיפול ראוי בכלא</w:t>
      </w:r>
      <w:r>
        <w:rPr>
          <w:rtl w:val="true"/>
        </w:rPr>
        <w:t xml:space="preserve">, </w:t>
      </w:r>
      <w:r>
        <w:rPr>
          <w:rtl w:val="true"/>
        </w:rPr>
        <w:t>מה גם שהמערער המשיך לבצע את העבירות נושא ההליך גם בתקופת מחלתו</w:t>
      </w:r>
      <w:r>
        <w:rPr>
          <w:rtl w:val="true"/>
        </w:rPr>
        <w:t xml:space="preserve">. </w:t>
      </w:r>
      <w:r>
        <w:rPr>
          <w:rtl w:val="true"/>
        </w:rPr>
        <w:t>עוד התייחס בית המשפט לטענת המערער כי הוא יחסר לבני משפחתו האחרים בתקופת מאסרו</w:t>
      </w:r>
      <w:r>
        <w:rPr>
          <w:rtl w:val="true"/>
        </w:rPr>
        <w:t xml:space="preserve">, </w:t>
      </w:r>
      <w:r>
        <w:rPr>
          <w:rtl w:val="true"/>
        </w:rPr>
        <w:t>וכי אחד מילדיו הוא בגיל בר</w:t>
      </w:r>
      <w:r>
        <w:rPr>
          <w:rtl w:val="true"/>
        </w:rPr>
        <w:t>-</w:t>
      </w:r>
      <w:r>
        <w:rPr>
          <w:rtl w:val="true"/>
        </w:rPr>
        <w:t>מצווה וזקוק לנוכחות אביו</w:t>
      </w:r>
      <w:r>
        <w:rPr>
          <w:rtl w:val="true"/>
        </w:rPr>
        <w:t xml:space="preserve">. </w:t>
      </w:r>
      <w:r>
        <w:rPr>
          <w:rtl w:val="true"/>
        </w:rPr>
        <w:t>נקבע כי נסיבה זו נושאת אף היא משקל</w:t>
      </w:r>
      <w:r>
        <w:rPr>
          <w:rtl w:val="true"/>
        </w:rPr>
        <w:t xml:space="preserve">, </w:t>
      </w:r>
      <w:r>
        <w:rPr>
          <w:rtl w:val="true"/>
        </w:rPr>
        <w:t>"</w:t>
      </w:r>
      <w:r>
        <w:rPr>
          <w:rtl w:val="true"/>
        </w:rPr>
        <w:t>אך לא משקל רב במיוחד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שכן מאסר ממושך כרוך מטבעו בסבל למשפחה ובענייננו לא הוכחו </w:t>
      </w:r>
      <w:r>
        <w:rPr>
          <w:rtl w:val="true"/>
        </w:rPr>
        <w:t>"</w:t>
      </w:r>
      <w:r>
        <w:rPr>
          <w:rtl w:val="true"/>
        </w:rPr>
        <w:t>נסיבות הומניטריות חריגות במיוחד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בית המשפט ציין כי נ</w:t>
      </w:r>
      <w:r>
        <w:rPr>
          <w:rtl w:val="true"/>
        </w:rPr>
        <w:t>סיבותיו</w:t>
      </w:r>
      <w:r>
        <w:rPr>
          <w:rtl w:val="true"/>
        </w:rPr>
        <w:t xml:space="preserve"> </w:t>
      </w:r>
      <w:r>
        <w:rPr>
          <w:rtl w:val="true"/>
        </w:rPr>
        <w:t>הרפואיות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 xml:space="preserve">המערער עשויות היו </w:t>
      </w:r>
      <w:r>
        <w:rPr>
          <w:rtl w:val="true"/>
        </w:rPr>
        <w:t>להביא</w:t>
      </w:r>
      <w:r>
        <w:rPr>
          <w:rtl w:val="true"/>
        </w:rPr>
        <w:t xml:space="preserve"> </w:t>
      </w:r>
      <w:r>
        <w:rPr>
          <w:rtl w:val="true"/>
        </w:rPr>
        <w:t>להקלה</w:t>
      </w:r>
      <w:r>
        <w:rPr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אך מנגד עומדים שיקולים משמעותיים המצדיקים הימנעות מהקלה כזו</w:t>
      </w:r>
      <w:r>
        <w:rPr>
          <w:rtl w:val="true"/>
        </w:rPr>
        <w:t xml:space="preserve">. </w:t>
      </w:r>
      <w:r>
        <w:rPr>
          <w:rtl w:val="true"/>
        </w:rPr>
        <w:t xml:space="preserve">בתוך כך ייחס בית המשפט קמא </w:t>
      </w:r>
      <w:r>
        <w:rPr>
          <w:rtl w:val="true"/>
        </w:rPr>
        <w:t>"</w:t>
      </w:r>
      <w:r>
        <w:rPr>
          <w:rtl w:val="true"/>
        </w:rPr>
        <w:t>משקל מסוים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לעברו הפלילי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בציינו כי המערער הורשע בעבר במספר עבירות ובהן מעשה סדום וסחיטה באיומים </w:t>
      </w:r>
      <w:r>
        <w:rPr>
          <w:rtl w:val="true"/>
        </w:rPr>
        <w:t>–</w:t>
      </w:r>
      <w:r>
        <w:rPr>
          <w:rtl w:val="true"/>
        </w:rPr>
        <w:t xml:space="preserve"> כך שהמערער </w:t>
      </w:r>
      <w:r>
        <w:rPr>
          <w:rtl w:val="true"/>
        </w:rPr>
        <w:t>"</w:t>
      </w:r>
      <w:r>
        <w:rPr>
          <w:rtl w:val="true"/>
        </w:rPr>
        <w:t>כבר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למד</w:t>
      </w:r>
      <w:r>
        <w:rPr>
          <w:rtl w:val="true"/>
        </w:rPr>
        <w:t xml:space="preserve"> </w:t>
      </w:r>
      <w:r>
        <w:rPr>
          <w:rtl w:val="true"/>
        </w:rPr>
        <w:t>לקחו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כך צוין</w:t>
      </w:r>
      <w:r>
        <w:rPr>
          <w:rtl w:val="true"/>
        </w:rPr>
        <w:t xml:space="preserve">, </w:t>
      </w:r>
      <w:r>
        <w:rPr>
          <w:rtl w:val="true"/>
        </w:rPr>
        <w:t>מדובר אמנם בהרשעה ישנה בתיק שנפתח לפני למעלה מ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 xml:space="preserve">אך </w:t>
      </w:r>
      <w:r>
        <w:rPr>
          <w:rtl w:val="true"/>
        </w:rPr>
        <w:t>"</w:t>
      </w:r>
      <w:r>
        <w:rPr>
          <w:rtl w:val="true"/>
        </w:rPr>
        <w:t>חלוף הזמן אינו רב כפי שנדמה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 xml:space="preserve">מכיוון שהמעשים באישום השלישי בענייננו החלו בשנת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כעשור בלבד לאחר שנדון ערעורו של המערער על פסק הדין בהליך הקודם</w:t>
      </w:r>
      <w:r>
        <w:rPr>
          <w:rtl w:val="true"/>
        </w:rPr>
        <w:t xml:space="preserve">. </w:t>
      </w:r>
      <w:r>
        <w:rPr>
          <w:rtl w:val="true"/>
        </w:rPr>
        <w:t>עוד הודגש כי משעסקינן בעבירות מתמשכות ומרובות</w:t>
      </w:r>
      <w:r>
        <w:rPr>
          <w:rtl w:val="true"/>
        </w:rPr>
        <w:t>-</w:t>
      </w:r>
      <w:r>
        <w:rPr>
          <w:rtl w:val="true"/>
        </w:rPr>
        <w:t>נפגעים</w:t>
      </w:r>
      <w:r>
        <w:rPr>
          <w:rtl w:val="true"/>
        </w:rPr>
        <w:t xml:space="preserve">, </w:t>
      </w:r>
      <w:r>
        <w:rPr>
          <w:rtl w:val="true"/>
        </w:rPr>
        <w:t>המשקל שיש ליתן להיעדר עבר פלילי הוא בכל מקרה נמוך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מפנים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ביטאה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: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') </w:t>
      </w:r>
      <w:r>
        <w:rPr>
          <w:rtl w:val="true"/>
        </w:rPr>
        <w:t>והשאיפה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ולנחמן</w:t>
      </w:r>
      <w:r>
        <w:rPr>
          <w:rtl w:val="true"/>
        </w:rPr>
        <w:t xml:space="preserve">; </w:t>
      </w:r>
      <w:r>
        <w:rPr>
          <w:rtl w:val="true"/>
        </w:rPr>
        <w:t>והעובדה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להעיד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נחסכה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נחסכו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בחסכון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במלואה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בשים לב למכלול השיקולים שצוינו לעיל</w:t>
      </w:r>
      <w:r>
        <w:rPr>
          <w:rtl w:val="true"/>
        </w:rPr>
        <w:t xml:space="preserve">, </w:t>
      </w:r>
      <w:r>
        <w:rPr>
          <w:rtl w:val="true"/>
        </w:rPr>
        <w:t>נקבע כי יש להשית על המערער את העונש המרבי שצוין בהסדר</w:t>
      </w:r>
      <w:r>
        <w:rPr>
          <w:rtl w:val="true"/>
        </w:rPr>
        <w:t xml:space="preserve">. </w:t>
      </w:r>
      <w:r>
        <w:rPr>
          <w:rtl w:val="true"/>
        </w:rPr>
        <w:t>עוד נקבע כי יש להטיל עליו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בשים לב לכך שהעמדתו לדין בעבר לא הרתיעה אותו מביצוע העבירות נושא ההליך הנוכחי </w:t>
      </w:r>
      <w:r>
        <w:rPr>
          <w:rtl w:val="true"/>
        </w:rPr>
        <w:t>–</w:t>
      </w:r>
      <w:r>
        <w:rPr>
          <w:rtl w:val="true"/>
        </w:rPr>
        <w:t xml:space="preserve"> ואולם הודגש כי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להפריז</w:t>
      </w:r>
      <w:r>
        <w:rPr>
          <w:rtl w:val="true"/>
        </w:rPr>
        <w:t xml:space="preserve"> </w:t>
      </w:r>
      <w:r>
        <w:rPr>
          <w:rtl w:val="true"/>
        </w:rPr>
        <w:t>בחומרת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המותנית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נוכח התקופה הארוכה שבה ישהה המערער מאחורי סורג ובריח והאפשרות לשינוי נסיבות בעתיד</w:t>
      </w:r>
      <w:r>
        <w:rPr>
          <w:rtl w:val="true"/>
        </w:rPr>
        <w:t xml:space="preserve">. </w:t>
      </w:r>
      <w:r>
        <w:rPr>
          <w:rtl w:val="true"/>
        </w:rPr>
        <w:t>כמו כן נקבע כי יש לפסוק פיצוי ראוי למתלוננות</w:t>
      </w:r>
      <w:r>
        <w:rPr>
          <w:rtl w:val="true"/>
        </w:rPr>
        <w:t xml:space="preserve">, </w:t>
      </w:r>
      <w:r>
        <w:rPr>
          <w:rtl w:val="true"/>
        </w:rPr>
        <w:t>על מנת לסייע במימון הטיפול בהן ולספק הכרה בפגיעה בהן</w:t>
      </w:r>
      <w:r>
        <w:rPr>
          <w:rtl w:val="true"/>
        </w:rPr>
        <w:t xml:space="preserve">. </w:t>
      </w:r>
      <w:r>
        <w:rPr>
          <w:rtl w:val="true"/>
        </w:rPr>
        <w:t xml:space="preserve">לפיכך נגזרו על המערער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 בן שנה אחת</w:t>
      </w:r>
      <w:r>
        <w:rPr>
          <w:rtl w:val="true"/>
        </w:rPr>
        <w:t xml:space="preserve">, </w:t>
      </w:r>
      <w:r>
        <w:rPr>
          <w:rtl w:val="true"/>
        </w:rPr>
        <w:t xml:space="preserve">ופיצוי בסך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לכל אחת משלוש המתלוננות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בפתח ערעורו טוען המערער כי נוכח אינטרס ההסתמכות והציפייה שלו ביחס להסדר הטיעון</w:t>
      </w:r>
      <w:r>
        <w:rPr>
          <w:rtl w:val="true"/>
        </w:rPr>
        <w:t xml:space="preserve">, </w:t>
      </w:r>
      <w:r>
        <w:rPr>
          <w:rtl w:val="true"/>
        </w:rPr>
        <w:t>ונוכח העובדה שהסדר הטיעון הושג בעקבות הליך גישור</w:t>
      </w:r>
      <w:r>
        <w:rPr>
          <w:rtl w:val="true"/>
        </w:rPr>
        <w:t xml:space="preserve">, </w:t>
      </w:r>
      <w:r>
        <w:rPr>
          <w:rtl w:val="true"/>
        </w:rPr>
        <w:t>לא היה מקום להשית עליו עונש המצוי בקצה העליון של טווח הענישה המוסכם</w:t>
      </w:r>
      <w:r>
        <w:rPr>
          <w:rtl w:val="true"/>
        </w:rPr>
        <w:t xml:space="preserve">. </w:t>
      </w:r>
      <w:r>
        <w:rPr>
          <w:rtl w:val="true"/>
        </w:rPr>
        <w:t xml:space="preserve">לצד זאת טוען המערער שהודאתו ניתנה </w:t>
      </w:r>
      <w:r>
        <w:rPr>
          <w:rtl w:val="true"/>
        </w:rPr>
        <w:t>"</w:t>
      </w:r>
      <w:r>
        <w:rPr>
          <w:rtl w:val="true"/>
        </w:rPr>
        <w:t>לאחר מסע שכנועים לא מבוטל</w:t>
      </w:r>
      <w:r>
        <w:rPr>
          <w:rtl w:val="true"/>
        </w:rPr>
        <w:t xml:space="preserve">, </w:t>
      </w:r>
      <w:r>
        <w:rPr>
          <w:rtl w:val="true"/>
        </w:rPr>
        <w:t>תוך הפעלת לחץ עליו מצד מספר גורמים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כך ש</w:t>
      </w:r>
      <w:r>
        <w:rPr>
          <w:rtl w:val="true"/>
        </w:rPr>
        <w:t>"</w:t>
      </w:r>
      <w:r>
        <w:rPr>
          <w:rtl w:val="true"/>
        </w:rPr>
        <w:t>מרחפת עננה כבדה מעל רצונו החופשי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המערער סבור שבית המשפט קמא לא נתן משקל מספק לשיקולים המצדיקים הקלה עמו</w:t>
      </w:r>
      <w:r>
        <w:rPr>
          <w:rtl w:val="true"/>
        </w:rPr>
        <w:t xml:space="preserve">, </w:t>
      </w:r>
      <w:r>
        <w:rPr>
          <w:rtl w:val="true"/>
        </w:rPr>
        <w:t>ובפרט לגילו ולמצבו הרפואי הקשה</w:t>
      </w:r>
      <w:r>
        <w:rPr>
          <w:rtl w:val="true"/>
        </w:rPr>
        <w:t xml:space="preserve">, </w:t>
      </w:r>
      <w:r>
        <w:rPr>
          <w:rtl w:val="true"/>
        </w:rPr>
        <w:t xml:space="preserve">והוא מוסיף ומדגיש כי הפסיקה הכירה בנטילת אחריות כנסיבה המצדיקה </w:t>
      </w:r>
      <w:r>
        <w:rPr>
          <w:rtl w:val="true"/>
        </w:rPr>
        <w:t>"</w:t>
      </w:r>
      <w:r>
        <w:rPr>
          <w:rtl w:val="true"/>
        </w:rPr>
        <w:t>הקלה משמעותית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עוד לטענת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קמא גזר את עונשו במנותק מן ההלכה הנוהגת ומאמות המידה </w:t>
      </w:r>
      <w:r>
        <w:rPr>
          <w:rFonts w:ascii="Arial TUR;Arial" w:hAnsi="Arial TUR;Arial" w:cs="Arial TUR;Arial"/>
          <w:sz w:val="22"/>
          <w:sz w:val="22"/>
          <w:rtl w:val="true"/>
        </w:rPr>
        <w:t>שנקבעו</w:t>
      </w:r>
      <w:r>
        <w:rPr>
          <w:rtl w:val="true"/>
        </w:rPr>
        <w:t xml:space="preserve"> בתיקון 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ולטענתו בית המשפט קמא פסק </w:t>
      </w:r>
      <w:r>
        <w:rPr>
          <w:rtl w:val="true"/>
        </w:rPr>
        <w:t>"</w:t>
      </w:r>
      <w:r>
        <w:rPr>
          <w:rtl w:val="true"/>
        </w:rPr>
        <w:t>בצורה אינטואיטיבית</w:t>
      </w:r>
      <w:r>
        <w:rPr>
          <w:rtl w:val="true"/>
        </w:rPr>
        <w:t xml:space="preserve">, </w:t>
      </w:r>
      <w:r>
        <w:rPr>
          <w:rtl w:val="true"/>
        </w:rPr>
        <w:t>מתוך השקפת עולמו ורחשי ליבו בלבד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בהקשר זה מוסיף המערער כי משלא הוצגה פסיקה התומכת בעמדת מי מהצדדים ביחס למדיניות הענישה</w:t>
      </w:r>
      <w:r>
        <w:rPr>
          <w:rtl w:val="true"/>
        </w:rPr>
        <w:t xml:space="preserve">, </w:t>
      </w:r>
      <w:r>
        <w:rPr>
          <w:rtl w:val="true"/>
        </w:rPr>
        <w:t xml:space="preserve">הנימוק לפיו </w:t>
      </w:r>
      <w:r>
        <w:rPr>
          <w:rtl w:val="true"/>
        </w:rPr>
        <w:t>"</w:t>
      </w:r>
      <w:r>
        <w:rPr>
          <w:rtl w:val="true"/>
        </w:rPr>
        <w:t>בית המשפט יושב בתוך עמו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 xml:space="preserve">אינו מצדיק החמרה כה משמעותית עמו </w:t>
      </w:r>
      <w:r>
        <w:rPr>
          <w:rtl w:val="true"/>
        </w:rPr>
        <w:t>–</w:t>
      </w:r>
      <w:r>
        <w:rPr>
          <w:rtl w:val="true"/>
        </w:rPr>
        <w:t xml:space="preserve"> והוא מוסיף ומלין על כך שבית המשפט התייחס לוויתורים של כל אחד מהצדדים כאל </w:t>
      </w:r>
      <w:r>
        <w:rPr>
          <w:rtl w:val="true"/>
        </w:rPr>
        <w:t>"</w:t>
      </w:r>
      <w:r>
        <w:rPr>
          <w:rtl w:val="true"/>
        </w:rPr>
        <w:t>תמורה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שיש לשקול אל מול התמורה שנתן הצד השני</w:t>
      </w:r>
      <w:r>
        <w:rPr>
          <w:rtl w:val="true"/>
        </w:rPr>
        <w:t xml:space="preserve">. </w:t>
      </w:r>
      <w:r>
        <w:rPr>
          <w:rtl w:val="true"/>
        </w:rPr>
        <w:t>כמו כן טוען המערער כי בית המשפט התעלם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מן הסבל הרב שנחסך מהמתלוננות בעקבות הודאתו</w:t>
      </w:r>
      <w:r>
        <w:rPr>
          <w:rtl w:val="true"/>
        </w:rPr>
        <w:t xml:space="preserve">; </w:t>
      </w:r>
      <w:r>
        <w:rPr>
          <w:rtl w:val="true"/>
        </w:rPr>
        <w:t>מן המחיר ששילם עקב ויתורו על שמיעת הראיות</w:t>
      </w:r>
      <w:r>
        <w:rPr>
          <w:rtl w:val="true"/>
        </w:rPr>
        <w:t xml:space="preserve">; </w:t>
      </w:r>
      <w:r>
        <w:rPr>
          <w:rtl w:val="true"/>
        </w:rPr>
        <w:t>ומהעובדה שהמשיבה עצמה ציינה כי שיקול מרכזי בהגעה להסדר הטיעון היה החשש ששתיים מהמתלוננות לא יוכלו להעיד</w:t>
      </w:r>
      <w:r>
        <w:rPr>
          <w:rtl w:val="true"/>
        </w:rPr>
        <w:t xml:space="preserve">, </w:t>
      </w:r>
      <w:r>
        <w:rPr>
          <w:rtl w:val="true"/>
        </w:rPr>
        <w:t xml:space="preserve">באופן שהיה מוביל </w:t>
      </w:r>
      <w:r>
        <w:rPr>
          <w:rtl w:val="true"/>
        </w:rPr>
        <w:t>(</w:t>
      </w:r>
      <w:r>
        <w:rPr>
          <w:rtl w:val="true"/>
        </w:rPr>
        <w:t>כך המערער</w:t>
      </w:r>
      <w:r>
        <w:rPr>
          <w:rtl w:val="true"/>
        </w:rPr>
        <w:t xml:space="preserve">) </w:t>
      </w:r>
      <w:r>
        <w:rPr>
          <w:rtl w:val="true"/>
        </w:rPr>
        <w:t>"</w:t>
      </w:r>
      <w:r>
        <w:rPr>
          <w:rtl w:val="true"/>
        </w:rPr>
        <w:t>לקריסתו הראייתית של התיק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כמו כן חולק המערער על הקביעה כי החרטה שהביע לא הייתה מלאה</w:t>
      </w:r>
      <w:r>
        <w:rPr>
          <w:rtl w:val="true"/>
        </w:rPr>
        <w:t xml:space="preserve">, </w:t>
      </w:r>
      <w:r>
        <w:rPr>
          <w:rtl w:val="true"/>
        </w:rPr>
        <w:t xml:space="preserve">ולגישתו משלא הוגש תסקיר בעניינו </w:t>
      </w:r>
      <w:r>
        <w:rPr>
          <w:rtl w:val="true"/>
        </w:rPr>
        <w:t>"</w:t>
      </w:r>
      <w:r>
        <w:rPr>
          <w:rtl w:val="true"/>
        </w:rPr>
        <w:t>מסקנתו של בימ</w:t>
      </w:r>
      <w:r>
        <w:rPr>
          <w:rtl w:val="true"/>
        </w:rPr>
        <w:t>"</w:t>
      </w:r>
      <w:r>
        <w:rPr>
          <w:rtl w:val="true"/>
        </w:rPr>
        <w:t>ש קמא ביחס לחוסר כנות הודייתו של המערער אינה נקיה מספקות</w:t>
      </w:r>
      <w:r>
        <w:rPr>
          <w:rtl w:val="true"/>
        </w:rPr>
        <w:t>"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מצדה</w:t>
      </w:r>
      <w:r>
        <w:rPr>
          <w:rtl w:val="true"/>
        </w:rPr>
        <w:t xml:space="preserve">, </w:t>
      </w:r>
      <w:r>
        <w:rPr>
          <w:rtl w:val="true"/>
        </w:rPr>
        <w:t>סבורה שאין מקום להשגות המערער על העונש שנגזר עליו</w:t>
      </w:r>
      <w:r>
        <w:rPr>
          <w:rtl w:val="true"/>
        </w:rPr>
        <w:t xml:space="preserve">, </w:t>
      </w:r>
      <w:r>
        <w:rPr>
          <w:rtl w:val="true"/>
        </w:rPr>
        <w:t>אשר מצוי בתוך הטווח שעליו הוסכם בהסדר הטיעון</w:t>
      </w:r>
      <w:r>
        <w:rPr>
          <w:rtl w:val="true"/>
        </w:rPr>
        <w:t xml:space="preserve">. </w:t>
      </w:r>
      <w:r>
        <w:rPr>
          <w:rtl w:val="true"/>
        </w:rPr>
        <w:t xml:space="preserve">מכל מקום טוענת המשיבה כי העונש שנפסק בענייננו הוא מוצדק </w:t>
      </w:r>
      <w:r>
        <w:rPr>
          <w:rtl w:val="true"/>
        </w:rPr>
        <w:t>–</w:t>
      </w:r>
      <w:r>
        <w:rPr>
          <w:rtl w:val="true"/>
        </w:rPr>
        <w:t xml:space="preserve"> והיא מדגישה את חומרת מעשיו של המערער</w:t>
      </w:r>
      <w:r>
        <w:rPr>
          <w:rtl w:val="true"/>
        </w:rPr>
        <w:t xml:space="preserve">, </w:t>
      </w:r>
      <w:r>
        <w:rPr>
          <w:rtl w:val="true"/>
        </w:rPr>
        <w:t>אשר פעל תוך ניצול קרבתו למתלוננות ופגיעה במשפחה כולה</w:t>
      </w:r>
      <w:r>
        <w:rPr>
          <w:rtl w:val="true"/>
        </w:rPr>
        <w:t xml:space="preserve">, </w:t>
      </w:r>
      <w:r>
        <w:rPr>
          <w:rtl w:val="true"/>
        </w:rPr>
        <w:t>ואת עוצמת הפגיעה שנגרמה למתלוננות בכל תחומי החיים</w:t>
      </w:r>
      <w:r>
        <w:rPr>
          <w:rtl w:val="true"/>
        </w:rPr>
        <w:t xml:space="preserve">. </w:t>
      </w:r>
      <w:r>
        <w:rPr>
          <w:rtl w:val="true"/>
        </w:rPr>
        <w:t>עוד נטען כי המערער זכה להקלה מסוימת בעונשו</w:t>
      </w:r>
      <w:r>
        <w:rPr>
          <w:rtl w:val="true"/>
        </w:rPr>
        <w:t xml:space="preserve">, </w:t>
      </w:r>
      <w:r>
        <w:rPr>
          <w:rtl w:val="true"/>
        </w:rPr>
        <w:t>אך זו מגולמת בהסדר הטיעון עצמו ובהסכמת המשיבה להגביל את תקרת העונש ל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כמו כן מדגישה המשיבה את עברו הפלילי של המערער</w:t>
      </w:r>
      <w:r>
        <w:rPr>
          <w:rtl w:val="true"/>
        </w:rPr>
        <w:t xml:space="preserve">, </w:t>
      </w:r>
      <w:r>
        <w:rPr>
          <w:rtl w:val="true"/>
        </w:rPr>
        <w:t>אשר הורשע בעבר בעבירות הדומות לאלו שבמוקד ההליך הנוכחי</w:t>
      </w:r>
      <w:r>
        <w:rPr>
          <w:rtl w:val="true"/>
        </w:rPr>
        <w:t xml:space="preserve">, </w:t>
      </w:r>
      <w:r>
        <w:rPr>
          <w:rtl w:val="true"/>
        </w:rPr>
        <w:t xml:space="preserve">באופן המעיד לעמדת המשיבה על </w:t>
      </w:r>
      <w:r>
        <w:rPr>
          <w:rtl w:val="true"/>
        </w:rPr>
        <w:t>"</w:t>
      </w:r>
      <w:r>
        <w:rPr>
          <w:rtl w:val="true"/>
        </w:rPr>
        <w:t>דפוס פעולה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שקלתי את טענות הצדדים ובאתי לידי מסקנה כי דין הערעור להידחות</w:t>
      </w:r>
      <w:r>
        <w:rPr>
          <w:rtl w:val="true"/>
        </w:rPr>
        <w:t xml:space="preserve">. </w:t>
      </w:r>
      <w:r>
        <w:rPr>
          <w:rtl w:val="true"/>
        </w:rPr>
        <w:t>הלכה מושרשת היא כי ערכאת הערעור אינה נוטה להתערב בעונשים הנגזרים על ידי הערכאות הדיוניות</w:t>
      </w:r>
      <w:r>
        <w:rPr>
          <w:rtl w:val="true"/>
        </w:rPr>
        <w:t xml:space="preserve">, </w:t>
      </w:r>
      <w:r>
        <w:rPr>
          <w:rtl w:val="true"/>
        </w:rPr>
        <w:t>למעט במקרים חריגים שבהם נפלה טעות מהותית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או כשהעונש סוטה באופן ממשי ממדיניות הענישה הנוהגת או הראויה בנסיבות דומות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322/16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9.10.2016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12.2.2015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2032/19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14.6.2020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העבירות שבהן הורשע המערער הן חמורות ביותר</w:t>
      </w:r>
      <w:r>
        <w:rPr>
          <w:rtl w:val="true"/>
        </w:rPr>
        <w:t xml:space="preserve">. </w:t>
      </w:r>
      <w:r>
        <w:rPr>
          <w:rtl w:val="true"/>
        </w:rPr>
        <w:t xml:space="preserve">המערער ניצל באופן בוטה את אמונן של המתלוננות </w:t>
      </w:r>
      <w:r>
        <w:rPr>
          <w:rtl w:val="true"/>
        </w:rPr>
        <w:t>–</w:t>
      </w:r>
      <w:r>
        <w:rPr>
          <w:rtl w:val="true"/>
        </w:rPr>
        <w:t xml:space="preserve"> נערות צעירות שהיו תלויות בו וראו בו דמות אב </w:t>
      </w:r>
      <w:r>
        <w:rPr>
          <w:rtl w:val="true"/>
        </w:rPr>
        <w:t>–</w:t>
      </w:r>
      <w:r>
        <w:rPr>
          <w:rtl w:val="true"/>
        </w:rPr>
        <w:t xml:space="preserve"> וביצע בהן שורה של עבירות מין קשות לאורך שנים</w:t>
      </w:r>
      <w:r>
        <w:rPr>
          <w:rtl w:val="true"/>
        </w:rPr>
        <w:t xml:space="preserve">. </w:t>
      </w:r>
      <w:r>
        <w:rPr>
          <w:rtl w:val="true"/>
        </w:rPr>
        <w:t>כל זאת עשה המערער תוך הפעלת לחץ</w:t>
      </w:r>
      <w:r>
        <w:rPr>
          <w:rtl w:val="true"/>
        </w:rPr>
        <w:t xml:space="preserve">, </w:t>
      </w:r>
      <w:r>
        <w:rPr>
          <w:rtl w:val="true"/>
        </w:rPr>
        <w:t>איומים ומניפולציות רגשיוֹת פסולות עליהן</w:t>
      </w:r>
      <w:r>
        <w:rPr>
          <w:rtl w:val="true"/>
        </w:rPr>
        <w:t xml:space="preserve">. </w:t>
      </w:r>
      <w:r>
        <w:rPr>
          <w:rtl w:val="true"/>
        </w:rPr>
        <w:t>בחלק מהמקרים ביצע המערער את מעשיו המכוערים בבית המשפחה</w:t>
      </w:r>
      <w:r>
        <w:rPr>
          <w:rtl w:val="true"/>
        </w:rPr>
        <w:t xml:space="preserve">, </w:t>
      </w:r>
      <w:r>
        <w:rPr>
          <w:rtl w:val="true"/>
        </w:rPr>
        <w:t>בעת שאמן של המתלוננות נחה בחדר סמוך</w:t>
      </w:r>
      <w:r>
        <w:rPr>
          <w:rtl w:val="true"/>
        </w:rPr>
        <w:t xml:space="preserve">, </w:t>
      </w:r>
      <w:r>
        <w:rPr>
          <w:rtl w:val="true"/>
        </w:rPr>
        <w:t>לאחר קבלת טיפול תרופתי</w:t>
      </w:r>
      <w:r>
        <w:rPr>
          <w:rtl w:val="true"/>
        </w:rPr>
        <w:t xml:space="preserve">. </w:t>
      </w:r>
      <w:r>
        <w:rPr>
          <w:rtl w:val="true"/>
        </w:rPr>
        <w:t>במעשיו אלה פגע המערער פגיעה קשה ומתמשכת בגופן ובנפשן של המתלוננות</w:t>
      </w:r>
      <w:r>
        <w:rPr>
          <w:rtl w:val="true"/>
        </w:rPr>
        <w:t xml:space="preserve">, </w:t>
      </w:r>
      <w:r>
        <w:rPr>
          <w:rtl w:val="true"/>
        </w:rPr>
        <w:t>בהתפתחותן התקינה וביכולתן ליתן אמון ביחסיהן עם הזולת</w:t>
      </w:r>
      <w:r>
        <w:rPr>
          <w:rtl w:val="true"/>
        </w:rPr>
        <w:t xml:space="preserve">. </w:t>
      </w:r>
      <w:r>
        <w:rPr>
          <w:rtl w:val="true"/>
        </w:rPr>
        <w:t>היקף הפגיעה</w:t>
      </w:r>
      <w:r>
        <w:rPr>
          <w:rtl w:val="true"/>
        </w:rPr>
        <w:t xml:space="preserve">, </w:t>
      </w:r>
      <w:r>
        <w:rPr>
          <w:rtl w:val="true"/>
        </w:rPr>
        <w:t>כמו גם תעצומות הנפש של המתלוננות</w:t>
      </w:r>
      <w:r>
        <w:rPr>
          <w:rtl w:val="true"/>
        </w:rPr>
        <w:t xml:space="preserve">, </w:t>
      </w:r>
      <w:r>
        <w:rPr>
          <w:rtl w:val="true"/>
        </w:rPr>
        <w:t>אשר אזרו אומץ לחשוף את המעשים שבוצעו בהן</w:t>
      </w:r>
      <w:r>
        <w:rPr>
          <w:rtl w:val="true"/>
        </w:rPr>
        <w:t xml:space="preserve">, </w:t>
      </w:r>
      <w:r>
        <w:rPr>
          <w:rtl w:val="true"/>
        </w:rPr>
        <w:t>עולים בבירור מן המסמכים שהוגשו בהליך ומדבריה הנכוחים של ב</w:t>
      </w:r>
      <w:r>
        <w:rPr>
          <w:rtl w:val="true"/>
        </w:rPr>
        <w:t xml:space="preserve">' </w:t>
      </w:r>
      <w:r>
        <w:rPr>
          <w:rtl w:val="true"/>
        </w:rPr>
        <w:t xml:space="preserve">במהלך הדיון שהתקיים לפנינו ביום </w:t>
      </w:r>
      <w:r>
        <w:rPr/>
        <w:t>26.12.2022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בפסיקה הנוגעת לעבירות מין כלפי קטינים במשפחה</w:t>
      </w:r>
      <w:r>
        <w:rPr>
          <w:rtl w:val="true"/>
        </w:rPr>
        <w:t xml:space="preserve">, </w:t>
      </w:r>
      <w:r>
        <w:rPr>
          <w:rtl w:val="true"/>
        </w:rPr>
        <w:t>עמד בית משפט זה פעם אחר פעם על חומרתן המיוחדת</w:t>
      </w:r>
      <w:r>
        <w:rPr>
          <w:rtl w:val="true"/>
        </w:rPr>
        <w:t xml:space="preserve">, </w:t>
      </w:r>
      <w:r>
        <w:rPr>
          <w:rtl w:val="true"/>
        </w:rPr>
        <w:t xml:space="preserve">והדגיש את הצורך בהכבדת הענישה בגינן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6160/21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Times New Roman" w:ascii="Times New Roman" w:hAnsi="Times New Roman"/>
          <w:rtl w:val="true"/>
        </w:rPr>
        <w:t>‏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18.7.2022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2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6160/21</w:t>
        </w:r>
      </w:hyperlink>
      <w:r>
        <w:rPr>
          <w:rtl w:val="true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1935/20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28-26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31.3.2021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הצדדים הגיעו להסכמה באשר לטווח הענישה</w:t>
      </w:r>
      <w:r>
        <w:rPr>
          <w:rtl w:val="true"/>
        </w:rPr>
        <w:t xml:space="preserve">. </w:t>
      </w:r>
      <w:r>
        <w:rPr>
          <w:rtl w:val="true"/>
        </w:rPr>
        <w:t>המערער מלין על כך שהעונש שנגזר עליו מצוי בקצה העליון של הטווח וטוען לנסיבות שיש בהן כדי להצדיק הקלה עמו</w:t>
      </w:r>
      <w:r>
        <w:rPr>
          <w:rtl w:val="true"/>
        </w:rPr>
        <w:t xml:space="preserve">, </w:t>
      </w:r>
      <w:r>
        <w:rPr>
          <w:rtl w:val="true"/>
        </w:rPr>
        <w:t>בפרט בשל מצבו הרפואי וכן בשל העובדה שהודאתו חסכה את המשך ניהול ההליך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אין בידי לקבל טענות אלו</w:t>
      </w:r>
      <w:r>
        <w:rPr>
          <w:rtl w:val="true"/>
        </w:rPr>
        <w:t xml:space="preserve">. </w:t>
      </w:r>
      <w:r>
        <w:rPr>
          <w:rtl w:val="true"/>
        </w:rPr>
        <w:t>כפי שפורט לעיל</w:t>
      </w:r>
      <w:r>
        <w:rPr>
          <w:rtl w:val="true"/>
        </w:rPr>
        <w:t xml:space="preserve">, </w:t>
      </w:r>
      <w:r>
        <w:rPr>
          <w:rtl w:val="true"/>
        </w:rPr>
        <w:t>העונש שנגזר על המערער נקבע לאחר בחינה סדורה ושיטתית שערך בית המשפט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ובעקבותיה הדגיש כי אף שטווח העונש המוסכם חורג באופן משמעותי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לקולה</w:t>
      </w:r>
      <w:r>
        <w:rPr>
          <w:rtl w:val="true"/>
        </w:rPr>
        <w:t xml:space="preserve"> ממתחם העונש הראוי </w:t>
      </w:r>
      <w:r>
        <w:rPr>
          <w:rtl w:val="true"/>
        </w:rPr>
        <w:t>(</w:t>
      </w:r>
      <w:r>
        <w:rPr>
          <w:rtl w:val="true"/>
        </w:rPr>
        <w:t xml:space="preserve">בהפנותו </w:t>
      </w:r>
      <w:hyperlink r:id="rId24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העוסק בעבירות מין במשפחה והקובע עונש מאסר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), </w:t>
      </w:r>
      <w:r>
        <w:rPr>
          <w:rtl w:val="true"/>
        </w:rPr>
        <w:t>הוא ראה להסתפק בהטלת עונש ברף העליון של מתחם העונש שסוכם ולא להתערב בהסדר הטיעון לחומרה</w:t>
      </w:r>
      <w:r>
        <w:rPr>
          <w:rtl w:val="true"/>
        </w:rPr>
        <w:t xml:space="preserve">. </w:t>
      </w:r>
      <w:r>
        <w:rPr>
          <w:rtl w:val="true"/>
        </w:rPr>
        <w:t xml:space="preserve">מסקנתו זו של בית המשפט קמא מקובלת עלי וברי כי בנסיבות החמורות של הפרשה שלפנינו אין מדובר בעונש המחמיר עם המערער יתר על המידה והמצדיק התערבות של ערכאת הערעור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22.3.2021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781/19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13.1.2021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5259/19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26.7.2021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בית המשפט קמא שקל את העובדה שהודאת המערער חסכה את המשך ניהול ההליך</w:t>
      </w:r>
      <w:r>
        <w:rPr>
          <w:rtl w:val="true"/>
        </w:rPr>
        <w:t xml:space="preserve">, </w:t>
      </w:r>
      <w:r>
        <w:rPr>
          <w:rtl w:val="true"/>
        </w:rPr>
        <w:t xml:space="preserve">וכן ציין שמצבו הרפואי של המערער עשוי היה להצדיק הקלה מסוימת עמו </w:t>
      </w:r>
      <w:r>
        <w:rPr>
          <w:rtl w:val="true"/>
        </w:rPr>
        <w:t>–</w:t>
      </w:r>
      <w:r>
        <w:rPr>
          <w:rtl w:val="true"/>
        </w:rPr>
        <w:t xml:space="preserve"> אך הוסיף וקבע כי מן העבר השני ניצבים שיקולים כבדי</w:t>
      </w:r>
      <w:r>
        <w:rPr>
          <w:rtl w:val="true"/>
        </w:rPr>
        <w:t>-</w:t>
      </w:r>
      <w:r>
        <w:rPr>
          <w:rtl w:val="true"/>
        </w:rPr>
        <w:t>משקל המצדיקים היצמדות לקצה העליון של טווח הענישה</w:t>
      </w:r>
      <w:r>
        <w:rPr>
          <w:rtl w:val="true"/>
        </w:rPr>
        <w:t xml:space="preserve">. </w:t>
      </w:r>
      <w:r>
        <w:rPr>
          <w:rtl w:val="true"/>
        </w:rPr>
        <w:t>בתוך כך עמד בית המשפט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על חומרת העבירות שבהן הורשע המערער</w:t>
      </w:r>
      <w:r>
        <w:rPr>
          <w:rtl w:val="true"/>
        </w:rPr>
        <w:t xml:space="preserve">; </w:t>
      </w:r>
      <w:r>
        <w:rPr>
          <w:rtl w:val="true"/>
        </w:rPr>
        <w:t>על ריבוי הנפגעות והתמשכות המעשים</w:t>
      </w:r>
      <w:r>
        <w:rPr>
          <w:rtl w:val="true"/>
        </w:rPr>
        <w:t xml:space="preserve">; </w:t>
      </w:r>
      <w:r>
        <w:rPr>
          <w:rtl w:val="true"/>
        </w:rPr>
        <w:t>על עברו הפלילי</w:t>
      </w:r>
      <w:r>
        <w:rPr>
          <w:rtl w:val="true"/>
        </w:rPr>
        <w:t xml:space="preserve">, </w:t>
      </w:r>
      <w:r>
        <w:rPr>
          <w:rtl w:val="true"/>
        </w:rPr>
        <w:t>אשר כולל הרשעה בעבירות הדומות במידה מסוימת לעבירות הנוכחיות</w:t>
      </w:r>
      <w:r>
        <w:rPr>
          <w:rtl w:val="true"/>
        </w:rPr>
        <w:t xml:space="preserve">; </w:t>
      </w:r>
      <w:r>
        <w:rPr>
          <w:rtl w:val="true"/>
        </w:rPr>
        <w:t>על הרושם שהמערער לא הפנים את הנזק שגרם ולא ביטא חרטה פנימית והכאה על חטא</w:t>
      </w:r>
      <w:r>
        <w:rPr>
          <w:rtl w:val="true"/>
        </w:rPr>
        <w:t xml:space="preserve">; </w:t>
      </w:r>
      <w:r>
        <w:rPr>
          <w:rtl w:val="true"/>
        </w:rPr>
        <w:t>ועל העובדה שהמערער בחר להודות ולהסכים להסדר הטיעון רק לאחר תחילת עדותה של ב</w:t>
      </w:r>
      <w:r>
        <w:rPr>
          <w:rtl w:val="true"/>
        </w:rPr>
        <w:t>'.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כפי שציינתי</w:t>
      </w:r>
      <w:r>
        <w:rPr>
          <w:rtl w:val="true"/>
        </w:rPr>
        <w:t xml:space="preserve">, </w:t>
      </w:r>
      <w:r>
        <w:rPr>
          <w:rtl w:val="true"/>
        </w:rPr>
        <w:t>אני סבורה כי גזר</w:t>
      </w:r>
      <w:r>
        <w:rPr>
          <w:rtl w:val="true"/>
        </w:rPr>
        <w:t>-</w:t>
      </w:r>
      <w:r>
        <w:rPr>
          <w:rtl w:val="true"/>
        </w:rPr>
        <w:t>דינו של בית המשפט קמא מבטא בחינה יסודית</w:t>
      </w:r>
      <w:r>
        <w:rPr>
          <w:rtl w:val="true"/>
        </w:rPr>
        <w:t xml:space="preserve">, </w:t>
      </w:r>
      <w:r>
        <w:rPr>
          <w:rtl w:val="true"/>
        </w:rPr>
        <w:t>מאוזנת ושקולה של מכלול הנסיבות הצריכות לעניין</w:t>
      </w:r>
      <w:r>
        <w:rPr>
          <w:rtl w:val="true"/>
        </w:rPr>
        <w:t xml:space="preserve">, </w:t>
      </w:r>
      <w:r>
        <w:rPr>
          <w:rtl w:val="true"/>
        </w:rPr>
        <w:t>ולא מצאתי כי יש בטיעוני המערער בפנינו כדי להצדיק התערבות בגזר הדין</w:t>
      </w:r>
      <w:r>
        <w:rPr>
          <w:rtl w:val="true"/>
        </w:rPr>
        <w:t xml:space="preserve">. </w:t>
      </w:r>
      <w:r>
        <w:rPr>
          <w:rtl w:val="true"/>
        </w:rPr>
        <w:t>עונש המאסר בפועל שהוטל על המערער הוא אכן ממושך</w:t>
      </w:r>
      <w:r>
        <w:rPr>
          <w:rtl w:val="true"/>
        </w:rPr>
        <w:t xml:space="preserve">, </w:t>
      </w:r>
      <w:r>
        <w:rPr>
          <w:rtl w:val="true"/>
        </w:rPr>
        <w:t>אך בהינתן המעשים הקשים שביצע המערער בשלוש בנות משפחתו</w:t>
      </w:r>
      <w:r>
        <w:rPr>
          <w:rtl w:val="true"/>
        </w:rPr>
        <w:t xml:space="preserve">, </w:t>
      </w:r>
      <w:r>
        <w:rPr>
          <w:rtl w:val="true"/>
        </w:rPr>
        <w:t>לאורך זמן ותוך ניצול גילן הצעיר ותלותן בו</w:t>
      </w:r>
      <w:r>
        <w:rPr>
          <w:rtl w:val="true"/>
        </w:rPr>
        <w:t xml:space="preserve">, </w:t>
      </w:r>
      <w:r>
        <w:rPr>
          <w:rtl w:val="true"/>
        </w:rPr>
        <w:t>מקובלת עליי קביעתו של בית המשפט קמא ולפיה אלמלא הסדר הטיעון היה עונשו של המערער בגין מעשים אלה חמור פי כמה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הסכמת המערער להסדר הטיעון והודאתו בעובדות כתב האישום המתוקן חסכו את המשך שמיעת הראיות</w:t>
      </w:r>
      <w:r>
        <w:rPr>
          <w:rtl w:val="true"/>
        </w:rPr>
        <w:t xml:space="preserve">, </w:t>
      </w:r>
      <w:r>
        <w:rPr>
          <w:rtl w:val="true"/>
        </w:rPr>
        <w:t>את העדתן של א</w:t>
      </w:r>
      <w:r>
        <w:rPr>
          <w:rtl w:val="true"/>
        </w:rPr>
        <w:t xml:space="preserve">' </w:t>
      </w:r>
      <w:r>
        <w:rPr>
          <w:rtl w:val="true"/>
        </w:rPr>
        <w:t>וג</w:t>
      </w:r>
      <w:r>
        <w:rPr>
          <w:rtl w:val="true"/>
        </w:rPr>
        <w:t xml:space="preserve">' </w:t>
      </w:r>
      <w:r>
        <w:rPr>
          <w:rtl w:val="true"/>
        </w:rPr>
        <w:t>ואת המשך עדותה של ב</w:t>
      </w:r>
      <w:r>
        <w:rPr>
          <w:rtl w:val="true"/>
        </w:rPr>
        <w:t xml:space="preserve">'. </w:t>
      </w:r>
      <w:r>
        <w:rPr>
          <w:rtl w:val="true"/>
        </w:rPr>
        <w:t>בית המשפט התחשב בכך בעת גזירת עונשו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אך קבע כי אין בנסיבה זו כדי להצדיק הקלה עמו בהינתן התמונה כולה </w:t>
      </w:r>
      <w:r>
        <w:rPr>
          <w:rtl w:val="true"/>
        </w:rPr>
        <w:t>–</w:t>
      </w:r>
      <w:r>
        <w:rPr>
          <w:rtl w:val="true"/>
        </w:rPr>
        <w:t xml:space="preserve"> לרבות העובדה שהמערער הודה רק לאחר תחילת שמיעת עדותה של ב</w:t>
      </w:r>
      <w:r>
        <w:rPr>
          <w:rtl w:val="true"/>
        </w:rPr>
        <w:t xml:space="preserve">', </w:t>
      </w:r>
      <w:r>
        <w:rPr>
          <w:rtl w:val="true"/>
        </w:rPr>
        <w:t>ויתר השיקולים שאותם מנה ושאותם פירטתי באריכות לעיל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 שוכנעתי שיש מקום להתערבותה של ערכאת הערעור בקביעה זו</w:t>
      </w:r>
      <w:r>
        <w:rPr>
          <w:rtl w:val="true"/>
        </w:rPr>
        <w:t xml:space="preserve">, </w:t>
      </w:r>
      <w:r>
        <w:rPr>
          <w:rtl w:val="true"/>
        </w:rPr>
        <w:t>ואוסיף כי לגישתי אף יש ממש בקביעה כי הודאת המערער אינה משקפת חרטה והבנה מלאה של הנזק שגרם</w:t>
      </w:r>
      <w:r>
        <w:rPr>
          <w:rtl w:val="true"/>
        </w:rPr>
        <w:t xml:space="preserve">. </w:t>
      </w:r>
      <w:r>
        <w:rPr>
          <w:rtl w:val="true"/>
        </w:rPr>
        <w:t xml:space="preserve">לא למותר להפנות בהקשר זה לדברים שאמר המערער במהלך הדיון שהתקיים לפנינו ביום </w:t>
      </w:r>
      <w:r>
        <w:rPr/>
        <w:t>26.12.2022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שם ציין כי לא פעל מתוך כוונה לפגוע</w:t>
      </w:r>
      <w:r>
        <w:rPr>
          <w:rtl w:val="true"/>
        </w:rPr>
        <w:t xml:space="preserve">, </w:t>
      </w:r>
      <w:r>
        <w:rPr>
          <w:rtl w:val="true"/>
        </w:rPr>
        <w:t>ובהתייחסו למעשיו הוסיף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: </w:t>
      </w:r>
      <w:r>
        <w:rPr>
          <w:rtl w:val="true"/>
        </w:rPr>
        <w:t>"</w:t>
      </w:r>
      <w:r>
        <w:rPr>
          <w:rtl w:val="true"/>
        </w:rPr>
        <w:t>פתאום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 </w:t>
      </w:r>
      <w:r>
        <w:rPr>
          <w:rtl w:val="true"/>
        </w:rPr>
        <w:t>יושבת</w:t>
      </w:r>
      <w:r>
        <w:rPr>
          <w:rtl w:val="true"/>
        </w:rPr>
        <w:t xml:space="preserve"> </w:t>
      </w:r>
      <w:r>
        <w:rPr>
          <w:rtl w:val="true"/>
        </w:rPr>
        <w:t>ומדברת</w:t>
      </w:r>
      <w:r>
        <w:rPr>
          <w:rtl w:val="true"/>
        </w:rPr>
        <w:t xml:space="preserve"> </w:t>
      </w:r>
      <w:r>
        <w:rPr>
          <w:rtl w:val="true"/>
        </w:rPr>
        <w:t>ונוגעת</w:t>
      </w:r>
      <w:r>
        <w:rPr>
          <w:rtl w:val="true"/>
        </w:rPr>
        <w:t xml:space="preserve"> </w:t>
      </w:r>
      <w:r>
        <w:rPr>
          <w:rtl w:val="true"/>
        </w:rPr>
        <w:t>בך</w:t>
      </w:r>
      <w:r>
        <w:rPr>
          <w:rtl w:val="true"/>
        </w:rPr>
        <w:t xml:space="preserve"> </w:t>
      </w:r>
      <w:r>
        <w:rPr>
          <w:rtl w:val="true"/>
        </w:rPr>
        <w:t>והייתי</w:t>
      </w:r>
      <w:r>
        <w:rPr>
          <w:rtl w:val="true"/>
        </w:rPr>
        <w:t xml:space="preserve"> </w:t>
      </w:r>
      <w:r>
        <w:rPr>
          <w:rtl w:val="true"/>
        </w:rPr>
        <w:t>כמה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>שמישהו</w:t>
      </w:r>
      <w:r>
        <w:rPr>
          <w:rtl w:val="true"/>
        </w:rPr>
        <w:t xml:space="preserve"> </w:t>
      </w:r>
      <w:r>
        <w:rPr>
          <w:rtl w:val="true"/>
        </w:rPr>
        <w:t>יגע</w:t>
      </w:r>
      <w:r>
        <w:rPr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tl w:val="true"/>
        </w:rPr>
        <w:t xml:space="preserve"> </w:t>
      </w:r>
      <w:r>
        <w:rPr>
          <w:rtl w:val="true"/>
        </w:rPr>
        <w:t>יעשה</w:t>
      </w:r>
      <w:r>
        <w:rPr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>?</w:t>
      </w:r>
      <w:r>
        <w:rPr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 </w:t>
      </w:r>
      <w:r>
        <w:rPr>
          <w:rtl w:val="true"/>
        </w:rPr>
        <w:t>שלוש</w:t>
      </w:r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 xml:space="preserve"> </w:t>
      </w:r>
      <w:r>
        <w:rPr>
          <w:rtl w:val="true"/>
        </w:rPr>
        <w:t>שלוש</w:t>
      </w:r>
      <w:r>
        <w:rPr>
          <w:rtl w:val="true"/>
        </w:rPr>
        <w:t xml:space="preserve"> </w:t>
      </w:r>
      <w:r>
        <w:rPr>
          <w:rtl w:val="true"/>
        </w:rPr>
        <w:t>בנות</w:t>
      </w:r>
      <w:r>
        <w:rPr>
          <w:rtl w:val="true"/>
        </w:rPr>
        <w:t xml:space="preserve"> </w:t>
      </w:r>
      <w:r>
        <w:rPr>
          <w:rtl w:val="true"/>
        </w:rPr>
        <w:t>איתי</w:t>
      </w:r>
      <w:r>
        <w:rPr>
          <w:rtl w:val="true"/>
        </w:rPr>
        <w:t xml:space="preserve"> </w:t>
      </w:r>
      <w:r>
        <w:rPr>
          <w:rtl w:val="true"/>
        </w:rPr>
        <w:t>ועושים</w:t>
      </w:r>
      <w:r>
        <w:rPr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 </w:t>
      </w:r>
      <w:r>
        <w:rPr>
          <w:rtl w:val="true"/>
        </w:rPr>
        <w:t>שעושים</w:t>
      </w:r>
      <w:r>
        <w:rPr>
          <w:rtl w:val="true"/>
        </w:rPr>
        <w:t xml:space="preserve"> </w:t>
      </w:r>
      <w:r>
        <w:rPr>
          <w:rtl w:val="true"/>
        </w:rPr>
        <w:t>והאמא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יודעת</w:t>
      </w:r>
      <w:r>
        <w:rPr>
          <w:rtl w:val="true"/>
        </w:rPr>
        <w:t xml:space="preserve">? </w:t>
      </w:r>
      <w:r>
        <w:rPr>
          <w:rtl w:val="true"/>
        </w:rPr>
        <w:t>איך</w:t>
      </w:r>
      <w:r>
        <w:rPr>
          <w:rtl w:val="true"/>
        </w:rPr>
        <w:t xml:space="preserve">? </w:t>
      </w:r>
      <w:r>
        <w:rPr>
          <w:rtl w:val="true"/>
        </w:rPr>
        <w:t>סימן</w:t>
      </w:r>
      <w:r>
        <w:rPr>
          <w:rtl w:val="true"/>
        </w:rPr>
        <w:t xml:space="preserve"> </w:t>
      </w:r>
      <w:r>
        <w:rPr>
          <w:rtl w:val="true"/>
        </w:rPr>
        <w:t>שלכולם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בסוף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אשמות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 </w:t>
      </w:r>
      <w:r>
        <w:rPr>
          <w:rtl w:val="true"/>
        </w:rPr>
        <w:t>מצטער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tl w:val="true"/>
        </w:rPr>
        <w:t xml:space="preserve"> </w:t>
      </w:r>
      <w:r>
        <w:rPr/>
        <w:t>23-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למתלוננות</w:t>
      </w:r>
      <w:r>
        <w:rPr>
          <w:rtl w:val="true"/>
        </w:rPr>
        <w:t xml:space="preserve">, </w:t>
      </w:r>
      <w:r>
        <w:rPr>
          <w:rtl w:val="true"/>
        </w:rPr>
        <w:t>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וסיפקו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 xml:space="preserve">טענת המערער כי נטילת האחריות מצדו מצדיקה הקלה בעונשו </w:t>
      </w:r>
      <w:r>
        <w:rPr>
          <w:rtl w:val="true"/>
        </w:rPr>
        <w:t>–</w:t>
      </w:r>
      <w:r>
        <w:rPr>
          <w:rtl w:val="true"/>
        </w:rPr>
        <w:t xml:space="preserve"> דינה להידחות</w:t>
      </w:r>
      <w:r>
        <w:rPr>
          <w:rtl w:val="true"/>
        </w:rPr>
        <w:t xml:space="preserve">, </w:t>
      </w:r>
      <w:r>
        <w:rPr>
          <w:rtl w:val="true"/>
        </w:rPr>
        <w:t>וזאת מן הנימוק שפירט הוא עצמו בערעור בציינו</w:t>
      </w:r>
      <w:r>
        <w:rPr>
          <w:rtl w:val="true"/>
        </w:rPr>
        <w:t xml:space="preserve">: </w:t>
      </w:r>
      <w:r>
        <w:rPr>
          <w:rtl w:val="true"/>
        </w:rPr>
        <w:t>"</w:t>
      </w:r>
      <w:r>
        <w:rPr>
          <w:rtl w:val="true"/>
        </w:rPr>
        <w:t>כל זמן שאדם אינו מסוגל לקבל על עצמו אחריות מלאה על השלכות מעשיו ספק גדול אם הוא רשאי לבקש שיקלו בעונשו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מצבו הרפואי של המערער אף הוא נלקח בחשבון על ידי בית המשפט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ולא מצאתי מקום להתערב במסקנתו כי נסיבה זו אינה מצדיקה כשלעצמה הקלה בעונשו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7924/12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הרצריקן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11.2.2013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7878/12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ארגוב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21.5.2013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6160/21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בפסקאות </w:t>
      </w:r>
      <w:r>
        <w:rPr/>
        <w:t>17-16</w:t>
      </w:r>
      <w:r>
        <w:rPr>
          <w:rtl w:val="true"/>
        </w:rPr>
        <w:t xml:space="preserve">). </w:t>
      </w:r>
      <w:r>
        <w:rPr>
          <w:rtl w:val="true"/>
        </w:rPr>
        <w:t xml:space="preserve">מבלי להקל ראש במצבו הרפואי של המערער ובקשיים היומיומיים שעמם הוא מתמודד בהקשר זה </w:t>
      </w:r>
      <w:r>
        <w:rPr>
          <w:rtl w:val="true"/>
        </w:rPr>
        <w:t>–</w:t>
      </w:r>
      <w:r>
        <w:rPr>
          <w:rtl w:val="true"/>
        </w:rPr>
        <w:t xml:space="preserve"> ניתנת למערער האפשרות לקבל טיפול הולם בין כתלי בית הסוהר</w:t>
      </w:r>
      <w:r>
        <w:rPr>
          <w:rtl w:val="true"/>
        </w:rPr>
        <w:t xml:space="preserve">, </w:t>
      </w:r>
      <w:r>
        <w:rPr>
          <w:rtl w:val="true"/>
        </w:rPr>
        <w:t xml:space="preserve">והמערער אף לא טען אחרת בערעורו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7757/21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מרזוקי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27-25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24.5.2022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טענתו הנוספת של המערער</w:t>
      </w:r>
      <w:r>
        <w:rPr>
          <w:rtl w:val="true"/>
        </w:rPr>
        <w:t xml:space="preserve">, </w:t>
      </w:r>
      <w:r>
        <w:rPr>
          <w:rtl w:val="true"/>
        </w:rPr>
        <w:t>לפיה ציפייתו ואינטרס ההסתמכות שלו הצדיקו הימנעות מגזירת עונש המצוי בקצה העליון של הטווח המוסכם</w:t>
      </w:r>
      <w:r>
        <w:rPr>
          <w:rtl w:val="true"/>
        </w:rPr>
        <w:t xml:space="preserve">, </w:t>
      </w:r>
      <w:r>
        <w:rPr>
          <w:rtl w:val="true"/>
        </w:rPr>
        <w:t>אף היא אין לה על מה שתסמוך</w:t>
      </w:r>
      <w:r>
        <w:rPr>
          <w:rtl w:val="true"/>
        </w:rPr>
        <w:t xml:space="preserve">. </w:t>
      </w:r>
      <w:r>
        <w:rPr>
          <w:rtl w:val="true"/>
        </w:rPr>
        <w:t>די בכך שאדגיש כי הפסיקה שאליה הפנה המערער באשר לאינטרס ההסתמכות של נאשם על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עוסקת בשאלה אם אינטרס ההסתמכות משפיע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הנכונות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להתערב</w:t>
      </w:r>
      <w:r>
        <w:rPr>
          <w:rFonts w:ascii="Century" w:hAnsi="Century" w:cs="Century"/>
          <w:sz w:val="22"/>
          <w:sz w:val="22"/>
          <w:rtl w:val="true"/>
        </w:rPr>
        <w:t xml:space="preserve"> בהסדר טיעון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ולא בפסיקת עונש כזה או אחר </w:t>
      </w:r>
      <w:r>
        <w:rPr>
          <w:rFonts w:ascii="Miriam" w:hAnsi="Miriam" w:cs="Miriam"/>
          <w:sz w:val="20"/>
          <w:sz w:val="20"/>
          <w:szCs w:val="24"/>
          <w:rtl w:val="true"/>
        </w:rPr>
        <w:t xml:space="preserve">בתוך הטווח </w:t>
      </w:r>
      <w:r>
        <w:rPr>
          <w:rFonts w:ascii="Century" w:hAnsi="Century" w:cs="Century"/>
          <w:sz w:val="22"/>
          <w:sz w:val="22"/>
          <w:rtl w:val="true"/>
        </w:rPr>
        <w:t xml:space="preserve">שעליו הסכימו הצדדים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3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1454/15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10.8.2015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מכל הטעמים שפורטו לעיל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ascii="FrankRuehl" w:hAnsi="FrankRuehl"/>
          <w:color w:val="000000"/>
          <w:sz w:val="28"/>
          <w:sz w:val="28"/>
          <w:rtl w:val="true"/>
        </w:rPr>
        <w:t>ה נ ש י א ה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שטייניץ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ascii="Century" w:hAnsi="Century" w:cs="Century"/>
          <w:rtl w:val="true"/>
        </w:rPr>
        <w:t>ש ו פ ט ת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ascii="Century" w:hAnsi="Century" w:cs="Century"/>
          <w:rtl w:val="true"/>
        </w:rPr>
        <w:t xml:space="preserve">ש ו פ ט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הוחלט כאמור בפסק דינה של הנשיאה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bookmarkStart w:id="15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באדר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19.3.2023</w:t>
      </w:r>
      <w:r>
        <w:rPr>
          <w:rFonts w:cs="Century" w:ascii="Century" w:hAnsi="Century"/>
          <w:rtl w:val="true"/>
        </w:rPr>
        <w:t xml:space="preserve">). </w:t>
      </w:r>
      <w:bookmarkEnd w:id="15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sz w:val="16"/>
          <w:rtl w:val="true"/>
        </w:rPr>
        <w:t xml:space="preserve">   </w:t>
      </w:r>
      <w:r>
        <w:rPr>
          <w:sz w:val="16"/>
        </w:rPr>
        <w:t>21078680</w:t>
      </w:r>
      <w:r>
        <w:rPr>
          <w:sz w:val="16"/>
          <w:rtl w:val="true"/>
        </w:rPr>
        <w:t>_</w:t>
      </w:r>
      <w:r>
        <w:rPr>
          <w:sz w:val="16"/>
        </w:rPr>
        <w:t>V05.docx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רי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4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גרוסקופף </w:t>
      </w:r>
      <w:r>
        <w:rPr>
          <w:rFonts w:cs="David" w:ascii="David" w:hAnsi="David"/>
          <w:color w:val="000000"/>
          <w:szCs w:val="22"/>
        </w:rPr>
        <w:t>54678313-7868/21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גרוסקופף </w:t>
      </w:r>
      <w:r>
        <w:rPr>
          <w:rFonts w:cs="David" w:ascii="David" w:hAnsi="David"/>
          <w:color w:val="000000"/>
          <w:szCs w:val="22"/>
        </w:rPr>
        <w:t>54678313-7868/21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36"/>
      <w:footerReference w:type="default" r:id="rId3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Calibri Light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7868/21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אילן דאנה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8"/>
        <w:lang w:val="en-US" w:bidi="he-I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Ruller42"/>
    <w:next w:val="Normal"/>
    <w:qFormat/>
    <w:pPr>
      <w:numPr>
        <w:ilvl w:val="0"/>
        <w:numId w:val="1"/>
      </w:numPr>
      <w:outlineLvl w:val="0"/>
    </w:pPr>
    <w:rPr>
      <w:rFonts w:ascii="Century" w:hAnsi="Century" w:cs="Miriam"/>
      <w:b/>
      <w:spacing w:val="0"/>
      <w:sz w:val="22"/>
      <w:szCs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360" w:before="240" w:after="60"/>
      <w:outlineLvl w:val="1"/>
    </w:pPr>
    <w:rPr>
      <w:rFonts w:ascii="Calibri Light" w:hAnsi="Calibri Light" w:cs="Times New Roman"/>
      <w:b/>
      <w:bCs/>
      <w:i/>
      <w:iCs/>
      <w:spacing w:val="10"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 w:before="240" w:after="60"/>
      <w:outlineLvl w:val="2"/>
    </w:pPr>
    <w:rPr>
      <w:rFonts w:ascii="Calibri Light" w:hAnsi="Calibri Light" w:cs="Times New Roman"/>
      <w:b/>
      <w:bCs/>
      <w:spacing w:val="10"/>
      <w:sz w:val="26"/>
      <w:szCs w:val="26"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overflowPunct w:val="true"/>
      <w:autoSpaceDE w:val="true"/>
      <w:bidi w:val="0"/>
      <w:spacing w:before="280" w:after="280"/>
      <w:textAlignment w:val="auto"/>
      <w:outlineLvl w:val="4"/>
    </w:pPr>
    <w:rPr>
      <w:rFonts w:cs="Times New Roman"/>
      <w:b/>
      <w:bCs/>
      <w:szCs w:val="20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b/>
      <w:bCs/>
      <w:sz w:val="28"/>
      <w:szCs w:val="28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Symbol" w:hAnsi="Symbol" w:eastAsia="Times New Roman" w:cs="FrankRueh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  <w:sz w:val="32"/>
      <w:szCs w:val="32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7z0">
    <w:name w:val="WW8Num17z0"/>
    <w:qFormat/>
    <w:rPr>
      <w:rFonts w:ascii="Symbol" w:hAnsi="Symbol" w:eastAsia="Times New Roman" w:cs="FrankRueh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eastAsia="Times New Roman" w:cs="FrankRueh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sz w:val="28"/>
    </w:rPr>
  </w:style>
  <w:style w:type="character" w:styleId="WW8Num20z0">
    <w:name w:val="WW8Num20z0"/>
    <w:qFormat/>
    <w:rPr>
      <w:b/>
      <w:bCs/>
      <w:sz w:val="28"/>
      <w:szCs w:val="28"/>
    </w:rPr>
  </w:style>
  <w:style w:type="character" w:styleId="WW8Num21z0">
    <w:name w:val="WW8Num21z0"/>
    <w:qFormat/>
    <w:rPr/>
  </w:style>
  <w:style w:type="character" w:styleId="WW8Num22z0">
    <w:name w:val="WW8Num22z0"/>
    <w:qFormat/>
    <w:rPr>
      <w:rFonts w:ascii="Symbol" w:hAnsi="Symbol" w:cs="Symbol"/>
      <w:sz w:val="28"/>
    </w:rPr>
  </w:style>
  <w:style w:type="character" w:styleId="WW8Num24z0">
    <w:name w:val="WW8Num24z0"/>
    <w:qFormat/>
    <w:rPr>
      <w:sz w:val="28"/>
      <w:lang w:val="en-US" w:bidi="he-IL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eastAsia="Times New Roman" w:cs="FrankRueh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5">
    <w:name w:val=" Char Char5"/>
    <w:qFormat/>
    <w:rPr>
      <w:rFonts w:cs="David"/>
    </w:rPr>
  </w:style>
  <w:style w:type="character" w:styleId="CharChar4">
    <w:name w:val=" Char Char4"/>
    <w:qFormat/>
    <w:rPr>
      <w:rFonts w:cs="David"/>
      <w:b/>
      <w:bCs/>
    </w:rPr>
  </w:style>
  <w:style w:type="character" w:styleId="CharChar3">
    <w:name w:val=" Char Char3"/>
    <w:qFormat/>
    <w:rPr>
      <w:rFonts w:ascii="Tahoma" w:hAnsi="Tahoma" w:cs="Tahoma"/>
      <w:sz w:val="18"/>
      <w:szCs w:val="18"/>
    </w:rPr>
  </w:style>
  <w:style w:type="character" w:styleId="CharChar9">
    <w:name w:val=" Char Char9"/>
    <w:qFormat/>
    <w:rPr>
      <w:rFonts w:ascii="Century" w:hAnsi="Century" w:cs="Miriam"/>
      <w:b/>
      <w:sz w:val="22"/>
      <w:szCs w:val="24"/>
    </w:rPr>
  </w:style>
  <w:style w:type="character" w:styleId="CharChar8">
    <w:name w:val=" Char Char8"/>
    <w:qFormat/>
    <w:rPr>
      <w:rFonts w:ascii="Calibri Light" w:hAnsi="Calibri Light" w:cs="Calibri Light"/>
      <w:b/>
      <w:bCs/>
      <w:i/>
      <w:iCs/>
      <w:spacing w:val="10"/>
      <w:sz w:val="28"/>
      <w:szCs w:val="28"/>
    </w:rPr>
  </w:style>
  <w:style w:type="character" w:styleId="CharChar7">
    <w:name w:val=" Char Char7"/>
    <w:qFormat/>
    <w:rPr>
      <w:rFonts w:ascii="Calibri Light" w:hAnsi="Calibri Light" w:cs="Calibri Light"/>
      <w:b/>
      <w:bCs/>
      <w:spacing w:val="10"/>
      <w:sz w:val="26"/>
      <w:szCs w:val="26"/>
    </w:rPr>
  </w:style>
  <w:style w:type="character" w:styleId="CharChar6">
    <w:name w:val=" Char Char6"/>
    <w:qFormat/>
    <w:rPr>
      <w:b/>
      <w:bCs/>
    </w:rPr>
  </w:style>
  <w:style w:type="character" w:styleId="Ruller4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default">
    <w:name w:val="default"/>
    <w:qFormat/>
    <w:rPr/>
  </w:style>
  <w:style w:type="character" w:styleId="FootnoteTextCharChar">
    <w:name w:val="Footnote Text Char Char"/>
    <w:qFormat/>
    <w:rPr>
      <w:rFonts w:cs="FrankRuehl"/>
      <w:sz w:val="18"/>
      <w:szCs w:val="22"/>
    </w:rPr>
  </w:style>
  <w:style w:type="character" w:styleId="big-number">
    <w:name w:val="big-numbe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CharChar2">
    <w:name w:val=" Char Char2"/>
    <w:qFormat/>
    <w:rPr>
      <w:rFonts w:ascii="Century" w:hAnsi="Century" w:cs="FrankRuehl"/>
      <w:spacing w:val="10"/>
    </w:rPr>
  </w:style>
  <w:style w:type="character" w:styleId="EndnoteCharacters">
    <w:name w:val="Endnote Characters"/>
    <w:qFormat/>
    <w:rPr>
      <w:vertAlign w:val="superscript"/>
    </w:rPr>
  </w:style>
  <w:style w:type="character" w:styleId="CharChar1">
    <w:name w:val=" Char Char1"/>
    <w:qFormat/>
    <w:rPr>
      <w:rFonts w:ascii="Century" w:hAnsi="Century" w:cs="FrankRuehl"/>
      <w:spacing w:val="10"/>
      <w:szCs w:val="28"/>
    </w:rPr>
  </w:style>
  <w:style w:type="character" w:styleId="CharChar">
    <w:name w:val=" Char Char"/>
    <w:qFormat/>
    <w:rPr>
      <w:rFonts w:ascii="Century" w:hAnsi="Century" w:cs="FrankRuehl"/>
      <w:spacing w:val="10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120"/>
    </w:pPr>
    <w:rPr>
      <w:rFonts w:ascii="Century" w:hAnsi="Century" w:cs="FrankRuehl"/>
      <w:spacing w:val="10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/>
    <w:rPr>
      <w:rFonts w:ascii="Garamond" w:hAnsi="Garamond" w:cs="Garamond"/>
      <w:sz w:val="24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FootnoteText">
    <w:name w:val="footnote text"/>
    <w:basedOn w:val="Normal"/>
    <w:pPr>
      <w:spacing w:lineRule="exact" w:line="220"/>
      <w:ind w:hanging="397" w:start="397" w:end="0"/>
      <w:jc w:val="both"/>
    </w:pPr>
    <w:rPr>
      <w:rFonts w:cs="FrankRuehl"/>
      <w:sz w:val="18"/>
      <w:szCs w:val="22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ListParagraph">
    <w:name w:val="List Paragraph"/>
    <w:basedOn w:val="Normal"/>
    <w:qFormat/>
    <w:pPr>
      <w:overflowPunct w:val="true"/>
      <w:autoSpaceDE w:val="true"/>
      <w:spacing w:lineRule="auto" w:line="257" w:before="0" w:after="160"/>
      <w:ind w:hanging="0" w:start="720" w:end="0"/>
      <w:contextualSpacing/>
      <w:textAlignment w:val="auto"/>
    </w:pPr>
    <w:rPr>
      <w:rFonts w:ascii="Calibri" w:hAnsi="Calibri" w:eastAsia="Calibri" w:cs="Arial"/>
      <w:sz w:val="22"/>
      <w:szCs w:val="22"/>
    </w:rPr>
  </w:style>
  <w:style w:type="paragraph" w:styleId="big-header">
    <w:name w:val="big-header"/>
    <w:basedOn w:val="Normal"/>
    <w:qFormat/>
    <w:pPr>
      <w:keepNext w:val="true"/>
      <w:keepLines/>
      <w:widowControl w:val="false"/>
      <w:suppressAutoHyphens w:val="true"/>
      <w:overflowPunct w:val="true"/>
      <w:spacing w:before="440" w:after="120"/>
      <w:ind w:hanging="0" w:start="2835" w:end="0"/>
      <w:jc w:val="center"/>
      <w:textAlignment w:val="auto"/>
    </w:pPr>
    <w:rPr>
      <w:rFonts w:cs="Times New Roman"/>
      <w:szCs w:val="32"/>
      <w:lang w:val="en-IL" w:eastAsia="en-IL"/>
    </w:rPr>
  </w:style>
  <w:style w:type="paragraph" w:styleId="EndnoteText">
    <w:name w:val="endnote text"/>
    <w:basedOn w:val="Normal"/>
    <w:pPr>
      <w:spacing w:lineRule="auto" w:line="360"/>
    </w:pPr>
    <w:rPr>
      <w:rFonts w:ascii="Century" w:hAnsi="Century" w:cs="FrankRuehl"/>
      <w:spacing w:val="10"/>
      <w:szCs w:val="20"/>
    </w:rPr>
  </w:style>
  <w:style w:type="paragraph" w:styleId="p22">
    <w:name w:val="p22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BodyTextFirstIndent">
    <w:name w:val="Body Text First Indent"/>
    <w:basedOn w:val="BodyText"/>
    <w:qFormat/>
    <w:pPr>
      <w:ind w:firstLine="210" w:start="0" w:end="0"/>
    </w:pPr>
    <w:rPr/>
  </w:style>
  <w:style w:type="paragraph" w:styleId="Style10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918595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45.a.4" TargetMode="External"/><Relationship Id="rId6" Type="http://schemas.openxmlformats.org/officeDocument/2006/relationships/hyperlink" Target="http://www.nevo.co.il/law/70301/347.b" TargetMode="External"/><Relationship Id="rId7" Type="http://schemas.openxmlformats.org/officeDocument/2006/relationships/hyperlink" Target="http://www.nevo.co.il/law/70301/351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9185959" TargetMode="External"/><Relationship Id="rId10" Type="http://schemas.openxmlformats.org/officeDocument/2006/relationships/hyperlink" Target="http://www.nevo.co.il/law/70301/351.a" TargetMode="External"/><Relationship Id="rId11" Type="http://schemas.openxmlformats.org/officeDocument/2006/relationships/hyperlink" Target="http://www.nevo.co.il/law/70301/345.a.1" TargetMode="External"/><Relationship Id="rId12" Type="http://schemas.openxmlformats.org/officeDocument/2006/relationships/hyperlink" Target="http://www.nevo.co.il/law/70301/345.a.4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51.a" TargetMode="External"/><Relationship Id="rId15" Type="http://schemas.openxmlformats.org/officeDocument/2006/relationships/hyperlink" Target="http://www.nevo.co.il/law/70301/347.b" TargetMode="External"/><Relationship Id="rId16" Type="http://schemas.openxmlformats.org/officeDocument/2006/relationships/hyperlink" Target="http://www.nevo.co.il/law/70301/345.a.1.;345.a.4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1477237%20" TargetMode="External"/><Relationship Id="rId19" Type="http://schemas.openxmlformats.org/officeDocument/2006/relationships/hyperlink" Target="http://www.nevo.co.il/case/18119169" TargetMode="External"/><Relationship Id="rId20" Type="http://schemas.openxmlformats.org/officeDocument/2006/relationships/hyperlink" Target="http://www.nevo.co.il/case/25550792" TargetMode="External"/><Relationship Id="rId21" Type="http://schemas.openxmlformats.org/officeDocument/2006/relationships/hyperlink" Target="http://www.nevo.co.il/case/27922123" TargetMode="External"/><Relationship Id="rId22" Type="http://schemas.openxmlformats.org/officeDocument/2006/relationships/hyperlink" Target="http://www.nevo.co.il/case/27922123" TargetMode="External"/><Relationship Id="rId23" Type="http://schemas.openxmlformats.org/officeDocument/2006/relationships/hyperlink" Target="http://www.nevo.co.il/case/26538274" TargetMode="External"/><Relationship Id="rId24" Type="http://schemas.openxmlformats.org/officeDocument/2006/relationships/hyperlink" Target="http://www.nevo.co.il/law/70301/351.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6430898" TargetMode="External"/><Relationship Id="rId27" Type="http://schemas.openxmlformats.org/officeDocument/2006/relationships/hyperlink" Target="http://www.nevo.co.il/case/25388537" TargetMode="External"/><Relationship Id="rId28" Type="http://schemas.openxmlformats.org/officeDocument/2006/relationships/hyperlink" Target="http://www.nevo.co.il/case/25932878" TargetMode="External"/><Relationship Id="rId29" Type="http://schemas.openxmlformats.org/officeDocument/2006/relationships/hyperlink" Target="http://www.nevo.co.il/case/5604164" TargetMode="External"/><Relationship Id="rId30" Type="http://schemas.openxmlformats.org/officeDocument/2006/relationships/hyperlink" Target="http://www.nevo.co.il/case/5603999" TargetMode="External"/><Relationship Id="rId31" Type="http://schemas.openxmlformats.org/officeDocument/2006/relationships/hyperlink" Target="http://www.nevo.co.il/case/27922123" TargetMode="External"/><Relationship Id="rId32" Type="http://schemas.openxmlformats.org/officeDocument/2006/relationships/hyperlink" Target="http://www.nevo.co.il/case/28092391" TargetMode="External"/><Relationship Id="rId33" Type="http://schemas.openxmlformats.org/officeDocument/2006/relationships/hyperlink" Target="http://www.nevo.co.il/case/20503077" TargetMode="External"/><Relationship Id="rId34" Type="http://schemas.openxmlformats.org/officeDocument/2006/relationships/hyperlink" Target="https://supreme.court.gov.il/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2023-08-23T07:28:00Z</dcterms:created>
  <dc:creator>h4</dc:creator>
  <dc:description/>
  <cp:keywords/>
  <dc:language>en-IL</dc:language>
  <cp:lastModifiedBy>hofit</cp:lastModifiedBy>
  <cp:lastPrinted>2023-03-19T08:47:00Z</cp:lastPrinted>
  <dcterms:modified xsi:type="dcterms:W3CDTF">2023-08-23T07:28:00Z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אילן דאנה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ישראל;פלונית;פלונית;פלונית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29185959:2;21477237;18119169;25550792;27922123:3;26538274;26430898;25388537;25932878;5604164;5603999;28092391;20503077</vt:lpwstr>
  </property>
  <property fmtid="{D5CDD505-2E9C-101B-9397-08002B2CF9AE}" pid="9" name="CITY">
    <vt:lpwstr/>
  </property>
  <property fmtid="{D5CDD505-2E9C-101B-9397-08002B2CF9AE}" pid="10" name="DATE">
    <vt:lpwstr>20230319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גרוסקופף;ג' כנפי שטייניץ;א' חיות</vt:lpwstr>
  </property>
  <property fmtid="{D5CDD505-2E9C-101B-9397-08002B2CF9AE}" pid="14" name="LAWLISTTMP1">
    <vt:lpwstr>70301/351.a:3;345.a.1:2;345.a.4:2;347.b</vt:lpwstr>
  </property>
  <property fmtid="{D5CDD505-2E9C-101B-9397-08002B2CF9AE}" pid="15" name="LAWYER">
    <vt:lpwstr>עינת גדעוני;הילה יסקין;מוטי יוסף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דיון פלילי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77;77;18;77;77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הסדר טיעון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1446;1446;461;1446;1446</vt:lpwstr>
  </property>
  <property fmtid="{D5CDD505-2E9C-101B-9397-08002B2CF9AE}" pid="48" name="NOSE31">
    <vt:lpwstr>מדיניות ענישה: עבירות מין במשפחה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מין בקטינים</vt:lpwstr>
  </property>
  <property fmtid="{D5CDD505-2E9C-101B-9397-08002B2CF9AE}" pid="51" name="NOSE33">
    <vt:lpwstr>טווח ענישה מוסכם</vt:lpwstr>
  </property>
  <property fmtid="{D5CDD505-2E9C-101B-9397-08002B2CF9AE}" pid="52" name="NOSE34">
    <vt:lpwstr>מדיניות ענישה: שיקולים לחומרה</vt:lpwstr>
  </property>
  <property fmtid="{D5CDD505-2E9C-101B-9397-08002B2CF9AE}" pid="53" name="NOSE35">
    <vt:lpwstr>מדיניות ענישה: התערבות ערכאת ערעור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16241;16970;15483;8995;8982</vt:lpwstr>
  </property>
  <property fmtid="{D5CDD505-2E9C-101B-9397-08002B2CF9AE}" pid="59" name="PADIDATE">
    <vt:lpwstr>20230320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7868</vt:lpwstr>
  </property>
  <property fmtid="{D5CDD505-2E9C-101B-9397-08002B2CF9AE}" pid="65" name="PROCYEAR">
    <vt:lpwstr>21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410120230319</vt:lpwstr>
  </property>
  <property fmtid="{D5CDD505-2E9C-101B-9397-08002B2CF9AE}" pid="69" name="TYPE_N_DATE">
    <vt:lpwstr>41020230319</vt:lpwstr>
  </property>
  <property fmtid="{D5CDD505-2E9C-101B-9397-08002B2CF9AE}" pid="70" name="VOLUME">
    <vt:lpwstr/>
  </property>
  <property fmtid="{D5CDD505-2E9C-101B-9397-08002B2CF9AE}" pid="71" name="WORDNUMPAGES">
    <vt:lpwstr>14</vt:lpwstr>
  </property>
</Properties>
</file>