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7870/19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0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2"/>
        <w:gridCol w:w="5108"/>
      </w:tblGrid>
      <w:tr>
        <w:trPr>
          <w:trHeight w:val="287" w:hRule="atLeast"/>
        </w:trPr>
        <w:tc>
          <w:tcPr>
            <w:tcW w:w="3252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0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76"/>
        <w:gridCol w:w="5087"/>
      </w:tblGrid>
      <w:tr>
        <w:trPr/>
        <w:tc>
          <w:tcPr>
            <w:tcW w:w="327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08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0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2"/>
        <w:gridCol w:w="5108"/>
      </w:tblGrid>
      <w:tr>
        <w:trPr>
          <w:trHeight w:val="287" w:hRule="atLeast"/>
        </w:trPr>
        <w:tc>
          <w:tcPr>
            <w:tcW w:w="3252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0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28.10.2019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3247-04-18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אליקים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נאות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פרי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תאריכי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הישיבות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21.1.2020</w:t>
            </w:r>
            <w:r>
              <w:rPr>
                <w:rtl w:val="true"/>
              </w:rPr>
              <w:t>)</w:t>
            </w:r>
          </w:p>
        </w:tc>
      </w:tr>
      <w:tr>
        <w:trPr/>
        <w:tc>
          <w:tcPr>
            <w:tcW w:w="323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10.8.2020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1"/>
        <w:gridCol w:w="3"/>
        <w:gridCol w:w="5149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בוריס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שרמן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9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1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דפנה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פינקלשטיין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8"/>
        <w:gridCol w:w="5135"/>
      </w:tblGrid>
      <w:tr>
        <w:trPr/>
        <w:tc>
          <w:tcPr>
            <w:tcW w:w="322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13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טלי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350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9" w:name="ABSTRACT_START"/>
      <w:bookmarkEnd w:id="9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פסק כי בנסיבות המיוחדות של המקרה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נכון יהיה לאמץ את המלצת שירות המבחן ולבטל את עונש המאסר בפועל בן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15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החודשים שהוטל על המערער בבימ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 לנוער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בגין הרשעתו בביצוע עבירות מין בשני קטינים בני משפחתו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נפסק כי חרף העבירות החמורות שביצע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הרי שנסיבות חייו הקשות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גילו הצעיר בעת ביצוע העבירות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ההליך השיקומי שבו הוא מצוי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והמלצתו העקבית של שירות המבחן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נזקפים לזכותו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ומכל מקום עד הגיעו לגיל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המערער ישלים שהות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שנים במעון סגור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למעלה מכפליים מתקופת המאסר בפועל שנגזרה עליו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עבירות מין בקטינים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קטינים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שיקולים לקולה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שיקום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צו מבחן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הורשע בבימ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בשבתו כבית משפט לנוער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בביצוע עבירות מין כלפי קטינים בני משפחתו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האחד כבן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השנייה כבת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6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המחוזי לנוער גזר על המערער עונש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15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 לריצוי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בניכוי ימי מעצרו ושני מאסרים מותנים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כמו כן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חויב המערער בתשלום פיצוי כספי בסך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70,000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₪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לנפגעי העבירה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 סולברג ובהסכמת השופטים וילנר ושטיין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קיבל את הערעור ופסק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העליון ציין כי המלצתו החד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משמעית של שירות המבחן לאורך תקופה בת כשנתיים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ימים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הייתה ועודנה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כי אין לשלוח את המערער לריצוי עונש 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 שכזה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צפוי לפגוע באופן דרמטי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אולי הרסני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בהליך השיקומי שאותו עובר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ולכן נכון להימנע מהטלתו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ככל הניתן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כמו כן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נסיבות חייו הקשות של המערער מחייבות התייחסות הולמת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אמנם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הלכה היא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כי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איננו כבול להמלצות שירות המבחן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ועדיין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מקום שבו מדובר בגזירת דינו של קטין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יש לתת משקל רב להמלצות שירות המבחן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לסטות מהן כדבר שבשגרה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אלא רק על סמך טעמים כבדי משקל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 נמצא כי בעניין דנן מתקיימים טעמים טובים ומשכנעים דיים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מצדיקים סטייה מהמלצות שירות המבחן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התמיד עד כה בהליך הטיפולי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משך תקופה ארוכה של למעלה משנתיים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התמודד עם נסיבות אובייקטיביות לא פשוטות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שבהן נסגר המעון הסגור שבו שהה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והוא נאלץ להשתלב במעון אחר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ולהתחיל מבראשית את תהליך הטיפול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אף 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פי כן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החל את ההליך הטיפולי מתחילה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במעון הסגור שבו הוא שוהה כעת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העליון ציין כי עמדת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 לנוער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שלפיה יש לשקול את ההתקדמות האיטית בהליך הטיפולי לחובתו של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אינה נקיה מספק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עשה כל אשר לאל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ידו כדי להיתרם ולהתקדם בהליך הטיפולי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אף הקשיים שנערמו בדרכו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בכך ניתן דווקא למצוא חיזוק לעמדת שירות המבחן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בדבר 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אופק השיקומי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שלוֹ ניתן לצפות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מכל מקום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 יהיה זה נכון לזקוף אותן נסיבות אובייקטיביות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לחובת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גם את אי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תשלום כספי הפיצוי עד כה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ניתן להבין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בנסיבות העניין דנן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נער צעיר חסר כל רכוש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שהותו במעון הסגור מונעת אותו מלצאת ולעבוד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גם משפחתו המורחבת נעדרת כל יכולת לעמוד בתשלום כספי הפיצויים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במצב דברים זה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מוטב לאמץ את המלצת שירות המבחן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ולדחות את תשלום כספי הפיצויים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לאור כל האמור לעיל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יש לבטל את עונש המאסר בפועל שהוטל על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יתר רכיבי גזר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יעמדו בעינם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חלף עונש המאסר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יוסיף המערער לשהות במעון הסגור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שבו הוא שוהה כעת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בצו מבחן בתנאי מגורים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עד הגיעו לגיל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במהלך שהייתו במעון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יוסיף המערער להשתתף בהליך הטיפול הייעודי לעברייני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בהגיע המערער לגיל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יעמוד לצו מבחן בקהילה למשך שנה נוספת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לצורך סיוע ומעקב אחר השתלבותו מחדש בקהילה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המערער גם יחתום על ערבות עצמית בסך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50,000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₪,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להבטחת עמידתו בתנאי צו המבחן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בנוסף המערער יבצע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שעות שירות לתועלת הציבור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במסגרת המעון שבו הוא שוהה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וישלים אותן עד לתום תקופת שהותו במעון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/>
          <w:spacing w:val="0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480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בשבתו כבית משפט לנוער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28.10.2019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3247-04-18</w:t>
        </w:r>
      </w:hyperlink>
      <w:r>
        <w:rPr>
          <w:rtl w:val="true"/>
        </w:rPr>
        <w:t xml:space="preserve"> (</w:t>
      </w:r>
      <w:r>
        <w:rPr>
          <w:rtl w:val="true"/>
        </w:rPr>
        <w:t xml:space="preserve">סגן </w:t>
      </w:r>
      <w:r>
        <w:rPr>
          <w:rtl w:val="true"/>
        </w:rPr>
        <w:t>הנשיא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אליקים</w:t>
      </w:r>
      <w:r>
        <w:rPr>
          <w:rtl w:val="true"/>
        </w:rPr>
        <w:t xml:space="preserve">, </w:t>
      </w:r>
      <w:r>
        <w:rPr>
          <w:rtl w:val="true"/>
        </w:rPr>
        <w:t xml:space="preserve">והשופטות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</w:t>
      </w:r>
      <w:r>
        <w:rPr>
          <w:rtl w:val="true"/>
        </w:rPr>
        <w:t xml:space="preserve">), </w:t>
      </w:r>
      <w:r>
        <w:rPr>
          <w:rtl w:val="true"/>
        </w:rPr>
        <w:t>שבגדרו</w:t>
      </w:r>
      <w:r>
        <w:rPr>
          <w:rtl w:val="true"/>
        </w:rPr>
        <w:t xml:space="preserve"> </w:t>
      </w:r>
      <w:r>
        <w:rPr>
          <w:rtl w:val="true"/>
        </w:rPr>
        <w:t>הושת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באם</w:t>
      </w:r>
      <w:r>
        <w:rPr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>-</w:t>
      </w:r>
      <w:r>
        <w:rPr>
          <w:rtl w:val="true"/>
        </w:rPr>
        <w:t>מין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באם</w:t>
      </w:r>
      <w:r>
        <w:rPr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>-</w:t>
      </w:r>
      <w:r>
        <w:rPr>
          <w:rtl w:val="true"/>
        </w:rPr>
        <w:t>מין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חויב המערער בתשלום </w:t>
      </w:r>
      <w:r>
        <w:rPr>
          <w:rtl w:val="true"/>
        </w:rPr>
        <w:t>פיצוי</w:t>
      </w:r>
      <w:r>
        <w:rPr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70,000</w:t>
      </w:r>
      <w:r>
        <w:rPr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לנפגעי העבירה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 </w:t>
      </w:r>
      <w:r>
        <w:rPr>
          <w:rtl w:val="true"/>
        </w:rPr>
        <w:t>שהתנהל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לנוער</w:t>
      </w:r>
      <w:r>
        <w:rPr>
          <w:rtl w:val="true"/>
        </w:rPr>
        <w:t xml:space="preserve">, </w:t>
      </w:r>
      <w:r>
        <w:rPr>
          <w:rtl w:val="true"/>
        </w:rPr>
        <w:t>הגיעו הצדדים להסדר טיעון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tl w:val="true"/>
        </w:rPr>
        <w:t xml:space="preserve"> </w:t>
      </w:r>
      <w:r>
        <w:rPr>
          <w:rtl w:val="true"/>
        </w:rPr>
        <w:t>כתב האישום יתוקן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tl w:val="true"/>
        </w:rPr>
        <w:t xml:space="preserve"> </w:t>
      </w:r>
      <w:r>
        <w:rPr>
          <w:rtl w:val="true"/>
        </w:rPr>
        <w:t>יודה</w:t>
      </w:r>
      <w:r>
        <w:rPr>
          <w:rtl w:val="true"/>
        </w:rPr>
        <w:t xml:space="preserve"> </w:t>
      </w:r>
      <w:r>
        <w:rPr>
          <w:rtl w:val="true"/>
        </w:rPr>
        <w:t>במיוחס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אישום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מתוקן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לא עלה בידי הצדדים להגיע להסכמה לעניין העונש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כתב האישום המתוקן</w:t>
      </w:r>
      <w:r>
        <w:rPr>
          <w:rtl w:val="true"/>
        </w:rPr>
        <w:t xml:space="preserve">, </w:t>
      </w:r>
      <w:r>
        <w:rPr>
          <w:rtl w:val="true"/>
        </w:rPr>
        <w:t>מייחס למערער ביצוע מעשי סדום במספר קטינים</w:t>
      </w:r>
      <w:r>
        <w:rPr>
          <w:rtl w:val="true"/>
        </w:rPr>
        <w:t xml:space="preserve">, </w:t>
      </w:r>
      <w:r>
        <w:rPr>
          <w:rtl w:val="true"/>
        </w:rPr>
        <w:t xml:space="preserve">אשר טרם מלאו להם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ללא הסכמתם החופשית</w:t>
      </w:r>
      <w:r>
        <w:rPr>
          <w:rtl w:val="true"/>
        </w:rPr>
        <w:t xml:space="preserve">, </w:t>
      </w:r>
      <w:r>
        <w:rPr>
          <w:rtl w:val="true"/>
        </w:rPr>
        <w:t>ובהיותו בן</w:t>
      </w:r>
      <w:r>
        <w:rPr>
          <w:rtl w:val="true"/>
        </w:rPr>
        <w:t>-</w:t>
      </w:r>
      <w:r>
        <w:rPr>
          <w:rtl w:val="true"/>
        </w:rPr>
        <w:t>משפחתם</w:t>
      </w:r>
      <w:r>
        <w:rPr>
          <w:rtl w:val="true"/>
        </w:rPr>
        <w:t xml:space="preserve">; </w:t>
      </w:r>
      <w:r>
        <w:rPr>
          <w:rtl w:val="true"/>
        </w:rPr>
        <w:t>וכן גם ביצוע מספר מעשים מגונים בקטינה</w:t>
      </w:r>
      <w:r>
        <w:rPr>
          <w:rtl w:val="true"/>
        </w:rPr>
        <w:t xml:space="preserve">, </w:t>
      </w:r>
      <w:r>
        <w:rPr>
          <w:rtl w:val="true"/>
        </w:rPr>
        <w:t>בכך שגרם לה לבצע בו מעשים מגונים</w:t>
      </w:r>
      <w:r>
        <w:rPr>
          <w:rtl w:val="true"/>
        </w:rPr>
        <w:t xml:space="preserve">, </w:t>
      </w:r>
      <w:r>
        <w:rPr>
          <w:rtl w:val="true"/>
        </w:rPr>
        <w:t>לשם גירוי</w:t>
      </w:r>
      <w:r>
        <w:rPr>
          <w:rtl w:val="true"/>
        </w:rPr>
        <w:t xml:space="preserve">, </w:t>
      </w:r>
      <w:r>
        <w:rPr>
          <w:rtl w:val="true"/>
        </w:rPr>
        <w:t>סיפוק או ביזוי מיניים</w:t>
      </w:r>
      <w:r>
        <w:rPr>
          <w:rtl w:val="true"/>
        </w:rPr>
        <w:t xml:space="preserve">, </w:t>
      </w:r>
      <w:r>
        <w:rPr>
          <w:rtl w:val="true"/>
        </w:rPr>
        <w:t xml:space="preserve">בעת שטרם מלאו לקטינה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ללא הסכמתה החופשית</w:t>
      </w:r>
      <w:r>
        <w:rPr>
          <w:rtl w:val="true"/>
        </w:rPr>
        <w:t xml:space="preserve">, </w:t>
      </w:r>
      <w:r>
        <w:rPr>
          <w:rtl w:val="true"/>
        </w:rPr>
        <w:t>ובהיותה בת</w:t>
      </w:r>
      <w:r>
        <w:rPr>
          <w:rtl w:val="true"/>
        </w:rPr>
        <w:t>-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המעשים קשים</w:t>
      </w:r>
      <w:r>
        <w:rPr>
          <w:rtl w:val="true"/>
        </w:rPr>
        <w:t xml:space="preserve">. </w:t>
      </w:r>
      <w:r>
        <w:rPr>
          <w:rtl w:val="true"/>
        </w:rPr>
        <w:t>התיאור דוחה</w:t>
      </w:r>
      <w:r>
        <w:rPr>
          <w:rtl w:val="true"/>
        </w:rPr>
        <w:t xml:space="preserve">. </w:t>
      </w:r>
      <w:r>
        <w:rPr>
          <w:rtl w:val="true"/>
        </w:rPr>
        <w:t>אמנע מלפרט</w:t>
      </w:r>
      <w:r>
        <w:rPr>
          <w:rtl w:val="true"/>
        </w:rPr>
        <w:t xml:space="preserve">. </w:t>
      </w:r>
      <w:r>
        <w:rPr>
          <w:rtl w:val="true"/>
        </w:rPr>
        <w:t>אציין אך זאת</w:t>
      </w:r>
      <w:r>
        <w:rPr>
          <w:rtl w:val="true"/>
        </w:rPr>
        <w:t xml:space="preserve">, </w:t>
      </w:r>
      <w:r>
        <w:rPr>
          <w:rtl w:val="true"/>
        </w:rPr>
        <w:t>שבעת ביצוע המעשים היה המערער קטין</w:t>
      </w:r>
      <w:r>
        <w:rPr>
          <w:rtl w:val="true"/>
        </w:rPr>
        <w:t xml:space="preserve">, </w:t>
      </w:r>
      <w:r>
        <w:rPr>
          <w:rtl w:val="true"/>
        </w:rPr>
        <w:t xml:space="preserve">כבן </w:t>
      </w:r>
      <w:r>
        <w:rPr/>
        <w:t>16-15</w:t>
      </w:r>
      <w:r>
        <w:rPr>
          <w:rtl w:val="true"/>
        </w:rPr>
        <w:t xml:space="preserve">, </w:t>
      </w:r>
      <w:r>
        <w:rPr>
          <w:rtl w:val="true"/>
        </w:rPr>
        <w:t>ואת מעשיו הרעים ביצע כלפי שניים</w:t>
      </w:r>
      <w:r>
        <w:rPr>
          <w:rtl w:val="true"/>
        </w:rPr>
        <w:t xml:space="preserve">, </w:t>
      </w:r>
      <w:r>
        <w:rPr>
          <w:rtl w:val="true"/>
        </w:rPr>
        <w:t>בני משפחתו</w:t>
      </w:r>
      <w:r>
        <w:rPr>
          <w:rtl w:val="true"/>
        </w:rPr>
        <w:t xml:space="preserve">, </w:t>
      </w:r>
      <w:r>
        <w:rPr>
          <w:rtl w:val="true"/>
        </w:rPr>
        <w:t xml:space="preserve">האחד כבן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השניה כבת </w:t>
      </w:r>
      <w:r>
        <w:rPr/>
        <w:t>6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17.1.2019</w:t>
      </w:r>
      <w:r>
        <w:rPr>
          <w:rtl w:val="true"/>
        </w:rPr>
        <w:t xml:space="preserve"> </w:t>
      </w:r>
      <w:r>
        <w:rPr>
          <w:rtl w:val="true"/>
        </w:rPr>
        <w:t>הרשיע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 xml:space="preserve">לנוער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ביצוע מספר עבירות של מעשה סדום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בנסיבות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בצירוף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 xml:space="preserve">וכן בביצוע מספר עבירות של גרם מעשה מגונה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בנסיבות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בו ביום</w:t>
      </w:r>
      <w:r>
        <w:rPr>
          <w:rtl w:val="true"/>
        </w:rPr>
        <w:t xml:space="preserve">, </w:t>
      </w:r>
      <w:r>
        <w:rPr>
          <w:rtl w:val="true"/>
        </w:rPr>
        <w:t>הורה בית המשפט המחוזי לנוער על הגשת תסקיר לעניין העונש</w:t>
      </w:r>
      <w:r>
        <w:rPr>
          <w:rtl w:val="true"/>
        </w:rPr>
        <w:t xml:space="preserve">, </w:t>
      </w:r>
      <w:r>
        <w:rPr>
          <w:rtl w:val="true"/>
        </w:rPr>
        <w:t>וכן תסקיר נפגעי עבירה</w:t>
      </w:r>
      <w:r>
        <w:rPr>
          <w:rtl w:val="true"/>
        </w:rPr>
        <w:t xml:space="preserve">, </w:t>
      </w:r>
      <w:r>
        <w:rPr>
          <w:rtl w:val="true"/>
        </w:rPr>
        <w:t>בטרם יגזור את דינו של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תסקירי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לנוער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עד למועד מתן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הוגשו לבית המשפט המחוזי לנוער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תסקירים בעניינו של המערער</w:t>
      </w:r>
      <w:r>
        <w:rPr>
          <w:rtl w:val="true"/>
        </w:rPr>
        <w:t xml:space="preserve">, </w:t>
      </w:r>
      <w:r>
        <w:rPr>
          <w:rtl w:val="true"/>
        </w:rPr>
        <w:t>ובמסגרתם נפרסה תמונה עגומה</w:t>
      </w:r>
      <w:r>
        <w:rPr>
          <w:rtl w:val="true"/>
        </w:rPr>
        <w:t xml:space="preserve">, </w:t>
      </w:r>
      <w:r>
        <w:rPr>
          <w:rtl w:val="true"/>
        </w:rPr>
        <w:t>באשר לרקע המשפחתי הקשה</w:t>
      </w:r>
      <w:r>
        <w:rPr>
          <w:rtl w:val="true"/>
        </w:rPr>
        <w:t xml:space="preserve">, </w:t>
      </w:r>
      <w:r>
        <w:rPr>
          <w:rtl w:val="true"/>
        </w:rPr>
        <w:t>ולנסיבות החיים המורכבות שבצִלן גדל</w:t>
      </w:r>
      <w:r>
        <w:rPr>
          <w:rtl w:val="true"/>
        </w:rPr>
        <w:t xml:space="preserve">. </w:t>
      </w:r>
      <w:r>
        <w:rPr>
          <w:rtl w:val="true"/>
        </w:rPr>
        <w:t xml:space="preserve">האחרון שבהם הוגש ביום </w:t>
      </w:r>
      <w:r>
        <w:rPr/>
        <w:t>2.10.2019</w:t>
      </w:r>
      <w:r>
        <w:rPr>
          <w:rtl w:val="true"/>
        </w:rPr>
        <w:t xml:space="preserve">, </w:t>
      </w:r>
      <w:r>
        <w:rPr>
          <w:rtl w:val="true"/>
        </w:rPr>
        <w:t>ובו המליץ שירות המבחן להטיל על המערער עונש של מאסר מותנה</w:t>
      </w:r>
      <w:r>
        <w:rPr>
          <w:rtl w:val="true"/>
        </w:rPr>
        <w:t xml:space="preserve">; </w:t>
      </w:r>
      <w:r>
        <w:rPr>
          <w:rtl w:val="true"/>
        </w:rPr>
        <w:t>צו פיקוח בתנאי מגורים למשך שנתיים</w:t>
      </w:r>
      <w:r>
        <w:rPr>
          <w:rtl w:val="true"/>
        </w:rPr>
        <w:t xml:space="preserve">, </w:t>
      </w:r>
      <w:r>
        <w:rPr>
          <w:rtl w:val="true"/>
        </w:rPr>
        <w:t>בתנאים מגבילים</w:t>
      </w:r>
      <w:r>
        <w:rPr>
          <w:rtl w:val="true"/>
        </w:rPr>
        <w:t xml:space="preserve">, </w:t>
      </w:r>
      <w:r>
        <w:rPr>
          <w:rtl w:val="true"/>
        </w:rPr>
        <w:t>במעון הסגור שבו נתון המערער מאז תום חקירתו ומעצרו</w:t>
      </w:r>
      <w:r>
        <w:rPr>
          <w:rtl w:val="true"/>
        </w:rPr>
        <w:t xml:space="preserve">; </w:t>
      </w:r>
      <w:r>
        <w:rPr>
          <w:rtl w:val="true"/>
        </w:rPr>
        <w:t>ערבות עצמית</w:t>
      </w:r>
      <w:r>
        <w:rPr>
          <w:rtl w:val="true"/>
        </w:rPr>
        <w:t xml:space="preserve">; </w:t>
      </w:r>
      <w:r>
        <w:rPr>
          <w:rtl w:val="true"/>
        </w:rPr>
        <w:t xml:space="preserve">ביצוע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 שירות לתועלת הציבור</w:t>
      </w:r>
      <w:r>
        <w:rPr>
          <w:rtl w:val="true"/>
        </w:rPr>
        <w:t xml:space="preserve">; </w:t>
      </w:r>
      <w:r>
        <w:rPr>
          <w:rtl w:val="true"/>
        </w:rPr>
        <w:t>ופיצוי כספי לנפגעי העבירות</w:t>
      </w:r>
      <w:r>
        <w:rPr>
          <w:rtl w:val="true"/>
        </w:rPr>
        <w:t xml:space="preserve">, </w:t>
      </w:r>
      <w:r>
        <w:rPr>
          <w:rtl w:val="true"/>
        </w:rPr>
        <w:t>שישולם לאחר תום שהותו של המערער במעון הסגור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שניתן ביום </w:t>
      </w:r>
      <w:r>
        <w:rPr/>
        <w:t>28.11.2019</w:t>
      </w:r>
      <w:r>
        <w:rPr>
          <w:rtl w:val="true"/>
        </w:rPr>
        <w:t xml:space="preserve">, </w:t>
      </w:r>
      <w:r>
        <w:rPr>
          <w:rtl w:val="true"/>
        </w:rPr>
        <w:t>דחה בית המשפט המחוזי לנוער את המלצת שירות המבחן</w:t>
      </w:r>
      <w:r>
        <w:rPr>
          <w:rtl w:val="true"/>
        </w:rPr>
        <w:t xml:space="preserve">, </w:t>
      </w:r>
      <w:r>
        <w:rPr>
          <w:rtl w:val="true"/>
        </w:rPr>
        <w:t>לאחר שעמד על חומרת העבירות שבהן הורשע המערער</w:t>
      </w:r>
      <w:r>
        <w:rPr>
          <w:rtl w:val="true"/>
        </w:rPr>
        <w:t xml:space="preserve">, </w:t>
      </w:r>
      <w:r>
        <w:rPr>
          <w:rtl w:val="true"/>
        </w:rPr>
        <w:t>וציין כי העונש המרבי העשוי להיות מוטל על בגירים שביצעו אותן</w:t>
      </w:r>
      <w:r>
        <w:rPr>
          <w:rtl w:val="true"/>
        </w:rPr>
        <w:t xml:space="preserve">, </w:t>
      </w:r>
      <w:r>
        <w:rPr>
          <w:rtl w:val="true"/>
        </w:rPr>
        <w:t xml:space="preserve">עומד על בין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הגם שדרך המלך בעניינם של קטינים</w:t>
      </w:r>
      <w:r>
        <w:rPr>
          <w:rtl w:val="true"/>
        </w:rPr>
        <w:t xml:space="preserve">, </w:t>
      </w:r>
      <w:r>
        <w:rPr>
          <w:rtl w:val="true"/>
        </w:rPr>
        <w:t>היא קבלת המלצת שירות המבחן</w:t>
      </w:r>
      <w:r>
        <w:rPr>
          <w:rtl w:val="true"/>
        </w:rPr>
        <w:t xml:space="preserve">, </w:t>
      </w:r>
      <w:r>
        <w:rPr>
          <w:rtl w:val="true"/>
        </w:rPr>
        <w:t>ענייננו נמנה עם אותם מקרים מיוחדים המצדיקים סטייה מן ההמלצות הללו</w:t>
      </w:r>
      <w:r>
        <w:rPr>
          <w:rtl w:val="true"/>
        </w:rPr>
        <w:t xml:space="preserve">. </w:t>
      </w:r>
      <w:r>
        <w:rPr>
          <w:rtl w:val="true"/>
        </w:rPr>
        <w:t>שירות המבחן לא ראה לנגד עיניו את נפגעי העבירה</w:t>
      </w:r>
      <w:r>
        <w:rPr>
          <w:rtl w:val="true"/>
        </w:rPr>
        <w:t xml:space="preserve">; </w:t>
      </w:r>
      <w:r>
        <w:rPr>
          <w:rtl w:val="true"/>
        </w:rPr>
        <w:t>לא הביא בחשבון את גילם הצעיר</w:t>
      </w:r>
      <w:r>
        <w:rPr>
          <w:rtl w:val="true"/>
        </w:rPr>
        <w:t xml:space="preserve">; </w:t>
      </w:r>
      <w:r>
        <w:rPr>
          <w:rtl w:val="true"/>
        </w:rPr>
        <w:t>את טיב הפגיעה בהם</w:t>
      </w:r>
      <w:r>
        <w:rPr>
          <w:rtl w:val="true"/>
        </w:rPr>
        <w:t xml:space="preserve">; </w:t>
      </w:r>
      <w:r>
        <w:rPr>
          <w:rtl w:val="true"/>
        </w:rPr>
        <w:t>ואת חומרתם הרבה של המעשים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; </w:t>
      </w:r>
      <w:r>
        <w:rPr>
          <w:rtl w:val="true"/>
        </w:rPr>
        <w:t>בהודאתו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;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; </w:t>
      </w:r>
      <w:r>
        <w:rPr>
          <w:rtl w:val="true"/>
        </w:rPr>
        <w:t>ובכוונתו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הכֵּנה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.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נוכח כל אלה</w:t>
      </w:r>
      <w:r>
        <w:rPr>
          <w:rFonts w:ascii="FrankRuehl" w:hAnsi="FrankRuehl"/>
          <w:color w:val="333333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גזר בית המשפט המחוזי לנוער את עונשו של המערער</w:t>
      </w:r>
      <w:r>
        <w:rPr>
          <w:rFonts w:ascii="FrankRuehl" w:hAnsi="FrankRuehl"/>
          <w:color w:val="333333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 xml:space="preserve">והעמידו על </w:t>
      </w:r>
      <w:r>
        <w:rPr>
          <w:rFonts w:ascii="FrankRuehl" w:hAnsi="FrankRuehl"/>
          <w:color w:val="333333"/>
          <w:sz w:val="28"/>
          <w:shd w:fill="FFFFFF" w:val="clear"/>
        </w:rPr>
        <w:t>15</w:t>
      </w:r>
      <w:r>
        <w:rPr>
          <w:rFonts w:ascii="FrankRuehl" w:hAnsi="FrankRuehl"/>
          <w:color w:val="333333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חודשי מאסר בפועל</w:t>
      </w:r>
      <w:r>
        <w:rPr>
          <w:rFonts w:ascii="FrankRuehl" w:hAnsi="FrankRuehl"/>
          <w:color w:val="333333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ועונשים נלווים</w:t>
      </w:r>
      <w:r>
        <w:rPr>
          <w:rFonts w:ascii="FrankRuehl" w:hAnsi="FrankRuehl"/>
          <w:color w:val="333333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כמפורט לעיל</w:t>
      </w:r>
      <w:r>
        <w:rPr>
          <w:rFonts w:ascii="FrankRuehl" w:hAnsi="FrankRuehl"/>
          <w:color w:val="333333"/>
          <w:sz w:val="28"/>
          <w:shd w:fill="FFFFFF" w:val="clear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ב</w:t>
      </w:r>
      <w:r>
        <w:rPr>
          <w:rFonts w:ascii="FrankRuehl" w:hAnsi="FrankRuehl"/>
          <w:color w:val="333333"/>
          <w:sz w:val="28"/>
          <w:shd w:fill="FFFFFF" w:val="clear"/>
          <w:rtl w:val="true"/>
        </w:rPr>
        <w:t>"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כ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המערער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מלין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על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עונש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המאסר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בפועל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שהוטל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על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המערער</w:t>
      </w:r>
      <w:r>
        <w:rPr>
          <w:rFonts w:ascii="FrankRuehl" w:hAnsi="FrankRuehl"/>
          <w:color w:val="333333"/>
          <w:sz w:val="28"/>
          <w:shd w:fill="FFFFFF" w:val="clear"/>
          <w:rtl w:val="true"/>
        </w:rPr>
        <w:t xml:space="preserve">.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לדידו</w:t>
      </w:r>
      <w:r>
        <w:rPr>
          <w:rFonts w:ascii="FrankRuehl" w:hAnsi="FrankRuehl"/>
          <w:color w:val="333333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שגה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בית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המשפט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המחוזי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לנוער</w:t>
      </w:r>
      <w:r>
        <w:rPr>
          <w:rFonts w:ascii="FrankRuehl" w:hAnsi="FrankRuehl"/>
          <w:color w:val="333333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בכך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שבחר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לסטות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מהמלצת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שירות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המבחן</w:t>
      </w:r>
      <w:r>
        <w:rPr>
          <w:rFonts w:ascii="FrankRuehl" w:hAnsi="FrankRuehl"/>
          <w:color w:val="333333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אשר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ניתנה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לאחר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שעניינו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של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המערער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נבחן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על</w:t>
      </w:r>
      <w:r>
        <w:rPr>
          <w:rFonts w:ascii="FrankRuehl" w:hAnsi="FrankRuehl"/>
          <w:color w:val="333333"/>
          <w:sz w:val="28"/>
          <w:shd w:fill="FFFFFF" w:val="clear"/>
          <w:rtl w:val="true"/>
        </w:rPr>
        <w:t>-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ידו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פעם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אחר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פעם</w:t>
      </w:r>
      <w:r>
        <w:rPr>
          <w:rFonts w:ascii="FrankRuehl" w:hAnsi="FrankRuehl"/>
          <w:color w:val="333333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באופן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מקצועי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ומעמיק</w:t>
      </w:r>
      <w:r>
        <w:rPr>
          <w:rFonts w:ascii="FrankRuehl" w:hAnsi="FrankRuehl"/>
          <w:color w:val="333333"/>
          <w:sz w:val="28"/>
          <w:shd w:fill="FFFFFF" w:val="clear"/>
          <w:rtl w:val="true"/>
        </w:rPr>
        <w:t xml:space="preserve">.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עוד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נטען</w:t>
      </w:r>
      <w:r>
        <w:rPr>
          <w:rFonts w:ascii="FrankRuehl" w:hAnsi="FrankRuehl"/>
          <w:color w:val="333333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כי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לא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ניתן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משקל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הולם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בגזר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הדין</w:t>
      </w:r>
      <w:r>
        <w:rPr>
          <w:rFonts w:ascii="FrankRuehl" w:hAnsi="FrankRuehl"/>
          <w:color w:val="333333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למציאות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המשפחתית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המורכבת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שבה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גדל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המערער</w:t>
      </w:r>
      <w:r>
        <w:rPr>
          <w:rFonts w:ascii="FrankRuehl" w:hAnsi="FrankRuehl"/>
          <w:color w:val="333333"/>
          <w:sz w:val="28"/>
          <w:shd w:fill="FFFFFF" w:val="clear"/>
          <w:rtl w:val="true"/>
        </w:rPr>
        <w:t xml:space="preserve">;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להודאתו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המוקדמת</w:t>
      </w:r>
      <w:r>
        <w:rPr>
          <w:rFonts w:ascii="FrankRuehl" w:hAnsi="FrankRuehl"/>
          <w:color w:val="333333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שניתנה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כבר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בשלב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החקירה</w:t>
      </w:r>
      <w:r>
        <w:rPr>
          <w:rFonts w:ascii="FrankRuehl" w:hAnsi="FrankRuehl"/>
          <w:color w:val="333333"/>
          <w:sz w:val="28"/>
          <w:shd w:fill="FFFFFF" w:val="clear"/>
          <w:rtl w:val="true"/>
        </w:rPr>
        <w:t xml:space="preserve">;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ולכך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שלאורך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השנים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נאלץ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המערער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לנדוד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ממעון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סגור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אחד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למשנהו</w:t>
      </w:r>
      <w:r>
        <w:rPr>
          <w:rFonts w:ascii="FrankRuehl" w:hAnsi="FrankRuehl"/>
          <w:color w:val="333333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תוך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ערעור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יציבותו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וחוֹסנוֹ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שוב</w:t>
      </w:r>
      <w:r>
        <w:rPr>
          <w:rFonts w:ascii="FrankRuehl" w:hAnsi="FrankRuehl" w:eastAsia="FrankRuehl" w:cs="FrankRueh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333333"/>
          <w:sz w:val="28"/>
          <w:sz w:val="28"/>
          <w:shd w:fill="FFFFFF" w:val="clear"/>
          <w:rtl w:val="true"/>
        </w:rPr>
        <w:t>ושוב</w:t>
      </w:r>
      <w:r>
        <w:rPr>
          <w:rFonts w:ascii="FrankRuehl" w:hAnsi="FrankRuehl"/>
          <w:color w:val="333333"/>
          <w:sz w:val="28"/>
          <w:shd w:fill="FFFFFF" w:val="clear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המערער מוסיף וטוען</w:t>
      </w:r>
      <w:r>
        <w:rPr>
          <w:rtl w:val="true"/>
        </w:rPr>
        <w:t xml:space="preserve">, </w:t>
      </w:r>
      <w:r>
        <w:rPr>
          <w:rtl w:val="true"/>
        </w:rPr>
        <w:t>כי שגה בית המשפט המחוזי לנוער</w:t>
      </w:r>
      <w:r>
        <w:rPr>
          <w:rtl w:val="true"/>
        </w:rPr>
        <w:t xml:space="preserve">, </w:t>
      </w:r>
      <w:r>
        <w:rPr>
          <w:rtl w:val="true"/>
        </w:rPr>
        <w:t>בעת שבחר לתת את הבכורה לשיקולי הגמול</w:t>
      </w:r>
      <w:r>
        <w:rPr>
          <w:rtl w:val="true"/>
        </w:rPr>
        <w:t xml:space="preserve">, </w:t>
      </w:r>
      <w:r>
        <w:rPr>
          <w:rtl w:val="true"/>
        </w:rPr>
        <w:t>ולזנוח</w:t>
      </w:r>
      <w:r>
        <w:rPr>
          <w:rtl w:val="true"/>
        </w:rPr>
        <w:t xml:space="preserve">, </w:t>
      </w:r>
      <w:r>
        <w:rPr>
          <w:rtl w:val="true"/>
        </w:rPr>
        <w:t>כמעט כליל</w:t>
      </w:r>
      <w:r>
        <w:rPr>
          <w:rtl w:val="true"/>
        </w:rPr>
        <w:t xml:space="preserve">, </w:t>
      </w:r>
      <w:r>
        <w:rPr>
          <w:rtl w:val="true"/>
        </w:rPr>
        <w:t>את שיקולי השיקום</w:t>
      </w:r>
      <w:r>
        <w:rPr>
          <w:rtl w:val="true"/>
        </w:rPr>
        <w:t xml:space="preserve">, </w:t>
      </w:r>
      <w:r>
        <w:rPr>
          <w:rtl w:val="true"/>
        </w:rPr>
        <w:t>למרות ההליך הטיפולי הממושך שעבר המערער</w:t>
      </w:r>
      <w:r>
        <w:rPr>
          <w:rtl w:val="true"/>
        </w:rPr>
        <w:t xml:space="preserve">, </w:t>
      </w:r>
      <w:r>
        <w:rPr>
          <w:rtl w:val="true"/>
        </w:rPr>
        <w:t>והוא עדיין בעיצומו</w:t>
      </w:r>
      <w:r>
        <w:rPr>
          <w:rtl w:val="true"/>
        </w:rPr>
        <w:t xml:space="preserve">. </w:t>
      </w:r>
      <w:r>
        <w:rPr>
          <w:rtl w:val="true"/>
        </w:rPr>
        <w:t>לא זו אף זו</w:t>
      </w:r>
      <w:r>
        <w:rPr>
          <w:rtl w:val="true"/>
        </w:rPr>
        <w:t xml:space="preserve">: </w:t>
      </w:r>
      <w:r>
        <w:rPr>
          <w:rtl w:val="true"/>
        </w:rPr>
        <w:t>בית המשפט המחוזי לנוער אף ראה מקום לשקול לחובה</w:t>
      </w:r>
      <w:r>
        <w:rPr>
          <w:rtl w:val="true"/>
        </w:rPr>
        <w:t xml:space="preserve">, </w:t>
      </w:r>
      <w:r>
        <w:rPr>
          <w:rtl w:val="true"/>
        </w:rPr>
        <w:t>את התקדמותו האיטית יחסית של המערער</w:t>
      </w:r>
      <w:r>
        <w:rPr>
          <w:rtl w:val="true"/>
        </w:rPr>
        <w:t xml:space="preserve">, </w:t>
      </w:r>
      <w:r>
        <w:rPr>
          <w:rtl w:val="true"/>
        </w:rPr>
        <w:t>במשעולי ההליך הטיפולי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 התעלמות מטענת המערער</w:t>
      </w:r>
      <w:r>
        <w:rPr>
          <w:rtl w:val="true"/>
        </w:rPr>
        <w:t xml:space="preserve">, </w:t>
      </w:r>
      <w:r>
        <w:rPr>
          <w:rtl w:val="true"/>
        </w:rPr>
        <w:t>הנתמכת בתסקירי שירות המבחן</w:t>
      </w:r>
      <w:r>
        <w:rPr>
          <w:rtl w:val="true"/>
        </w:rPr>
        <w:t xml:space="preserve">, </w:t>
      </w:r>
      <w:r>
        <w:rPr>
          <w:rtl w:val="true"/>
        </w:rPr>
        <w:t>כי טעמים אובייקטיביים</w:t>
      </w:r>
      <w:r>
        <w:rPr>
          <w:rtl w:val="true"/>
        </w:rPr>
        <w:t xml:space="preserve">, </w:t>
      </w:r>
      <w:r>
        <w:rPr>
          <w:rtl w:val="true"/>
        </w:rPr>
        <w:t>הם אשר הביאו לקשיים בהתקדמות בהליך הטיפולי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  <w:shd w:fill="FFFFFF" w:val="clear"/>
        </w:rPr>
      </w:pP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הדיונים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בערעור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27.11.2019</w:t>
      </w:r>
      <w:r>
        <w:rPr>
          <w:rtl w:val="true"/>
        </w:rPr>
        <w:t xml:space="preserve">, </w:t>
      </w:r>
      <w:r>
        <w:rPr>
          <w:rtl w:val="true"/>
        </w:rPr>
        <w:t xml:space="preserve">קבע בית משפט זה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), </w:t>
      </w:r>
      <w:r>
        <w:rPr>
          <w:rtl w:val="true"/>
        </w:rPr>
        <w:t>כי נוכח הסכמת המשיבה</w:t>
      </w:r>
      <w:r>
        <w:rPr>
          <w:rtl w:val="true"/>
        </w:rPr>
        <w:t xml:space="preserve">, </w:t>
      </w:r>
      <w:r>
        <w:rPr>
          <w:rtl w:val="true"/>
        </w:rPr>
        <w:t>יעוכב ביצוע עונש המאסר בפועל שהוטל על המערער</w:t>
      </w:r>
      <w:r>
        <w:rPr>
          <w:rtl w:val="true"/>
        </w:rPr>
        <w:t xml:space="preserve">, </w:t>
      </w:r>
      <w:r>
        <w:rPr>
          <w:rtl w:val="true"/>
        </w:rPr>
        <w:t>עד למתן פסק דין בערעור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בדיון הראשון שהתקיים לפנינו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21.1.2020</w:t>
      </w:r>
      <w:r>
        <w:rPr>
          <w:rtl w:val="true"/>
        </w:rPr>
        <w:t xml:space="preserve">, </w:t>
      </w:r>
      <w:r>
        <w:rPr>
          <w:rtl w:val="true"/>
        </w:rPr>
        <w:t>חזר ב</w:t>
      </w:r>
      <w:r>
        <w:rPr>
          <w:rtl w:val="true"/>
        </w:rPr>
        <w:t>"</w:t>
      </w:r>
      <w:r>
        <w:rPr>
          <w:rtl w:val="true"/>
        </w:rPr>
        <w:t>כ המערער על עיקרי טענותיו</w:t>
      </w:r>
      <w:r>
        <w:rPr>
          <w:rtl w:val="true"/>
        </w:rPr>
        <w:t xml:space="preserve">. </w:t>
      </w:r>
      <w:r>
        <w:rPr>
          <w:rtl w:val="true"/>
        </w:rPr>
        <w:t>לעומתו</w:t>
      </w:r>
      <w:r>
        <w:rPr>
          <w:rtl w:val="true"/>
        </w:rPr>
        <w:t xml:space="preserve">, </w:t>
      </w:r>
      <w:r>
        <w:rPr>
          <w:rtl w:val="true"/>
        </w:rPr>
        <w:t>טענה ב</w:t>
      </w:r>
      <w:r>
        <w:rPr>
          <w:rtl w:val="true"/>
        </w:rPr>
        <w:t>"</w:t>
      </w:r>
      <w:r>
        <w:rPr>
          <w:rtl w:val="true"/>
        </w:rPr>
        <w:t>כ המשיבה</w:t>
      </w:r>
      <w:r>
        <w:rPr>
          <w:rtl w:val="true"/>
        </w:rPr>
        <w:t xml:space="preserve">, </w:t>
      </w:r>
      <w:r>
        <w:rPr>
          <w:rtl w:val="true"/>
        </w:rPr>
        <w:t>כי לא נפל כל פגם בגזר הדין</w:t>
      </w:r>
      <w:r>
        <w:rPr>
          <w:rtl w:val="true"/>
        </w:rPr>
        <w:t xml:space="preserve">, </w:t>
      </w:r>
      <w:r>
        <w:rPr>
          <w:rtl w:val="true"/>
        </w:rPr>
        <w:t>לבטח לא כזה שיכול להצדיק את התערבותה של ערכאת הערעור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מעשיו של המערער חמורים</w:t>
      </w:r>
      <w:r>
        <w:rPr>
          <w:rtl w:val="true"/>
        </w:rPr>
        <w:t xml:space="preserve">; </w:t>
      </w:r>
      <w:r>
        <w:rPr>
          <w:rtl w:val="true"/>
        </w:rPr>
        <w:t>אין מדובר במעידה 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tl w:val="true"/>
        </w:rPr>
        <w:t xml:space="preserve">; </w:t>
      </w:r>
      <w:r>
        <w:rPr>
          <w:rtl w:val="true"/>
        </w:rPr>
        <w:t>וההליך הטיפולי נמצא עוד בראשיתו</w:t>
      </w:r>
      <w:r>
        <w:rPr>
          <w:rtl w:val="true"/>
        </w:rPr>
        <w:t xml:space="preserve">. </w:t>
      </w:r>
      <w:r>
        <w:rPr>
          <w:rtl w:val="true"/>
        </w:rPr>
        <w:t>במצב דברים זה</w:t>
      </w:r>
      <w:r>
        <w:rPr>
          <w:rtl w:val="true"/>
        </w:rPr>
        <w:t xml:space="preserve">, </w:t>
      </w:r>
      <w:r>
        <w:rPr>
          <w:rtl w:val="true"/>
        </w:rPr>
        <w:t>האינטרס הציבורי מחייב ענישה בדמות מאסר בפועל</w:t>
      </w:r>
      <w:r>
        <w:rPr>
          <w:rtl w:val="true"/>
        </w:rPr>
        <w:t xml:space="preserve">. </w:t>
      </w:r>
      <w:r>
        <w:rPr>
          <w:rtl w:val="true"/>
        </w:rPr>
        <w:t>נטען אפוא</w:t>
      </w:r>
      <w:r>
        <w:rPr>
          <w:rtl w:val="true"/>
        </w:rPr>
        <w:t xml:space="preserve">, </w:t>
      </w:r>
      <w:r>
        <w:rPr>
          <w:rtl w:val="true"/>
        </w:rPr>
        <w:t>כי גזר הדין אינו חורג ממדיניות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וכי עילה אחרת להתערבות בגזר הדין – איִן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המשיבה הוסיפה</w:t>
      </w:r>
      <w:r>
        <w:rPr>
          <w:rtl w:val="true"/>
        </w:rPr>
        <w:t xml:space="preserve">, </w:t>
      </w:r>
      <w:r>
        <w:rPr>
          <w:rtl w:val="true"/>
        </w:rPr>
        <w:t>כי אם יראה בית המשפט לנכון לשקול את המלצת שירות המבחן</w:t>
      </w:r>
      <w:r>
        <w:rPr>
          <w:rtl w:val="true"/>
        </w:rPr>
        <w:t xml:space="preserve">, </w:t>
      </w:r>
      <w:r>
        <w:rPr>
          <w:rtl w:val="true"/>
        </w:rPr>
        <w:t>שלא להטיל על המערער עונש של מאסר בפועל</w:t>
      </w:r>
      <w:r>
        <w:rPr>
          <w:rtl w:val="true"/>
        </w:rPr>
        <w:t xml:space="preserve">, </w:t>
      </w:r>
      <w:r>
        <w:rPr>
          <w:rtl w:val="true"/>
        </w:rPr>
        <w:t>מן הראוי להמתין עם ההכרעה בערעור</w:t>
      </w:r>
      <w:r>
        <w:rPr>
          <w:rtl w:val="true"/>
        </w:rPr>
        <w:t xml:space="preserve">, </w:t>
      </w:r>
      <w:r>
        <w:rPr>
          <w:rtl w:val="true"/>
        </w:rPr>
        <w:t>בכדי שניתן יהיה להוסיף ולבחון את מידת תועלתו של ההליך הטיפולי</w:t>
      </w:r>
      <w:r>
        <w:rPr>
          <w:rtl w:val="true"/>
        </w:rPr>
        <w:t xml:space="preserve">, </w:t>
      </w:r>
      <w:r>
        <w:rPr>
          <w:rtl w:val="true"/>
        </w:rPr>
        <w:t>שבעיצומו מצוי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מנהל המעון הסגור שבו שוהה המערער</w:t>
      </w:r>
      <w:r>
        <w:rPr>
          <w:rtl w:val="true"/>
        </w:rPr>
        <w:t xml:space="preserve">, </w:t>
      </w:r>
      <w:r>
        <w:rPr>
          <w:rtl w:val="true"/>
        </w:rPr>
        <w:t>נכח אף הוא בדיון</w:t>
      </w:r>
      <w:r>
        <w:rPr>
          <w:rtl w:val="true"/>
        </w:rPr>
        <w:t xml:space="preserve">. </w:t>
      </w:r>
      <w:r>
        <w:rPr>
          <w:rtl w:val="true"/>
        </w:rPr>
        <w:t>נעתרנו לבקשתו לומר דברים קצרים</w:t>
      </w:r>
      <w:r>
        <w:rPr>
          <w:rtl w:val="true"/>
        </w:rPr>
        <w:t xml:space="preserve">. </w:t>
      </w:r>
      <w:r>
        <w:rPr>
          <w:rtl w:val="true"/>
        </w:rPr>
        <w:t>מנהל המעון טען</w:t>
      </w:r>
      <w:r>
        <w:rPr>
          <w:rtl w:val="true"/>
        </w:rPr>
        <w:t xml:space="preserve">, </w:t>
      </w:r>
      <w:r>
        <w:rPr>
          <w:rtl w:val="true"/>
        </w:rPr>
        <w:t>כי המערער נמצא בעיצומו של הליך חינוכי</w:t>
      </w:r>
      <w:r>
        <w:rPr>
          <w:rtl w:val="true"/>
        </w:rPr>
        <w:t>-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ושליחתו למאסר בפועל תקטע אותו לאלתר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השלמת ההליך הטיפולי חשובה ביותר לעתידו של המערער</w:t>
      </w:r>
      <w:r>
        <w:rPr>
          <w:rtl w:val="true"/>
        </w:rPr>
        <w:t xml:space="preserve">, </w:t>
      </w:r>
      <w:r>
        <w:rPr>
          <w:rtl w:val="true"/>
        </w:rPr>
        <w:t>ולכן ביקש לעכב את ההכרעה בערעור</w:t>
      </w:r>
      <w:r>
        <w:rPr>
          <w:rtl w:val="true"/>
        </w:rPr>
        <w:t xml:space="preserve">, </w:t>
      </w:r>
      <w:r>
        <w:rPr>
          <w:rtl w:val="true"/>
        </w:rPr>
        <w:t>עד לסיום ההליך הטיפולי</w:t>
      </w:r>
      <w:r>
        <w:rPr>
          <w:rtl w:val="true"/>
        </w:rPr>
        <w:t xml:space="preserve">, </w:t>
      </w:r>
      <w:r>
        <w:rPr>
          <w:rtl w:val="true"/>
        </w:rPr>
        <w:t>אשר עתיד להימשך כשנה וחצי</w:t>
      </w:r>
      <w:r>
        <w:rPr>
          <w:rtl w:val="true"/>
        </w:rPr>
        <w:t>-</w:t>
      </w:r>
      <w:r>
        <w:rPr>
          <w:rtl w:val="true"/>
        </w:rPr>
        <w:t>שנתיים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נציגת שירות המבחן טענה</w:t>
      </w:r>
      <w:r>
        <w:rPr>
          <w:rtl w:val="true"/>
        </w:rPr>
        <w:t xml:space="preserve">, </w:t>
      </w:r>
      <w:r>
        <w:rPr>
          <w:rtl w:val="true"/>
        </w:rPr>
        <w:t>כי המערער הוא בעל צרכים טיפוליים רבים</w:t>
      </w:r>
      <w:r>
        <w:rPr>
          <w:rtl w:val="true"/>
        </w:rPr>
        <w:t xml:space="preserve">; </w:t>
      </w:r>
      <w:r>
        <w:rPr>
          <w:rtl w:val="true"/>
        </w:rPr>
        <w:t>הרקע המשפחתי מורכב מאד</w:t>
      </w:r>
      <w:r>
        <w:rPr>
          <w:rtl w:val="true"/>
        </w:rPr>
        <w:t xml:space="preserve">; </w:t>
      </w:r>
      <w:r>
        <w:rPr>
          <w:rtl w:val="true"/>
        </w:rPr>
        <w:t>ועל כך נוסף גם הקושי מחמת סגירת המעון שבו שהה המערער</w:t>
      </w:r>
      <w:r>
        <w:rPr>
          <w:rtl w:val="true"/>
        </w:rPr>
        <w:t xml:space="preserve">, </w:t>
      </w:r>
      <w:r>
        <w:rPr>
          <w:rtl w:val="true"/>
        </w:rPr>
        <w:t>והעברתו למעון אחר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העובדה שהמערער נקלט בקבוצה טיפולית חדשה</w:t>
      </w:r>
      <w:r>
        <w:rPr>
          <w:rtl w:val="true"/>
        </w:rPr>
        <w:t xml:space="preserve">, </w:t>
      </w:r>
      <w:r>
        <w:rPr>
          <w:rtl w:val="true"/>
        </w:rPr>
        <w:t>עקב מעברו למעון חדש</w:t>
      </w:r>
      <w:r>
        <w:rPr>
          <w:rtl w:val="true"/>
        </w:rPr>
        <w:t xml:space="preserve">, </w:t>
      </w:r>
      <w:r>
        <w:rPr>
          <w:rtl w:val="true"/>
        </w:rPr>
        <w:t>גורמת לקשיי התאקלמות</w:t>
      </w:r>
      <w:r>
        <w:rPr>
          <w:rtl w:val="true"/>
        </w:rPr>
        <w:t xml:space="preserve">, </w:t>
      </w:r>
      <w:r>
        <w:rPr>
          <w:rtl w:val="true"/>
        </w:rPr>
        <w:t>המעכבים את התקדמותו של המערער בהליך הטיפולי</w:t>
      </w:r>
      <w:r>
        <w:rPr>
          <w:rtl w:val="true"/>
        </w:rPr>
        <w:t xml:space="preserve">. </w:t>
      </w:r>
      <w:r>
        <w:rPr>
          <w:rtl w:val="true"/>
        </w:rPr>
        <w:t>בשל כך</w:t>
      </w:r>
      <w:r>
        <w:rPr>
          <w:rtl w:val="true"/>
        </w:rPr>
        <w:t xml:space="preserve">, </w:t>
      </w:r>
      <w:r>
        <w:rPr>
          <w:rtl w:val="true"/>
        </w:rPr>
        <w:t>נכון יהיה לבחון את תפקוד המערער למשך פרק זמן נוסף</w:t>
      </w:r>
      <w:r>
        <w:rPr>
          <w:rtl w:val="true"/>
        </w:rPr>
        <w:t xml:space="preserve">, </w:t>
      </w:r>
      <w:r>
        <w:rPr>
          <w:rtl w:val="true"/>
        </w:rPr>
        <w:t>ורק לאחר מכן לבוא בהמלצה בנושא 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למחרת הדיון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22.1.2020</w:t>
      </w:r>
      <w:r>
        <w:rPr>
          <w:rtl w:val="true"/>
        </w:rPr>
        <w:t xml:space="preserve">, </w:t>
      </w:r>
      <w:r>
        <w:rPr>
          <w:rtl w:val="true"/>
        </w:rPr>
        <w:t xml:space="preserve">ניתנה החלטתנו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וילנר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גרוסקופף</w:t>
      </w:r>
      <w:r>
        <w:rPr>
          <w:rtl w:val="true"/>
        </w:rPr>
        <w:t xml:space="preserve">) </w:t>
      </w:r>
      <w:r>
        <w:rPr>
          <w:rtl w:val="true"/>
        </w:rPr>
        <w:t>בזו הלשון</w:t>
      </w:r>
      <w:r>
        <w:rPr>
          <w:rtl w:val="true"/>
        </w:rPr>
        <w:t xml:space="preserve">: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spacing w:lineRule="auto" w:line="360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טיעוני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התלבטנו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המלצת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ולאפשר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להמש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בתכנית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בתנאים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המגבילים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</w:p>
    <w:p>
      <w:pPr>
        <w:pStyle w:val="Ruller5"/>
        <w:spacing w:lineRule="auto" w:line="360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יוגש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1.6.2020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</w:p>
    <w:p>
      <w:pPr>
        <w:pStyle w:val="Ruller5"/>
        <w:spacing w:lineRule="auto" w:line="360"/>
        <w:ind w:end="1282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חשוב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להבהיר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בהחלטתנו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כיוון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כלשהי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5"/>
        <w:spacing w:lineRule="auto" w:line="360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שהתקבל התסקיר המשלים</w:t>
      </w:r>
      <w:r>
        <w:rPr>
          <w:rtl w:val="true"/>
        </w:rPr>
        <w:t xml:space="preserve">, </w:t>
      </w:r>
      <w:r>
        <w:rPr>
          <w:rtl w:val="true"/>
        </w:rPr>
        <w:t>ותגובות הצדדים לו</w:t>
      </w:r>
      <w:r>
        <w:rPr>
          <w:rtl w:val="true"/>
        </w:rPr>
        <w:t xml:space="preserve">, </w:t>
      </w:r>
      <w:r>
        <w:rPr>
          <w:rtl w:val="true"/>
        </w:rPr>
        <w:t xml:space="preserve">קיימנו ביום </w:t>
      </w:r>
      <w:r>
        <w:rPr/>
        <w:t>10.8.2020</w:t>
      </w:r>
      <w:r>
        <w:rPr>
          <w:rtl w:val="true"/>
        </w:rPr>
        <w:t xml:space="preserve"> </w:t>
      </w:r>
      <w:r>
        <w:rPr>
          <w:rtl w:val="true"/>
        </w:rPr>
        <w:t>דיון נוסף בערעור</w:t>
      </w:r>
      <w:r>
        <w:rPr>
          <w:rtl w:val="true"/>
        </w:rPr>
        <w:t xml:space="preserve">. </w:t>
      </w:r>
      <w:r>
        <w:rPr>
          <w:rtl w:val="true"/>
        </w:rPr>
        <w:t>שירות המבחן לנוער שב והמליץ להמיר את עונש המאסר בפועל</w:t>
      </w:r>
      <w:r>
        <w:rPr>
          <w:rtl w:val="true"/>
        </w:rPr>
        <w:t xml:space="preserve">, </w:t>
      </w:r>
      <w:r>
        <w:rPr>
          <w:rtl w:val="true"/>
        </w:rPr>
        <w:t>בשהייה במעון סגור תחת צו פיקוח</w:t>
      </w:r>
      <w:r>
        <w:rPr>
          <w:rtl w:val="true"/>
        </w:rPr>
        <w:t xml:space="preserve">. </w:t>
      </w:r>
      <w:r>
        <w:rPr>
          <w:rtl w:val="true"/>
        </w:rPr>
        <w:t>לפי האמור בתסקיר</w:t>
      </w:r>
      <w:r>
        <w:rPr>
          <w:rtl w:val="true"/>
        </w:rPr>
        <w:t xml:space="preserve">, </w:t>
      </w:r>
      <w:r>
        <w:rPr>
          <w:rtl w:val="true"/>
        </w:rPr>
        <w:t>ניכר כי המערער מתקדם בהליך הטיפולי</w:t>
      </w:r>
      <w:r>
        <w:rPr>
          <w:rtl w:val="true"/>
        </w:rPr>
        <w:t xml:space="preserve">, </w:t>
      </w:r>
      <w:r>
        <w:rPr>
          <w:rtl w:val="true"/>
        </w:rPr>
        <w:t>ומכאן ההמלצה שלא להביא לקטיעת הרצף הטיפולי</w:t>
      </w:r>
      <w:r>
        <w:rPr>
          <w:rtl w:val="true"/>
        </w:rPr>
        <w:t xml:space="preserve">, </w:t>
      </w:r>
      <w:r>
        <w:rPr>
          <w:rtl w:val="true"/>
        </w:rPr>
        <w:t>בין היתר בהתחשב גם בגילו של המערער</w:t>
      </w:r>
      <w:r>
        <w:rPr>
          <w:rtl w:val="true"/>
        </w:rPr>
        <w:t xml:space="preserve">, </w:t>
      </w:r>
      <w:r>
        <w:rPr>
          <w:rtl w:val="true"/>
        </w:rPr>
        <w:t>אשר מתקרב לגיל שבו לא יוכל לשהות עוד במסגרת הטיפולית הנוכחית</w:t>
      </w:r>
      <w:r>
        <w:rPr>
          <w:rtl w:val="true"/>
        </w:rPr>
        <w:t xml:space="preserve">. </w:t>
      </w:r>
      <w:r>
        <w:rPr>
          <w:rtl w:val="true"/>
        </w:rPr>
        <w:t>מנהל המעון התייצב גם הפעם</w:t>
      </w:r>
      <w:r>
        <w:rPr>
          <w:rtl w:val="true"/>
        </w:rPr>
        <w:t xml:space="preserve">, </w:t>
      </w:r>
      <w:r>
        <w:rPr>
          <w:rtl w:val="true"/>
        </w:rPr>
        <w:t>ושב ואמר דברים על אודות החשיבות הרבה הטמונה בהמשך הרצף הטיפולי</w:t>
      </w:r>
      <w:r>
        <w:rPr>
          <w:rtl w:val="true"/>
        </w:rPr>
        <w:t xml:space="preserve">, </w:t>
      </w:r>
      <w:r>
        <w:rPr>
          <w:rtl w:val="true"/>
        </w:rPr>
        <w:t>לטובת מאמצי השיקום של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המשיבה חזרה מנגד על טענתה</w:t>
      </w:r>
      <w:r>
        <w:rPr>
          <w:rtl w:val="true"/>
        </w:rPr>
        <w:t xml:space="preserve">, </w:t>
      </w:r>
      <w:r>
        <w:rPr>
          <w:rtl w:val="true"/>
        </w:rPr>
        <w:t>כי בנסיבות העניין שלפנינו</w:t>
      </w:r>
      <w:r>
        <w:rPr>
          <w:rtl w:val="true"/>
        </w:rPr>
        <w:t xml:space="preserve">, </w:t>
      </w:r>
      <w:r>
        <w:rPr>
          <w:rtl w:val="true"/>
        </w:rPr>
        <w:t>ובהינתן העבירות החמורות שאותן ביצע המערער</w:t>
      </w:r>
      <w:r>
        <w:rPr>
          <w:rtl w:val="true"/>
        </w:rPr>
        <w:t xml:space="preserve">, </w:t>
      </w:r>
      <w:r>
        <w:rPr>
          <w:rtl w:val="true"/>
        </w:rPr>
        <w:t>אין כל ברירה אחרת</w:t>
      </w:r>
      <w:r>
        <w:rPr>
          <w:rtl w:val="true"/>
        </w:rPr>
        <w:t xml:space="preserve">, </w:t>
      </w:r>
      <w:r>
        <w:rPr>
          <w:rtl w:val="true"/>
        </w:rPr>
        <w:t>מבלעדי הותרת עונש המאסר בפועל על כנו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אין לשים את צרכי המערער במרכז</w:t>
      </w:r>
      <w:r>
        <w:rPr>
          <w:rtl w:val="true"/>
        </w:rPr>
        <w:t xml:space="preserve">, </w:t>
      </w:r>
      <w:r>
        <w:rPr>
          <w:rtl w:val="true"/>
        </w:rPr>
        <w:t>כי אם את שיקולי הגמול וההלימה</w:t>
      </w:r>
      <w:r>
        <w:rPr>
          <w:rtl w:val="true"/>
        </w:rPr>
        <w:t xml:space="preserve">. </w:t>
      </w:r>
      <w:r>
        <w:rPr>
          <w:rtl w:val="true"/>
        </w:rPr>
        <w:t>עוד הצביעה ב</w:t>
      </w:r>
      <w:r>
        <w:rPr>
          <w:rtl w:val="true"/>
        </w:rPr>
        <w:t>"</w:t>
      </w:r>
      <w:r>
        <w:rPr>
          <w:rtl w:val="true"/>
        </w:rPr>
        <w:t>כ המשיבה על כך שהמערער לא שילם עדיין את הפיצויים שהוא חויב בתשלומם לטובת נפגעי העבירה</w:t>
      </w:r>
      <w:r>
        <w:rPr>
          <w:rtl w:val="true"/>
        </w:rPr>
        <w:t xml:space="preserve">. </w:t>
      </w:r>
      <w:r>
        <w:rPr>
          <w:rtl w:val="true"/>
        </w:rPr>
        <w:t>גם נתון זה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אינו פועל לטובתו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בו ביום</w:t>
      </w:r>
      <w:r>
        <w:rPr>
          <w:rtl w:val="true"/>
        </w:rPr>
        <w:t xml:space="preserve">, </w:t>
      </w:r>
      <w:r>
        <w:rPr>
          <w:rtl w:val="true"/>
        </w:rPr>
        <w:t xml:space="preserve">ניתנה על ידינו החלטה נוספת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וילנר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):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spacing w:lineRule="auto" w:line="360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התלבטות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ולאפשר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להמשיך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בתכנית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בתנאים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המגבילים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</w:p>
    <w:p>
      <w:pPr>
        <w:pStyle w:val="Ruller5"/>
        <w:spacing w:lineRule="auto" w:line="360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יוגש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10.1.2021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</w:p>
    <w:p>
      <w:pPr>
        <w:pStyle w:val="Ruller5"/>
        <w:spacing w:lineRule="auto" w:line="360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נשוב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ונבהיר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בהחלטתנו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כיוון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כלשהי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</w:p>
    <w:p>
      <w:pPr>
        <w:pStyle w:val="Ruller5"/>
        <w:spacing w:lineRule="auto" w:line="360"/>
        <w:ind w:end="1282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90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הפיצויים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שחוייב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בתשלומו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5"/>
        <w:spacing w:lineRule="auto" w:line="360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ימים נוספים חלפו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12.11.2020</w:t>
      </w:r>
      <w:r>
        <w:rPr>
          <w:rtl w:val="true"/>
        </w:rPr>
        <w:t xml:space="preserve"> </w:t>
      </w:r>
      <w:r>
        <w:rPr>
          <w:rtl w:val="true"/>
        </w:rPr>
        <w:t>הגיש ב</w:t>
      </w:r>
      <w:r>
        <w:rPr>
          <w:rtl w:val="true"/>
        </w:rPr>
        <w:t>"</w:t>
      </w:r>
      <w:r>
        <w:rPr>
          <w:rtl w:val="true"/>
        </w:rPr>
        <w:t>כ המערער הודעה</w:t>
      </w:r>
      <w:r>
        <w:rPr>
          <w:rtl w:val="true"/>
        </w:rPr>
        <w:t xml:space="preserve">, </w:t>
      </w:r>
      <w:r>
        <w:rPr>
          <w:rtl w:val="true"/>
        </w:rPr>
        <w:t>שבה נטען כי אכן</w:t>
      </w:r>
      <w:r>
        <w:rPr>
          <w:rtl w:val="true"/>
        </w:rPr>
        <w:t xml:space="preserve">, </w:t>
      </w:r>
      <w:r>
        <w:rPr>
          <w:rtl w:val="true"/>
        </w:rPr>
        <w:t>כטענת ב</w:t>
      </w:r>
      <w:r>
        <w:rPr>
          <w:rtl w:val="true"/>
        </w:rPr>
        <w:t>"</w:t>
      </w:r>
      <w:r>
        <w:rPr>
          <w:rtl w:val="true"/>
        </w:rPr>
        <w:t>כ המשיבה</w:t>
      </w:r>
      <w:r>
        <w:rPr>
          <w:rtl w:val="true"/>
        </w:rPr>
        <w:t xml:space="preserve">, </w:t>
      </w:r>
      <w:r>
        <w:rPr>
          <w:rtl w:val="true"/>
        </w:rPr>
        <w:t>המערער טרם שילם את סכום הפיצויים שבו חויב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נטען כי המערער נעדר כל רכוש או הכנסות</w:t>
      </w:r>
      <w:r>
        <w:rPr>
          <w:rtl w:val="true"/>
        </w:rPr>
        <w:t xml:space="preserve">, </w:t>
      </w:r>
      <w:r>
        <w:rPr>
          <w:rtl w:val="true"/>
        </w:rPr>
        <w:t>ולכן נבצר ממנו לשלם את סכום הפיצויים</w:t>
      </w:r>
      <w:r>
        <w:rPr>
          <w:rtl w:val="true"/>
        </w:rPr>
        <w:t xml:space="preserve">. </w:t>
      </w:r>
      <w:r>
        <w:rPr>
          <w:rtl w:val="true"/>
        </w:rPr>
        <w:t>מעבר לכך נטען</w:t>
      </w:r>
      <w:r>
        <w:rPr>
          <w:rtl w:val="true"/>
        </w:rPr>
        <w:t xml:space="preserve">, </w:t>
      </w:r>
      <w:r>
        <w:rPr>
          <w:rtl w:val="true"/>
        </w:rPr>
        <w:t>כי המערער פנה הן לבא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הן לגורמי הטיפול במעון</w:t>
      </w:r>
      <w:r>
        <w:rPr>
          <w:rtl w:val="true"/>
        </w:rPr>
        <w:t xml:space="preserve">, </w:t>
      </w:r>
      <w:r>
        <w:rPr>
          <w:rtl w:val="true"/>
        </w:rPr>
        <w:t>וביקש כי יתאפשר לו לצאת לעבודה</w:t>
      </w:r>
      <w:r>
        <w:rPr>
          <w:rtl w:val="true"/>
        </w:rPr>
        <w:t xml:space="preserve">, </w:t>
      </w:r>
      <w:r>
        <w:rPr>
          <w:rtl w:val="true"/>
        </w:rPr>
        <w:t>על מנת שיוכל להחזיר ולוּ חלק מכספי הפיצוי לנפגעי העבירה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 המערער מקווה שבקשתו תאושר</w:t>
      </w:r>
      <w:r>
        <w:rPr>
          <w:rtl w:val="true"/>
        </w:rPr>
        <w:t xml:space="preserve">, </w:t>
      </w:r>
      <w:r>
        <w:rPr>
          <w:rtl w:val="true"/>
        </w:rPr>
        <w:t>ובדרך זו יוכל להתחיל בתשלום הפיצוי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בהחלטתנו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7.1.2021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, </w:t>
      </w:r>
      <w:r>
        <w:rPr>
          <w:rtl w:val="true"/>
        </w:rPr>
        <w:t>עדכני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נסגר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ההתקדמות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תפקודו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המעון</w:t>
      </w:r>
      <w:r>
        <w:rPr>
          <w:rtl w:val="true"/>
        </w:rPr>
        <w:t xml:space="preserve">;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ולעבוד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האמפתיה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לנפגעים</w:t>
      </w:r>
      <w:r>
        <w:rPr>
          <w:rtl w:val="true"/>
        </w:rPr>
        <w:t xml:space="preserve">; </w:t>
      </w:r>
      <w:r>
        <w:rPr>
          <w:rtl w:val="true"/>
        </w:rPr>
        <w:t>הפנמתו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ולקיחת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הסגור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הגיעה שעת הכרעה</w:t>
      </w:r>
      <w:r>
        <w:rPr>
          <w:rtl w:val="true"/>
        </w:rPr>
        <w:t xml:space="preserve">, </w:t>
      </w:r>
      <w:r>
        <w:rPr>
          <w:rtl w:val="true"/>
        </w:rPr>
        <w:t>וזו נדחתה פעם ופעמיים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מחמת התלבטותנו</w:t>
      </w:r>
      <w:r>
        <w:rPr>
          <w:rtl w:val="true"/>
        </w:rPr>
        <w:t xml:space="preserve">. </w:t>
      </w:r>
      <w:r>
        <w:rPr>
          <w:rtl w:val="true"/>
        </w:rPr>
        <w:t>לאחר ששקלנו בכובד ראש את טענות הצדדים מזה ומזה</w:t>
      </w:r>
      <w:r>
        <w:rPr>
          <w:rtl w:val="true"/>
        </w:rPr>
        <w:t xml:space="preserve">, </w:t>
      </w:r>
      <w:r>
        <w:rPr>
          <w:rtl w:val="true"/>
        </w:rPr>
        <w:t>בכתב ובעל</w:t>
      </w:r>
      <w:r>
        <w:rPr>
          <w:rtl w:val="true"/>
        </w:rPr>
        <w:t>-</w:t>
      </w:r>
      <w:r>
        <w:rPr>
          <w:rtl w:val="true"/>
        </w:rPr>
        <w:t xml:space="preserve">פה </w:t>
      </w:r>
      <w:r>
        <w:rPr>
          <w:rtl w:val="true"/>
        </w:rPr>
        <w:t>–</w:t>
      </w:r>
      <w:r>
        <w:rPr>
          <w:rtl w:val="true"/>
        </w:rPr>
        <w:t xml:space="preserve"> ולאחר מחשבה רבה</w:t>
      </w:r>
      <w:r>
        <w:rPr>
          <w:rtl w:val="true"/>
        </w:rPr>
        <w:t xml:space="preserve">, </w:t>
      </w:r>
      <w:r>
        <w:rPr>
          <w:rtl w:val="true"/>
        </w:rPr>
        <w:t xml:space="preserve">נוכח השיקולים הנוגדים </w:t>
      </w:r>
      <w:r>
        <w:rPr>
          <w:rtl w:val="true"/>
        </w:rPr>
        <w:t>–</w:t>
      </w:r>
      <w:r>
        <w:rPr>
          <w:rtl w:val="true"/>
        </w:rPr>
        <w:t xml:space="preserve"> באנו לכלל מסקנה כי בנסיבותיו המיוחדות של מקרה זה</w:t>
      </w:r>
      <w:r>
        <w:rPr>
          <w:rtl w:val="true"/>
        </w:rPr>
        <w:t xml:space="preserve">, </w:t>
      </w:r>
      <w:r>
        <w:rPr>
          <w:rtl w:val="true"/>
        </w:rPr>
        <w:t>נכון יהיה להעתר לערעור</w:t>
      </w:r>
      <w:r>
        <w:rPr>
          <w:rtl w:val="true"/>
        </w:rPr>
        <w:t xml:space="preserve">; </w:t>
      </w:r>
      <w:r>
        <w:rPr>
          <w:rtl w:val="true"/>
        </w:rPr>
        <w:t>לאמץ את המלצתו העדכנית של שירות המבחן</w:t>
      </w:r>
      <w:r>
        <w:rPr>
          <w:rtl w:val="true"/>
        </w:rPr>
        <w:t xml:space="preserve">; </w:t>
      </w:r>
      <w:r>
        <w:rPr>
          <w:rtl w:val="true"/>
        </w:rPr>
        <w:t>ולבטל את עונש המאסר בפועל שהוטל על המערער על</w:t>
      </w:r>
      <w:r>
        <w:rPr>
          <w:rtl w:val="true"/>
        </w:rPr>
        <w:t>-</w:t>
      </w:r>
      <w:r>
        <w:rPr>
          <w:rtl w:val="true"/>
        </w:rPr>
        <w:t>ידי בית המשפט המחוזי לנוער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המלצתו החד</w:t>
      </w:r>
      <w:r>
        <w:rPr>
          <w:rtl w:val="true"/>
        </w:rPr>
        <w:t>-</w:t>
      </w:r>
      <w:r>
        <w:rPr>
          <w:rtl w:val="true"/>
        </w:rPr>
        <w:t>משמעית של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בכל תסקיריו </w:t>
      </w:r>
      <w:r>
        <w:rPr>
          <w:rtl w:val="true"/>
        </w:rPr>
        <w:t>–</w:t>
      </w:r>
      <w:r>
        <w:rPr>
          <w:rtl w:val="true"/>
        </w:rPr>
        <w:t xml:space="preserve"> שניתנו כאמור לאורך תקופה בת כשנתיים</w:t>
      </w:r>
      <w:r>
        <w:rPr>
          <w:rtl w:val="true"/>
        </w:rPr>
        <w:t>-</w:t>
      </w:r>
      <w:r>
        <w:rPr>
          <w:rtl w:val="true"/>
        </w:rPr>
        <w:t xml:space="preserve">ימים </w:t>
      </w:r>
      <w:r>
        <w:rPr>
          <w:rtl w:val="true"/>
        </w:rPr>
        <w:t>–</w:t>
      </w:r>
      <w:r>
        <w:rPr>
          <w:rtl w:val="true"/>
        </w:rPr>
        <w:t xml:space="preserve"> הייתה ועודנה</w:t>
      </w:r>
      <w:r>
        <w:rPr>
          <w:rtl w:val="true"/>
        </w:rPr>
        <w:t xml:space="preserve">, </w:t>
      </w:r>
      <w:r>
        <w:rPr>
          <w:rtl w:val="true"/>
        </w:rPr>
        <w:t>כי אין לשלוח את המערער לריצוי עונש מאסר בפועל</w:t>
      </w:r>
      <w:r>
        <w:rPr>
          <w:rtl w:val="true"/>
        </w:rPr>
        <w:t xml:space="preserve">. </w:t>
      </w:r>
      <w:r>
        <w:rPr>
          <w:rtl w:val="true"/>
        </w:rPr>
        <w:t>עונש שכזה</w:t>
      </w:r>
      <w:r>
        <w:rPr>
          <w:rtl w:val="true"/>
        </w:rPr>
        <w:t xml:space="preserve">, </w:t>
      </w:r>
      <w:r>
        <w:rPr>
          <w:rtl w:val="true"/>
        </w:rPr>
        <w:t>צפוי לפגוע באופן דרמטי</w:t>
      </w:r>
      <w:r>
        <w:rPr>
          <w:rtl w:val="true"/>
        </w:rPr>
        <w:t xml:space="preserve">, </w:t>
      </w:r>
      <w:r>
        <w:rPr>
          <w:rtl w:val="true"/>
        </w:rPr>
        <w:t>אולי הרסני</w:t>
      </w:r>
      <w:r>
        <w:rPr>
          <w:rtl w:val="true"/>
        </w:rPr>
        <w:t xml:space="preserve">, </w:t>
      </w:r>
      <w:r>
        <w:rPr>
          <w:rtl w:val="true"/>
        </w:rPr>
        <w:t>בהליך השיקומי שאותו עובר המערער</w:t>
      </w:r>
      <w:r>
        <w:rPr>
          <w:rtl w:val="true"/>
        </w:rPr>
        <w:t xml:space="preserve">, </w:t>
      </w:r>
      <w:r>
        <w:rPr>
          <w:rtl w:val="true"/>
        </w:rPr>
        <w:t>ולכן נכון להימנע מהטלתו</w:t>
      </w:r>
      <w:r>
        <w:rPr>
          <w:rtl w:val="true"/>
        </w:rPr>
        <w:t xml:space="preserve">, </w:t>
      </w:r>
      <w:r>
        <w:rPr>
          <w:rtl w:val="true"/>
        </w:rPr>
        <w:t>ככל הניתן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נסיבות חייו של המערער </w:t>
      </w:r>
      <w:r>
        <w:rPr>
          <w:rtl w:val="true"/>
        </w:rPr>
        <w:t>–</w:t>
      </w:r>
      <w:r>
        <w:rPr>
          <w:rtl w:val="true"/>
        </w:rPr>
        <w:t xml:space="preserve"> חיים קשים מאד </w:t>
      </w:r>
      <w:r>
        <w:rPr>
          <w:rtl w:val="true"/>
        </w:rPr>
        <w:t>–</w:t>
      </w:r>
      <w:r>
        <w:rPr>
          <w:rtl w:val="true"/>
        </w:rPr>
        <w:t xml:space="preserve"> והסביבה המורכבת שבה גדל</w:t>
      </w:r>
      <w:r>
        <w:rPr>
          <w:rtl w:val="true"/>
        </w:rPr>
        <w:t xml:space="preserve">, </w:t>
      </w:r>
      <w:r>
        <w:rPr>
          <w:rtl w:val="true"/>
        </w:rPr>
        <w:t>נותנים בו את אותותיהם</w:t>
      </w:r>
      <w:r>
        <w:rPr>
          <w:rtl w:val="true"/>
        </w:rPr>
        <w:t xml:space="preserve">, </w:t>
      </w:r>
      <w:r>
        <w:rPr>
          <w:rtl w:val="true"/>
        </w:rPr>
        <w:t>כעולה בבירור משלושת תסקירי שירות המבחן שהוגשו לבית המשפט המחוזי לנוער</w:t>
      </w:r>
      <w:r>
        <w:rPr>
          <w:rtl w:val="true"/>
        </w:rPr>
        <w:t xml:space="preserve">, </w:t>
      </w:r>
      <w:r>
        <w:rPr>
          <w:rtl w:val="true"/>
        </w:rPr>
        <w:t>ומשלושת התסקירים הנוספים שהוגשו במהלך הדיון בערעור שלפנינו</w:t>
      </w:r>
      <w:r>
        <w:rPr>
          <w:rtl w:val="true"/>
        </w:rPr>
        <w:t xml:space="preserve">. </w:t>
      </w:r>
      <w:r>
        <w:rPr>
          <w:rtl w:val="true"/>
        </w:rPr>
        <w:t>לא נפרט עוד</w:t>
      </w:r>
      <w:r>
        <w:rPr>
          <w:rtl w:val="true"/>
        </w:rPr>
        <w:t xml:space="preserve">, </w:t>
      </w:r>
      <w:r>
        <w:rPr>
          <w:rtl w:val="true"/>
        </w:rPr>
        <w:t>כדי שלא לפגוע בצנעת הפרט</w:t>
      </w:r>
      <w:r>
        <w:rPr>
          <w:rtl w:val="true"/>
        </w:rPr>
        <w:t xml:space="preserve">. </w:t>
      </w:r>
      <w:r>
        <w:rPr>
          <w:rtl w:val="true"/>
        </w:rPr>
        <w:t>נציין אך זאת</w:t>
      </w:r>
      <w:r>
        <w:rPr>
          <w:rtl w:val="true"/>
        </w:rPr>
        <w:t xml:space="preserve">, </w:t>
      </w:r>
      <w:r>
        <w:rPr>
          <w:rtl w:val="true"/>
        </w:rPr>
        <w:t>שהרקע האישי של המערער מורכב</w:t>
      </w:r>
      <w:r>
        <w:rPr>
          <w:rtl w:val="true"/>
        </w:rPr>
        <w:t xml:space="preserve">, </w:t>
      </w:r>
      <w:r>
        <w:rPr>
          <w:rtl w:val="true"/>
        </w:rPr>
        <w:t>מעיק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ומחייב התייחסות הולמת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הלכה מושרשת וידועה היא</w:t>
      </w:r>
      <w:r>
        <w:rPr>
          <w:rtl w:val="true"/>
        </w:rPr>
        <w:t xml:space="preserve">, </w:t>
      </w:r>
      <w:r>
        <w:rPr>
          <w:rtl w:val="true"/>
        </w:rPr>
        <w:t>כי בית המשפט איננו כבול להמלצותיו של שירות המבחן</w:t>
      </w:r>
      <w:r>
        <w:rPr>
          <w:rtl w:val="true"/>
        </w:rPr>
        <w:t xml:space="preserve">. </w:t>
      </w:r>
      <w:r>
        <w:rPr>
          <w:rtl w:val="true"/>
        </w:rPr>
        <w:t>ועדיין</w:t>
      </w:r>
      <w:r>
        <w:rPr>
          <w:rtl w:val="true"/>
        </w:rPr>
        <w:t xml:space="preserve">, </w:t>
      </w:r>
      <w:r>
        <w:rPr>
          <w:rtl w:val="true"/>
        </w:rPr>
        <w:t>כפי שציין בית המשפט המחוזי לנוער בפסק הדין</w:t>
      </w:r>
      <w:r>
        <w:rPr>
          <w:rtl w:val="true"/>
        </w:rPr>
        <w:t xml:space="preserve">, </w:t>
      </w:r>
      <w:r>
        <w:rPr>
          <w:rtl w:val="true"/>
        </w:rPr>
        <w:t>מקום שבו מדובר בגזירת דינו של קטין</w:t>
      </w:r>
      <w:r>
        <w:rPr>
          <w:rtl w:val="true"/>
        </w:rPr>
        <w:t xml:space="preserve">, </w:t>
      </w:r>
      <w:r>
        <w:rPr>
          <w:rtl w:val="true"/>
        </w:rPr>
        <w:t>יש לתת משקל רב להמלצות שירות המבחן</w:t>
      </w:r>
      <w:r>
        <w:rPr>
          <w:rtl w:val="true"/>
        </w:rPr>
        <w:t xml:space="preserve">, </w:t>
      </w:r>
      <w:r>
        <w:rPr>
          <w:rtl w:val="true"/>
        </w:rPr>
        <w:t>אין לסטות מהן כדבר שבשגרה</w:t>
      </w:r>
      <w:r>
        <w:rPr>
          <w:rtl w:val="true"/>
        </w:rPr>
        <w:t xml:space="preserve">, </w:t>
      </w:r>
      <w:r>
        <w:rPr>
          <w:rtl w:val="true"/>
        </w:rPr>
        <w:t>אלא רק על סמך טעמים כבדי משקל המצדיקים זאת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spacing w:lineRule="auto" w:line="360"/>
        <w:ind w:end="1282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בעבריינים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קטינים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מחייבת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מלכתחילה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להקנות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מכריע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ודומיננטי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השיקום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אינהרנטי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להמלצות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מהדיסציפלינה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הטיפולית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שתסקירי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המלצה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מחייבת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cs="Miriam" w:ascii="Century" w:hAnsi="Century"/>
          <w:b/>
          <w:spacing w:val="0"/>
          <w:szCs w:val="24"/>
          <w:rtl w:val="true"/>
        </w:rPr>
        <w:t>...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לסטות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מהמלצות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בנמצא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שיקומי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cs="Miriam" w:ascii="Century" w:hAnsi="Century"/>
          <w:b/>
          <w:spacing w:val="0"/>
          <w:szCs w:val="24"/>
          <w:rtl w:val="true"/>
        </w:rPr>
        <w:t>...</w:t>
      </w:r>
      <w:r>
        <w:rPr>
          <w:rFonts w:cs="Miriam" w:ascii="Century" w:hAnsi="Century"/>
          <w:b/>
          <w:spacing w:val="0"/>
          <w:szCs w:val="24"/>
          <w:rtl w:val="true"/>
        </w:rPr>
        <w:t>].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סבורני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לאמץ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בגזירת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תוקף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להמלצות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שתוגבל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סמכותו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ההמלצות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בהתקיים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מיוחדים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המצדיקים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דנציגר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8.3.2009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5"/>
        <w:spacing w:lineRule="auto" w:line="480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שוכנענו</w:t>
      </w:r>
      <w:r>
        <w:rPr>
          <w:rtl w:val="true"/>
        </w:rPr>
        <w:t xml:space="preserve">, </w:t>
      </w:r>
      <w:r>
        <w:rPr>
          <w:rtl w:val="true"/>
        </w:rPr>
        <w:t>כי בעניין שלפנינו מתקיימים טעמים טובים ומשכנעים דיים</w:t>
      </w:r>
      <w:r>
        <w:rPr>
          <w:rtl w:val="true"/>
        </w:rPr>
        <w:t xml:space="preserve">, </w:t>
      </w:r>
      <w:r>
        <w:rPr>
          <w:rtl w:val="true"/>
        </w:rPr>
        <w:t>אשר מצדיקים סטייה מהמלצות שירות המבחן</w:t>
      </w:r>
      <w:r>
        <w:rPr>
          <w:rtl w:val="true"/>
        </w:rPr>
        <w:t xml:space="preserve">. </w:t>
      </w:r>
      <w:r>
        <w:rPr>
          <w:rtl w:val="true"/>
        </w:rPr>
        <w:t>המערער התמיד עד כה בהליך הטיפולי</w:t>
      </w:r>
      <w:r>
        <w:rPr>
          <w:rtl w:val="true"/>
        </w:rPr>
        <w:t xml:space="preserve">, </w:t>
      </w:r>
      <w:r>
        <w:rPr>
          <w:rtl w:val="true"/>
        </w:rPr>
        <w:t>משך תקופה ארוכה של למעלה משנתיים</w:t>
      </w:r>
      <w:r>
        <w:rPr>
          <w:rtl w:val="true"/>
        </w:rPr>
        <w:t xml:space="preserve">. </w:t>
      </w:r>
      <w:r>
        <w:rPr>
          <w:rtl w:val="true"/>
        </w:rPr>
        <w:t>המערער התמודד עם נסיבות אובייקטיביות לא פשוטות</w:t>
      </w:r>
      <w:r>
        <w:rPr>
          <w:rtl w:val="true"/>
        </w:rPr>
        <w:t xml:space="preserve">, </w:t>
      </w:r>
      <w:r>
        <w:rPr>
          <w:rtl w:val="true"/>
        </w:rPr>
        <w:t>שבהן נסגר המעון הסגור שבו שהה</w:t>
      </w:r>
      <w:r>
        <w:rPr>
          <w:rtl w:val="true"/>
        </w:rPr>
        <w:t xml:space="preserve">, </w:t>
      </w:r>
      <w:r>
        <w:rPr>
          <w:rtl w:val="true"/>
        </w:rPr>
        <w:t>והוא נאלץ להשתלב במעון אחר</w:t>
      </w:r>
      <w:r>
        <w:rPr>
          <w:rtl w:val="true"/>
        </w:rPr>
        <w:t xml:space="preserve">, </w:t>
      </w:r>
      <w:r>
        <w:rPr>
          <w:rtl w:val="true"/>
        </w:rPr>
        <w:t>ולהתחיל מבראשית את תהליך הטיפול</w:t>
      </w:r>
      <w:r>
        <w:rPr>
          <w:rtl w:val="true"/>
        </w:rPr>
        <w:t xml:space="preserve">. </w:t>
      </w:r>
      <w:r>
        <w:rPr>
          <w:rtl w:val="true"/>
        </w:rPr>
        <w:t>אף על</w:t>
      </w:r>
      <w:r>
        <w:rPr>
          <w:rtl w:val="true"/>
        </w:rPr>
        <w:t>-</w:t>
      </w:r>
      <w:r>
        <w:rPr>
          <w:rtl w:val="true"/>
        </w:rPr>
        <w:t>פי כן</w:t>
      </w:r>
      <w:r>
        <w:rPr>
          <w:rtl w:val="true"/>
        </w:rPr>
        <w:t xml:space="preserve">, </w:t>
      </w:r>
      <w:r>
        <w:rPr>
          <w:rtl w:val="true"/>
        </w:rPr>
        <w:t>המערער לא אמר נואש</w:t>
      </w:r>
      <w:r>
        <w:rPr>
          <w:rtl w:val="true"/>
        </w:rPr>
        <w:t xml:space="preserve">, </w:t>
      </w:r>
      <w:r>
        <w:rPr>
          <w:rtl w:val="true"/>
        </w:rPr>
        <w:t>והחל את ההליך הטיפולי מתחילה</w:t>
      </w:r>
      <w:r>
        <w:rPr>
          <w:rtl w:val="true"/>
        </w:rPr>
        <w:t xml:space="preserve">, </w:t>
      </w:r>
      <w:r>
        <w:rPr>
          <w:rtl w:val="true"/>
        </w:rPr>
        <w:t>במעון הסגור שבו הוא שוהה כעת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עמדתו של בית המשפט המחוזי לנוער</w:t>
      </w:r>
      <w:r>
        <w:rPr>
          <w:rtl w:val="true"/>
        </w:rPr>
        <w:t xml:space="preserve">, </w:t>
      </w:r>
      <w:r>
        <w:rPr>
          <w:rtl w:val="true"/>
        </w:rPr>
        <w:t>שלפיה יש לשקול את ההתקדמות האיטית בהליך הטיפולי לחובתו של המערער</w:t>
      </w:r>
      <w:r>
        <w:rPr>
          <w:rtl w:val="true"/>
        </w:rPr>
        <w:t xml:space="preserve">, </w:t>
      </w:r>
      <w:r>
        <w:rPr>
          <w:rtl w:val="true"/>
        </w:rPr>
        <w:t>אינה נקיה מספק</w:t>
      </w:r>
      <w:r>
        <w:rPr>
          <w:rtl w:val="true"/>
        </w:rPr>
        <w:t xml:space="preserve">. </w:t>
      </w:r>
      <w:r>
        <w:rPr>
          <w:rtl w:val="true"/>
        </w:rPr>
        <w:t>המערער עשה</w:t>
      </w:r>
      <w:r>
        <w:rPr>
          <w:rtl w:val="true"/>
        </w:rPr>
        <w:t xml:space="preserve">, </w:t>
      </w:r>
      <w:r>
        <w:rPr>
          <w:rtl w:val="true"/>
        </w:rPr>
        <w:t>כך ניתן להתרשם</w:t>
      </w:r>
      <w:r>
        <w:rPr>
          <w:rtl w:val="true"/>
        </w:rPr>
        <w:t xml:space="preserve">, </w:t>
      </w:r>
      <w:r>
        <w:rPr>
          <w:rtl w:val="true"/>
        </w:rPr>
        <w:t>כל אשר לאל</w:t>
      </w:r>
      <w:r>
        <w:rPr>
          <w:rtl w:val="true"/>
        </w:rPr>
        <w:t>-</w:t>
      </w:r>
      <w:r>
        <w:rPr>
          <w:rtl w:val="true"/>
        </w:rPr>
        <w:t>ידו כדי להיתרם ולהתקדם בהליך הטיפולי</w:t>
      </w:r>
      <w:r>
        <w:rPr>
          <w:rtl w:val="true"/>
        </w:rPr>
        <w:t xml:space="preserve">, </w:t>
      </w:r>
      <w:r>
        <w:rPr>
          <w:rtl w:val="true"/>
        </w:rPr>
        <w:t>וזאת על אף הקשיים שנערמו בדרכו</w:t>
      </w:r>
      <w:r>
        <w:rPr>
          <w:rtl w:val="true"/>
        </w:rPr>
        <w:t xml:space="preserve">; </w:t>
      </w:r>
      <w:r>
        <w:rPr>
          <w:rtl w:val="true"/>
        </w:rPr>
        <w:t>בכך ניתן דווקא למצוא חיזוק לעמדתו של שירות המבחן</w:t>
      </w:r>
      <w:r>
        <w:rPr>
          <w:rtl w:val="true"/>
        </w:rPr>
        <w:t xml:space="preserve">, </w:t>
      </w:r>
      <w:r>
        <w:rPr>
          <w:rtl w:val="true"/>
        </w:rPr>
        <w:t>בדבר ה</w:t>
      </w:r>
      <w:r>
        <w:rPr>
          <w:rtl w:val="true"/>
        </w:rPr>
        <w:t>'</w:t>
      </w:r>
      <w:r>
        <w:rPr>
          <w:rtl w:val="true"/>
        </w:rPr>
        <w:t>אופק השיקומי</w:t>
      </w:r>
      <w:r>
        <w:rPr>
          <w:rtl w:val="true"/>
        </w:rPr>
        <w:t xml:space="preserve">' </w:t>
      </w:r>
      <w:r>
        <w:rPr>
          <w:rtl w:val="true"/>
        </w:rPr>
        <w:t>של המערער</w:t>
      </w:r>
      <w:r>
        <w:rPr>
          <w:rtl w:val="true"/>
        </w:rPr>
        <w:t xml:space="preserve">, </w:t>
      </w:r>
      <w:r>
        <w:rPr>
          <w:rtl w:val="true"/>
        </w:rPr>
        <w:t>שלוֹ ניתן לצפות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לא יהיה זה נכון לזקוף אותן נסיבות אובייקטיביות</w:t>
      </w:r>
      <w:r>
        <w:rPr>
          <w:rtl w:val="true"/>
        </w:rPr>
        <w:t xml:space="preserve">, </w:t>
      </w:r>
      <w:r>
        <w:rPr>
          <w:rtl w:val="true"/>
        </w:rPr>
        <w:t>לחובתו של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את אי</w:t>
      </w:r>
      <w:r>
        <w:rPr>
          <w:rtl w:val="true"/>
        </w:rPr>
        <w:t>-</w:t>
      </w:r>
      <w:r>
        <w:rPr>
          <w:rtl w:val="true"/>
        </w:rPr>
        <w:t>תשלום כספי הפיצוי עד כה</w:t>
      </w:r>
      <w:r>
        <w:rPr>
          <w:rtl w:val="true"/>
        </w:rPr>
        <w:t xml:space="preserve">, </w:t>
      </w:r>
      <w:r>
        <w:rPr>
          <w:rtl w:val="true"/>
        </w:rPr>
        <w:t>ניתן להבין</w:t>
      </w:r>
      <w:r>
        <w:rPr>
          <w:rtl w:val="true"/>
        </w:rPr>
        <w:t xml:space="preserve">, </w:t>
      </w:r>
      <w:r>
        <w:rPr>
          <w:rtl w:val="true"/>
        </w:rPr>
        <w:t>בנסיבות העניין דנן</w:t>
      </w:r>
      <w:r>
        <w:rPr>
          <w:rtl w:val="true"/>
        </w:rPr>
        <w:t xml:space="preserve">. </w:t>
      </w:r>
      <w:r>
        <w:rPr>
          <w:rtl w:val="true"/>
        </w:rPr>
        <w:t>כבר בהמלצה הראשונית של שירות המבחן</w:t>
      </w:r>
      <w:r>
        <w:rPr>
          <w:rtl w:val="true"/>
        </w:rPr>
        <w:t xml:space="preserve">, </w:t>
      </w:r>
      <w:r>
        <w:rPr>
          <w:rtl w:val="true"/>
        </w:rPr>
        <w:t>שהוגשה לבית המשפט המחוזי לנוער</w:t>
      </w:r>
      <w:r>
        <w:rPr>
          <w:rtl w:val="true"/>
        </w:rPr>
        <w:t xml:space="preserve">, </w:t>
      </w:r>
      <w:r>
        <w:rPr>
          <w:rtl w:val="true"/>
        </w:rPr>
        <w:t>נטען כי יש להורות על דחיית תשלום כספי הפיצוי</w:t>
      </w:r>
      <w:r>
        <w:rPr>
          <w:rtl w:val="true"/>
        </w:rPr>
        <w:t xml:space="preserve">, </w:t>
      </w:r>
      <w:r>
        <w:rPr>
          <w:rtl w:val="true"/>
        </w:rPr>
        <w:t>עד לאחר סיום שהותו של המערער במעון הנעול</w:t>
      </w:r>
      <w:r>
        <w:rPr>
          <w:rtl w:val="true"/>
        </w:rPr>
        <w:t xml:space="preserve">. </w:t>
      </w:r>
      <w:r>
        <w:rPr>
          <w:rtl w:val="true"/>
        </w:rPr>
        <w:t>כמה וכמה טעמים לדבר</w:t>
      </w:r>
      <w:r>
        <w:rPr>
          <w:rtl w:val="true"/>
        </w:rPr>
        <w:t xml:space="preserve">. 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נער צעיר חסר כל רכוש</w:t>
      </w:r>
      <w:r>
        <w:rPr>
          <w:rtl w:val="true"/>
        </w:rPr>
        <w:t xml:space="preserve">; </w:t>
      </w:r>
      <w:r>
        <w:rPr>
          <w:rtl w:val="true"/>
        </w:rPr>
        <w:t>שהותו במעון הסגור מונעת אותו מלצאת ולעבוד</w:t>
      </w:r>
      <w:r>
        <w:rPr>
          <w:rtl w:val="true"/>
        </w:rPr>
        <w:t xml:space="preserve">; </w:t>
      </w:r>
      <w:r>
        <w:rPr>
          <w:rtl w:val="true"/>
        </w:rPr>
        <w:t>גם משפחתו המורחבת נעדרת כל יכולת לעמוד בתשלום כספי הפיצויים</w:t>
      </w:r>
      <w:r>
        <w:rPr>
          <w:rtl w:val="true"/>
        </w:rPr>
        <w:t xml:space="preserve">. </w:t>
      </w:r>
      <w:r>
        <w:rPr>
          <w:rtl w:val="true"/>
        </w:rPr>
        <w:t>במצב דברים זה</w:t>
      </w:r>
      <w:r>
        <w:rPr>
          <w:rtl w:val="true"/>
        </w:rPr>
        <w:t xml:space="preserve">, </w:t>
      </w:r>
      <w:r>
        <w:rPr>
          <w:rtl w:val="true"/>
        </w:rPr>
        <w:t>מוטב לאמץ את המלצת שירות המבחן</w:t>
      </w:r>
      <w:r>
        <w:rPr>
          <w:rtl w:val="true"/>
        </w:rPr>
        <w:t xml:space="preserve">, </w:t>
      </w:r>
      <w:r>
        <w:rPr>
          <w:rtl w:val="true"/>
        </w:rPr>
        <w:t>ולדחות את תשלום כספי הפיצויים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לאור כל האמור לעיל</w:t>
      </w:r>
      <w:r>
        <w:rPr>
          <w:rtl w:val="true"/>
        </w:rPr>
        <w:t xml:space="preserve">, </w:t>
      </w:r>
      <w:r>
        <w:rPr>
          <w:rtl w:val="true"/>
        </w:rPr>
        <w:t>החלטנו לקבל את הערעור</w:t>
      </w:r>
      <w:r>
        <w:rPr>
          <w:rtl w:val="true"/>
        </w:rPr>
        <w:t xml:space="preserve">; </w:t>
      </w:r>
      <w:r>
        <w:rPr>
          <w:rtl w:val="true"/>
        </w:rPr>
        <w:t>לאמץ את המלצתו העדכנית של שירות המבחן לנוער</w:t>
      </w:r>
      <w:r>
        <w:rPr>
          <w:rtl w:val="true"/>
        </w:rPr>
        <w:t xml:space="preserve">; </w:t>
      </w:r>
      <w:r>
        <w:rPr>
          <w:rtl w:val="true"/>
        </w:rPr>
        <w:t>ולבטל את עונש המאסר בפועל שהוטל על המערער</w:t>
      </w:r>
      <w:r>
        <w:rPr>
          <w:rtl w:val="true"/>
        </w:rPr>
        <w:t xml:space="preserve">. </w:t>
      </w:r>
      <w:r>
        <w:rPr>
          <w:rtl w:val="true"/>
        </w:rPr>
        <w:t>יתר רכיבי גזר הדין</w:t>
      </w:r>
      <w:r>
        <w:rPr>
          <w:rtl w:val="true"/>
        </w:rPr>
        <w:t xml:space="preserve">, </w:t>
      </w:r>
      <w:r>
        <w:rPr>
          <w:rtl w:val="true"/>
        </w:rPr>
        <w:t>יעמדו בעינם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יוסיף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הסגור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בצו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המבחן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במעון</w:t>
      </w:r>
      <w:r>
        <w:rPr>
          <w:rtl w:val="true"/>
        </w:rPr>
        <w:t xml:space="preserve">, </w:t>
      </w:r>
      <w:r>
        <w:rPr>
          <w:rtl w:val="true"/>
        </w:rPr>
        <w:t>יוסיף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הייעודי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לעברייני</w:t>
      </w:r>
      <w:r>
        <w:rPr>
          <w:rtl w:val="true"/>
        </w:rPr>
        <w:t>-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שהייתו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יובא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כמוסכם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להבטחת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עמידתו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יבצע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שוהה</w:t>
      </w:r>
      <w:r>
        <w:rPr>
          <w:rtl w:val="true"/>
        </w:rPr>
        <w:t xml:space="preserve">, </w:t>
      </w:r>
      <w:r>
        <w:rPr>
          <w:rtl w:val="true"/>
        </w:rPr>
        <w:t>וישלים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במעון</w:t>
      </w:r>
      <w:r>
        <w:rPr>
          <w:rtl w:val="true"/>
        </w:rPr>
        <w:t xml:space="preserve">. </w:t>
      </w:r>
      <w:r>
        <w:rPr>
          <w:rtl w:val="true"/>
        </w:rPr>
        <w:t>מומלץ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מדריך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המעסיק</w:t>
      </w:r>
      <w:r>
        <w:rPr>
          <w:rtl w:val="true"/>
        </w:rPr>
        <w:t xml:space="preserve">, </w:t>
      </w:r>
      <w:r>
        <w:rPr>
          <w:rtl w:val="true"/>
        </w:rPr>
        <w:t>ויעקוב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בעבודה</w:t>
      </w:r>
      <w:r>
        <w:rPr>
          <w:rtl w:val="true"/>
        </w:rPr>
        <w:t xml:space="preserve">.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העבירות שביצוע המערער חמורות מאד</w:t>
      </w:r>
      <w:r>
        <w:rPr>
          <w:rtl w:val="true"/>
        </w:rPr>
        <w:t xml:space="preserve">, </w:t>
      </w:r>
      <w:r>
        <w:rPr>
          <w:rtl w:val="true"/>
        </w:rPr>
        <w:t>אך החומרה איננה חזות הכול</w:t>
      </w:r>
      <w:r>
        <w:rPr>
          <w:rtl w:val="true"/>
        </w:rPr>
        <w:t xml:space="preserve">. </w:t>
      </w:r>
      <w:r>
        <w:rPr>
          <w:rtl w:val="true"/>
        </w:rPr>
        <w:t>נסיבות חייו הקשות והמורכבות של המערער</w:t>
      </w:r>
      <w:r>
        <w:rPr>
          <w:rtl w:val="true"/>
        </w:rPr>
        <w:t xml:space="preserve">, </w:t>
      </w:r>
      <w:r>
        <w:rPr>
          <w:rtl w:val="true"/>
        </w:rPr>
        <w:t>גילו הצעיר בעת ביצוע העבירות</w:t>
      </w:r>
      <w:r>
        <w:rPr>
          <w:rtl w:val="true"/>
        </w:rPr>
        <w:t xml:space="preserve">, </w:t>
      </w:r>
      <w:r>
        <w:rPr>
          <w:rtl w:val="true"/>
        </w:rPr>
        <w:t>ההליך השיקומי שבו הוא מצוי</w:t>
      </w:r>
      <w:r>
        <w:rPr>
          <w:rtl w:val="true"/>
        </w:rPr>
        <w:t xml:space="preserve">, </w:t>
      </w:r>
      <w:r>
        <w:rPr>
          <w:rtl w:val="true"/>
        </w:rPr>
        <w:t>והמלצתו העקבית של שירות המבחן</w:t>
      </w:r>
      <w:r>
        <w:rPr>
          <w:rtl w:val="true"/>
        </w:rPr>
        <w:t xml:space="preserve">, </w:t>
      </w:r>
      <w:r>
        <w:rPr>
          <w:rtl w:val="true"/>
        </w:rPr>
        <w:t>נזקפים כולם לזכותו בהקשר של הענישה</w:t>
      </w:r>
      <w:r>
        <w:rPr>
          <w:rtl w:val="true"/>
        </w:rPr>
        <w:t xml:space="preserve">. </w:t>
      </w:r>
      <w:r>
        <w:rPr>
          <w:rtl w:val="true"/>
        </w:rPr>
        <w:t>עוד יש לזכור</w:t>
      </w:r>
      <w:r>
        <w:rPr>
          <w:rtl w:val="true"/>
        </w:rPr>
        <w:t xml:space="preserve">, </w:t>
      </w:r>
      <w:r>
        <w:rPr>
          <w:rtl w:val="true"/>
        </w:rPr>
        <w:t>כי המערער אינו יוצא פטור בלא</w:t>
      </w:r>
      <w:r>
        <w:rPr>
          <w:rtl w:val="true"/>
        </w:rPr>
        <w:t>-</w:t>
      </w:r>
      <w:r>
        <w:rPr>
          <w:rtl w:val="true"/>
        </w:rPr>
        <w:t>כלום</w:t>
      </w:r>
      <w:r>
        <w:rPr>
          <w:rtl w:val="true"/>
        </w:rPr>
        <w:t xml:space="preserve">. </w:t>
      </w:r>
      <w:r>
        <w:rPr>
          <w:rtl w:val="true"/>
        </w:rPr>
        <w:t>המערער אמנם לא ישָלַח לרצות עונש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אך עד הגיעו לגיל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 xml:space="preserve">ישלים שהות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במעון סגור</w:t>
      </w:r>
      <w:r>
        <w:rPr>
          <w:rtl w:val="true"/>
        </w:rPr>
        <w:t xml:space="preserve">, </w:t>
      </w:r>
      <w:r>
        <w:rPr>
          <w:rtl w:val="true"/>
        </w:rPr>
        <w:t>למעלה מכפליים מתקופת המאסר בפועל שנגזרה עליו בבית המשפט המחוזי</w:t>
      </w:r>
      <w:r>
        <w:rPr>
          <w:rtl w:val="true"/>
        </w:rPr>
        <w:t xml:space="preserve">. </w:t>
      </w:r>
      <w:r>
        <w:rPr>
          <w:rtl w:val="true"/>
        </w:rPr>
        <w:t>תקוותנו רבה</w:t>
      </w:r>
      <w:r>
        <w:rPr>
          <w:rtl w:val="true"/>
        </w:rPr>
        <w:t xml:space="preserve">, </w:t>
      </w:r>
      <w:r>
        <w:rPr>
          <w:rtl w:val="true"/>
        </w:rPr>
        <w:t>כי המערער יאחז היטב ב</w:t>
      </w:r>
      <w:r>
        <w:rPr>
          <w:rtl w:val="true"/>
        </w:rPr>
        <w:t>'</w:t>
      </w:r>
      <w:r>
        <w:rPr>
          <w:rtl w:val="true"/>
        </w:rPr>
        <w:t>חבל ההצלה</w:t>
      </w:r>
      <w:r>
        <w:rPr>
          <w:rtl w:val="true"/>
        </w:rPr>
        <w:t xml:space="preserve">' </w:t>
      </w:r>
      <w:r>
        <w:rPr>
          <w:rtl w:val="true"/>
        </w:rPr>
        <w:t>שהושט לו</w:t>
      </w:r>
      <w:r>
        <w:rPr>
          <w:rtl w:val="true"/>
        </w:rPr>
        <w:t xml:space="preserve">; </w:t>
      </w:r>
      <w:r>
        <w:rPr>
          <w:rtl w:val="true"/>
        </w:rPr>
        <w:t>יתמיד במאמצי השיקום</w:t>
      </w:r>
      <w:r>
        <w:rPr>
          <w:rtl w:val="true"/>
        </w:rPr>
        <w:t xml:space="preserve">; </w:t>
      </w:r>
      <w:r>
        <w:rPr>
          <w:rtl w:val="true"/>
        </w:rPr>
        <w:t>ויֵצא לדרך חדשה וטובה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8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14.4.2021</w:t>
      </w:r>
      <w:r>
        <w:rPr>
          <w:rtl w:val="true"/>
        </w:rPr>
        <w:t xml:space="preserve">). </w:t>
      </w:r>
      <w:bookmarkEnd w:id="18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tabs>
                <w:tab w:val="clear" w:pos="720"/>
                <w:tab w:val="left" w:pos="553" w:leader="none"/>
              </w:tabs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19078700</w:t>
      </w:r>
      <w:r>
        <w:rPr>
          <w:sz w:val="16"/>
          <w:rtl w:val="true"/>
        </w:rPr>
        <w:t>_</w:t>
      </w:r>
      <w:r>
        <w:rPr>
          <w:sz w:val="16"/>
        </w:rPr>
        <w:t>O14.docx</w:t>
      </w:r>
      <w:r>
        <w:rPr>
          <w:sz w:val="16"/>
          <w:rtl w:val="true"/>
        </w:rPr>
        <w:t xml:space="preserve">   </w:t>
      </w:r>
      <w:r>
        <w:rPr>
          <w:sz w:val="18"/>
          <w:sz w:val="18"/>
          <w:szCs w:val="18"/>
          <w:rtl w:val="true"/>
        </w:rPr>
        <w:t>י</w:t>
      </w:r>
      <w:r>
        <w:rPr>
          <w:rFonts w:cs="Times New Roman;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ר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6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54678313-7870/19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7870/19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83979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5.b.1" TargetMode="External"/><Relationship Id="rId6" Type="http://schemas.openxmlformats.org/officeDocument/2006/relationships/hyperlink" Target="http://www.nevo.co.il/law/70301/347.b" TargetMode="External"/><Relationship Id="rId7" Type="http://schemas.openxmlformats.org/officeDocument/2006/relationships/hyperlink" Target="http://www.nevo.co.il/law/70301/348.b" TargetMode="External"/><Relationship Id="rId8" Type="http://schemas.openxmlformats.org/officeDocument/2006/relationships/hyperlink" Target="http://www.nevo.co.il/law/70301/350" TargetMode="External"/><Relationship Id="rId9" Type="http://schemas.openxmlformats.org/officeDocument/2006/relationships/hyperlink" Target="http://www.nevo.co.il/law/70301/351" TargetMode="External"/><Relationship Id="rId10" Type="http://schemas.openxmlformats.org/officeDocument/2006/relationships/hyperlink" Target="http://www.nevo.co.il/law/71553" TargetMode="External"/><Relationship Id="rId11" Type="http://schemas.openxmlformats.org/officeDocument/2006/relationships/hyperlink" Target="http://www.nevo.co.il/law/71553/6.b" TargetMode="External"/><Relationship Id="rId12" Type="http://schemas.openxmlformats.org/officeDocument/2006/relationships/hyperlink" Target="http://www.nevo.co.il/case/23839799" TargetMode="External"/><Relationship Id="rId13" Type="http://schemas.openxmlformats.org/officeDocument/2006/relationships/hyperlink" Target="http://www.nevo.co.il/law/70301/347.b" TargetMode="External"/><Relationship Id="rId14" Type="http://schemas.openxmlformats.org/officeDocument/2006/relationships/hyperlink" Target="http://www.nevo.co.il/law/70301/345.b.1" TargetMode="External"/><Relationship Id="rId15" Type="http://schemas.openxmlformats.org/officeDocument/2006/relationships/hyperlink" Target="http://www.nevo.co.il/law/70301/345.a.1" TargetMode="External"/><Relationship Id="rId16" Type="http://schemas.openxmlformats.org/officeDocument/2006/relationships/hyperlink" Target="http://www.nevo.co.il/law/70301/35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48.b" TargetMode="External"/><Relationship Id="rId19" Type="http://schemas.openxmlformats.org/officeDocument/2006/relationships/hyperlink" Target="http://www.nevo.co.il/law/70301/345.b.1" TargetMode="External"/><Relationship Id="rId20" Type="http://schemas.openxmlformats.org/officeDocument/2006/relationships/hyperlink" Target="http://www.nevo.co.il/law/70301/345.a.1" TargetMode="External"/><Relationship Id="rId21" Type="http://schemas.openxmlformats.org/officeDocument/2006/relationships/hyperlink" Target="http://www.nevo.co.il/law/70301/350" TargetMode="External"/><Relationship Id="rId22" Type="http://schemas.openxmlformats.org/officeDocument/2006/relationships/hyperlink" Target="http://www.nevo.co.il/law/70301/351" TargetMode="External"/><Relationship Id="rId23" Type="http://schemas.openxmlformats.org/officeDocument/2006/relationships/hyperlink" Target="http://www.nevo.co.il/case/2237972" TargetMode="External"/><Relationship Id="rId24" Type="http://schemas.openxmlformats.org/officeDocument/2006/relationships/hyperlink" Target="http://www.nevo.co.il/law/71553/6.b" TargetMode="External"/><Relationship Id="rId25" Type="http://schemas.openxmlformats.org/officeDocument/2006/relationships/hyperlink" Target="http://www.nevo.co.il/law/71553" TargetMode="External"/><Relationship Id="rId26" Type="http://schemas.openxmlformats.org/officeDocument/2006/relationships/hyperlink" Target="https://supreme.court.gov.il/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2021-04-18T09:02:00Z</dcterms:created>
  <dc:creator>h4</dc:creator>
  <dc:description/>
  <cp:keywords/>
  <dc:language>en-IL</dc:language>
  <cp:lastModifiedBy>orly</cp:lastModifiedBy>
  <cp:lastPrinted>2021-04-14T12:05:00Z</cp:lastPrinted>
  <dcterms:modified xsi:type="dcterms:W3CDTF">2021-04-18T09:02:00Z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23839799:2;2237972</vt:lpwstr>
  </property>
  <property fmtid="{D5CDD505-2E9C-101B-9397-08002B2CF9AE}" pid="9" name="CITY">
    <vt:lpwstr/>
  </property>
  <property fmtid="{D5CDD505-2E9C-101B-9397-08002B2CF9AE}" pid="10" name="DATE">
    <vt:lpwstr>20210414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וילנר;א' שטיין</vt:lpwstr>
  </property>
  <property fmtid="{D5CDD505-2E9C-101B-9397-08002B2CF9AE}" pid="14" name="LAWLISTTMP1">
    <vt:lpwstr>70301/347.b;345.b.1:2;345.a.1:2;351:2;348.b;350</vt:lpwstr>
  </property>
  <property fmtid="{D5CDD505-2E9C-101B-9397-08002B2CF9AE}" pid="15" name="LAWLISTTMP2">
    <vt:lpwstr>71553/006.b</vt:lpwstr>
  </property>
  <property fmtid="{D5CDD505-2E9C-101B-9397-08002B2CF9AE}" pid="16" name="LAWYER">
    <vt:lpwstr>דפנה פינקלשטיין;בוריס שרמן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1446;1446;1446;1446;1446</vt:lpwstr>
  </property>
  <property fmtid="{D5CDD505-2E9C-101B-9397-08002B2CF9AE}" pid="49" name="NOSE31">
    <vt:lpwstr>מדיניות ענישה: עבירות מין בקטינים</vt:lpwstr>
  </property>
  <property fmtid="{D5CDD505-2E9C-101B-9397-08002B2CF9AE}" pid="50" name="NOSE310">
    <vt:lpwstr/>
  </property>
  <property fmtid="{D5CDD505-2E9C-101B-9397-08002B2CF9AE}" pid="51" name="NOSE32">
    <vt:lpwstr>מדיניות ענישה: קטינים</vt:lpwstr>
  </property>
  <property fmtid="{D5CDD505-2E9C-101B-9397-08002B2CF9AE}" pid="52" name="NOSE33">
    <vt:lpwstr>מדיניות ענישה: שיקולים לקולה</vt:lpwstr>
  </property>
  <property fmtid="{D5CDD505-2E9C-101B-9397-08002B2CF9AE}" pid="53" name="NOSE34">
    <vt:lpwstr>מדיניות ענישה: שיקום</vt:lpwstr>
  </property>
  <property fmtid="{D5CDD505-2E9C-101B-9397-08002B2CF9AE}" pid="54" name="NOSE35">
    <vt:lpwstr>דרכי ענישה: צו מבחן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16970;15724;8996;14346;8969</vt:lpwstr>
  </property>
  <property fmtid="{D5CDD505-2E9C-101B-9397-08002B2CF9AE}" pid="60" name="PADIDATE">
    <vt:lpwstr>20210418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7870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410120210414</vt:lpwstr>
  </property>
  <property fmtid="{D5CDD505-2E9C-101B-9397-08002B2CF9AE}" pid="70" name="TYPE_N_DATE">
    <vt:lpwstr>41020210414</vt:lpwstr>
  </property>
  <property fmtid="{D5CDD505-2E9C-101B-9397-08002B2CF9AE}" pid="71" name="VOLUME">
    <vt:lpwstr/>
  </property>
  <property fmtid="{D5CDD505-2E9C-101B-9397-08002B2CF9AE}" pid="72" name="WORDNUMPAGES">
    <vt:lpwstr>11</vt:lpwstr>
  </property>
</Properties>
</file>