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7880/19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ערעור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הכרעת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וגזר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20.5.2019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24.10.2019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38067-05-17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שניתנו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דראל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זינגר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מאק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קלמנוביץ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[</w:t>
            </w:r>
            <w:r>
              <w:rPr>
                <w:rtl w:val="true"/>
              </w:rPr>
              <w:t>פורסם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בנבו</w:t>
            </w:r>
            <w:r>
              <w:rPr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18.05.2022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רוזנבאום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חמודות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בעצמה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57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הרשעת המערער בביצוע מאות עבירות מין בבתו הקטינה במשך עשור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העונש שהושת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שכלל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אין מקום שערכאת הערעור תתערב בממצאי עובדה ומהימנות שקבעה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העונש שנגזר על המערער אינו חורג מרף הענישה המקובל והראוי באופן המצדיק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מימצאים – התערבות ערכאת הערעור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סתירות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עדות יחידה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התערבות במהימנות עדים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בביצוע מאות עבירות אינוס ומספר עבירות של מעשה סדום בבתו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כמאה עבירות אינוס ומספר עבירות של מעשה סדום מתחת לגיל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מגונה בקטין בן 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מאות עבירות מתחת לגיל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מגונה בקטין בן 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עברות עבירות מתחת לגיל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בגין הרשעתו הושת על המערער עונש של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לריצוי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הכרעת הדין ועל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כבוב ובהסכמת השופטים אלרון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ערעור לא תתערב בממצאי עובדה של ערכאה דיונית שנקבעו על יסוד הערכת מהימנות ומשקל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במיוחד כשמדובר בעדויות ביחס לעבירות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להלכה זו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המאפשרים לערכאת הערעור להתערב בקביעות עובדתיות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אחד מהם עניינו במצבים בהם נפלו טעויות מהותיות בהערכת המהימנות של העדויות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כגון התעלמות מסתירות בעדות היורדות לשורש העניין או התעלמות מגורמים רלבנטיים להערכת משקל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עיקר טענות המערער מופנות נגד התרשמות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מעדות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והראיות שהוצגו כתימוכין לה ובכך למעשה מבקש המערער להפעיל את החריג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שאין בקביעות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משום פגם היורד לשורש העניין או התעלמות מגורמים רלבנטיים להערכת משקל העדויות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מצא כי עדות המתלוננת הייתה משכנעת ואימץ את גרסתה במלואה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 כי בהינתן סתירות בגרסת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שגה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שעה שביכר את גרסתה על פני גרסאות המערער ויתר בני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57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לפקודת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סתירות בעדותם של עדים אין בהן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למנוע מבית המשפט לקבוע עובדות שלגביהן חלו הסתירות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זה חל במשנה תוקף ביחס למהימנות של נפגעי תקיפות מיניות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לעיתים רבות דבריו של קורבן תקיפה מינית מאופיינים באלמנטים של בלבול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חוסר בהירות או חוסר אחידות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אין בסתירות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בגפן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לפגוע בהכרח במהימנות העדות או כדי להטיל ספק בגרסה המתוארת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מהימנות גרסת המתלוננת תיעשה בהתייחס לליבתה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ובהינתן מכלול הנסיבות האופפות את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במיוחד כשמדובר בקורבנות שהיו קטינים בעת ביצוע העבירות כאשר חלף זמן רב מעת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יותר מקום בו פגיעתם נעשתה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בן 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מעדות המתלוננת מתקבלת תמונה ברורה ורציפה בדבר האירועים הקשים שחוותה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נימק מדוע ביכר את גרסת המתלוננת חלף גרסאות המערער ובני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הפניה להתנהלותה בזמן אמת ובהתבסס על הסימפטומים הפיזיים והנפשיים מהם סובלת המתלוננת כיום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בעצם כבישת עדות מצד נפגעי תקיפה מינית כשלעצמה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לפגוע במהימנות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בו ניתן הסבר המניח את הדעת לכבישת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ניסיונה של המתלוננת להתרחק מן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 נוכח חששה מהמערער ומפני ההשלכות הצפויות של חשיפת מעשיו על יתר בני המשפחה ועל קשריה עמם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מהווה הסבר מניח את 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בגרסת המתלוננת אכן קיימות נקודות שאינן חופפות במדויק את כתב האישום ועדויות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שלא נמצאו סתירות מהותיות בעדות המתלוננת שנותרו ללא מענה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התמודד בצורה מקיפה ומשכנעת עם אותן סתירות שוליות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ההתאמות בעדות המתלוננת אינן מלמדות כי קיים ספק בדבר התקיימות האירועים נשוא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למעלה מן 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להשתית הרשעה בעבירות מין בהתבסס על עדות יחידה של נפגעת העבירה מבלי להידרש לתוספת ראייתית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ובלבד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יפרט את הטעמים שהביאו אותו למסקנה כי גרסת קורבן העבירה עדיפה על פני גרסת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שיעורה הראוי של ההנמקה הדרושה נקבע בכל מקרה בהתאם לנסיבותיו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נימק בהרחבה את הכרעתו בהתאם לדרישת ההנמקה והכרעתו אך מתחזקת נוכח אופן חשיפת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הסימפטומים מהם סובלת המתלוננת והימנעותה האקטיבית של האחרונה ממפגש עם המערער לאחר עזיבתה את בית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David" w:hAnsi="David" w:cs="David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שביניהם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גופני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לפגיעוּתה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חולשתה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הרלבנטיים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הודגש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בהטחת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לסיכום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  <w:bookmarkStart w:id="6" w:name="ABSTRACT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rtl w:val="true"/>
        </w:rPr>
        <w:t>:</w:t>
      </w:r>
      <w:bookmarkStart w:id="13" w:name="Start_Write"/>
      <w:bookmarkEnd w:id="13"/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ערעור על הכרעת דינו וגזר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דראל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זינגר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קלמנוביץ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38067-05-17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מימים </w:t>
      </w:r>
      <w:r>
        <w:rPr>
          <w:rFonts w:cs="Century" w:ascii="Century" w:hAnsi="Century"/>
        </w:rPr>
        <w:t>20.05.2019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24.10.2019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בגדרה של הכרעת הדין הורשע המערער</w:t>
      </w:r>
      <w:r>
        <w:rPr>
          <w:rtl w:val="true"/>
        </w:rPr>
        <w:t xml:space="preserve">, </w:t>
      </w:r>
      <w:r>
        <w:rPr>
          <w:rtl w:val="true"/>
        </w:rPr>
        <w:t>לאחר הליך הוכחות</w:t>
      </w:r>
      <w:r>
        <w:rPr>
          <w:rtl w:val="true"/>
        </w:rPr>
        <w:t xml:space="preserve">, </w:t>
      </w:r>
      <w:r>
        <w:rPr>
          <w:rtl w:val="true"/>
        </w:rPr>
        <w:t>בכל העבירות שיוחסו לו</w:t>
      </w:r>
      <w:r>
        <w:rPr>
          <w:rtl w:val="true"/>
        </w:rPr>
        <w:t xml:space="preserve">, </w:t>
      </w:r>
      <w:r>
        <w:rPr>
          <w:rtl w:val="true"/>
        </w:rPr>
        <w:t>ואלו הן</w:t>
      </w:r>
      <w:r>
        <w:rPr>
          <w:rtl w:val="true"/>
        </w:rPr>
        <w:t xml:space="preserve">: </w:t>
      </w:r>
      <w:r>
        <w:rPr>
          <w:rtl w:val="true"/>
        </w:rPr>
        <w:t xml:space="preserve">מאות עבירות אינוס ומספר עבירות של מעשה סדום בבתו </w:t>
      </w:r>
      <w:r>
        <w:rPr>
          <w:rtl w:val="true"/>
        </w:rPr>
        <w:t>–</w:t>
      </w:r>
      <w:r>
        <w:rPr>
          <w:rtl w:val="true"/>
        </w:rPr>
        <w:t xml:space="preserve">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עבירות מין במשפחה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כמאה עבירות אינוס ומספר עבירות של מעשה סדום מתחת לגיל </w:t>
      </w:r>
      <w:r>
        <w:rPr>
          <w:rFonts w:cs="Century" w:ascii="Century" w:hAnsi="Century"/>
          <w:sz w:val="22"/>
        </w:rPr>
        <w:t>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בבתו</w:t>
      </w:r>
      <w:r>
        <w:rPr>
          <w:rFonts w:ascii="Century" w:hAnsi="Century" w:cs="Century"/>
          <w:sz w:val="22"/>
          <w:sz w:val="22"/>
          <w:rtl w:val="true"/>
        </w:rPr>
        <w:t xml:space="preserve"> –</w:t>
      </w:r>
      <w:r>
        <w:rPr>
          <w:rFonts w:ascii="Century" w:hAnsi="Century" w:cs="Century"/>
          <w:sz w:val="22"/>
          <w:sz w:val="22"/>
          <w:rtl w:val="true"/>
        </w:rPr>
        <w:t xml:space="preserve"> לפי </w:t>
      </w:r>
      <w:hyperlink r:id="rId1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351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מעשה מגונה בקטין בן 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מאות עבירות מתחת לגיל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בבתו</w:t>
      </w:r>
      <w:r>
        <w:rPr>
          <w:rFonts w:ascii="Century" w:hAnsi="Century" w:cs="Century"/>
          <w:sz w:val="22"/>
          <w:sz w:val="22"/>
          <w:rtl w:val="true"/>
        </w:rPr>
        <w:t xml:space="preserve"> –</w:t>
      </w:r>
      <w:r>
        <w:rPr>
          <w:rFonts w:ascii="Century" w:hAnsi="Century" w:cs="Century"/>
          <w:sz w:val="22"/>
          <w:sz w:val="22"/>
          <w:rtl w:val="true"/>
        </w:rPr>
        <w:t xml:space="preserve"> לפי </w:t>
      </w:r>
      <w:hyperlink r:id="rId1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351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ג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העונשין בנסיבות </w:t>
      </w:r>
      <w:hyperlink r:id="rId2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348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hyperlink r:id="rId2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וסעיף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3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מעשה מגונה בקטין בן 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עברות עבירות מתחת לגיל </w:t>
      </w: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בבתו</w:t>
      </w:r>
      <w:r>
        <w:rPr>
          <w:rFonts w:ascii="Century" w:hAnsi="Century" w:cs="Century"/>
          <w:sz w:val="22"/>
          <w:sz w:val="22"/>
          <w:rtl w:val="true"/>
        </w:rPr>
        <w:t xml:space="preserve"> –</w:t>
      </w:r>
      <w:r>
        <w:rPr>
          <w:rFonts w:ascii="Century" w:hAnsi="Century" w:cs="Century"/>
          <w:sz w:val="22"/>
          <w:sz w:val="22"/>
          <w:rtl w:val="true"/>
        </w:rPr>
        <w:t xml:space="preserve"> לפי </w:t>
      </w:r>
      <w:hyperlink r:id="rId2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351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ג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3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בגין הרשעתו הושת על המערער עונש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לריצוי בפועל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); </w:t>
      </w:r>
      <w:r>
        <w:rPr>
          <w:rtl w:val="true"/>
        </w:rPr>
        <w:t>שנים עשר 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המערער עבירת מין מסוג פשע או ניסיון לעבור עבירה כאמור</w:t>
      </w:r>
      <w:r>
        <w:rPr>
          <w:rtl w:val="true"/>
        </w:rPr>
        <w:t xml:space="preserve">, </w:t>
      </w:r>
      <w:r>
        <w:rPr>
          <w:rtl w:val="true"/>
        </w:rPr>
        <w:t>למשך שלוש שנים מיום שחרורו מן המאסר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למתלוננת בסכום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 xml:space="preserve">עובדות כתב האישום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כתב האישום מגולל מסכת חמורה ומרובת אירועים</w:t>
      </w:r>
      <w:r>
        <w:rPr>
          <w:rtl w:val="true"/>
        </w:rPr>
        <w:t xml:space="preserve">, </w:t>
      </w:r>
      <w:r>
        <w:rPr>
          <w:rtl w:val="true"/>
        </w:rPr>
        <w:t>בגדרם ביצע המערער שורה של עבירות מין במתלוננת</w:t>
      </w:r>
      <w:r>
        <w:rPr>
          <w:rtl w:val="true"/>
        </w:rPr>
        <w:t xml:space="preserve">, </w:t>
      </w:r>
      <w:r>
        <w:rPr>
          <w:rtl w:val="true"/>
        </w:rPr>
        <w:t>בתו הבכורה ע</w:t>
      </w:r>
      <w:r>
        <w:rPr>
          <w:rtl w:val="true"/>
        </w:rPr>
        <w:t>' (</w:t>
      </w:r>
      <w:r>
        <w:rPr>
          <w:rFonts w:ascii="FrankRuehl" w:hAnsi="FrankRuehl" w:cs="FrankRuehl"/>
          <w:b/>
          <w:b/>
          <w:spacing w:val="0"/>
          <w:sz w:val="26"/>
          <w:sz w:val="26"/>
          <w:rtl w:val="true"/>
        </w:rPr>
        <w:t>להלן</w:t>
      </w:r>
      <w:r>
        <w:rPr>
          <w:rFonts w:cs="FrankRuehl" w:ascii="FrankRuehl" w:hAnsi="FrankRuehl"/>
          <w:b/>
          <w:spacing w:val="0"/>
          <w:sz w:val="26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 xml:space="preserve">ילידת שנת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מעת היותה כבת שמונה</w:t>
      </w:r>
      <w:r>
        <w:rPr>
          <w:rtl w:val="true"/>
        </w:rPr>
        <w:t xml:space="preserve">, </w:t>
      </w:r>
      <w:r>
        <w:rPr>
          <w:rtl w:val="true"/>
        </w:rPr>
        <w:t>ובמשך עשור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מתוארות בכתב האישום פגיעות מיניות רבות</w:t>
      </w:r>
      <w:r>
        <w:rPr>
          <w:rtl w:val="true"/>
        </w:rPr>
        <w:t xml:space="preserve">, </w:t>
      </w:r>
      <w:r>
        <w:rPr>
          <w:rtl w:val="true"/>
        </w:rPr>
        <w:t>בתדירות של מספר פעמים בשבוע במהלך התקופה הנקובה</w:t>
      </w:r>
      <w:r>
        <w:rPr>
          <w:rtl w:val="true"/>
        </w:rPr>
        <w:t xml:space="preserve">, </w:t>
      </w:r>
      <w:r>
        <w:rPr>
          <w:rtl w:val="true"/>
        </w:rPr>
        <w:t xml:space="preserve">ובסך הכל </w:t>
      </w:r>
      <w:r>
        <w:rPr>
          <w:rtl w:val="true"/>
        </w:rPr>
        <w:t>–</w:t>
      </w:r>
      <w:r>
        <w:rPr>
          <w:rtl w:val="true"/>
        </w:rPr>
        <w:t xml:space="preserve"> מאות רבות של מקרים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כך על</w:t>
      </w:r>
      <w:r>
        <w:rPr>
          <w:rtl w:val="true"/>
        </w:rPr>
        <w:t>-</w:t>
      </w:r>
      <w:r>
        <w:rPr>
          <w:rtl w:val="true"/>
        </w:rPr>
        <w:t>פי נטען</w:t>
      </w:r>
      <w:r>
        <w:rPr>
          <w:rtl w:val="true"/>
        </w:rPr>
        <w:t xml:space="preserve">, </w:t>
      </w:r>
      <w:r>
        <w:rPr>
          <w:rtl w:val="true"/>
        </w:rPr>
        <w:t>נהג המערער להעיר את המתלוננת משנתה</w:t>
      </w:r>
      <w:r>
        <w:rPr>
          <w:rtl w:val="true"/>
        </w:rPr>
        <w:t xml:space="preserve">, </w:t>
      </w:r>
      <w:r>
        <w:rPr>
          <w:rtl w:val="true"/>
        </w:rPr>
        <w:t>כאשר כל דרי הבית נמים את שנת הלילה</w:t>
      </w:r>
      <w:r>
        <w:rPr>
          <w:rtl w:val="true"/>
        </w:rPr>
        <w:t xml:space="preserve">, </w:t>
      </w:r>
      <w:r>
        <w:rPr>
          <w:rtl w:val="true"/>
        </w:rPr>
        <w:t>ולהחדיר את איבר מינו או את אצבעותיו לתוך איבר מינה</w:t>
      </w:r>
      <w:r>
        <w:rPr>
          <w:rtl w:val="true"/>
        </w:rPr>
        <w:t xml:space="preserve">. </w:t>
      </w:r>
      <w:r>
        <w:rPr>
          <w:rtl w:val="true"/>
        </w:rPr>
        <w:t xml:space="preserve">המעשים בוצעו בחדר הילדים או בסלון הבית </w:t>
      </w:r>
      <w:r>
        <w:rPr>
          <w:rtl w:val="true"/>
        </w:rPr>
        <w:t>–</w:t>
      </w:r>
      <w:r>
        <w:rPr>
          <w:rtl w:val="true"/>
        </w:rPr>
        <w:t xml:space="preserve"> וחלק מהמעשים שבוצעו בחדר הילדים</w:t>
      </w:r>
      <w:r>
        <w:rPr>
          <w:rtl w:val="true"/>
        </w:rPr>
        <w:t xml:space="preserve">, </w:t>
      </w:r>
      <w:r>
        <w:rPr>
          <w:rtl w:val="true"/>
        </w:rPr>
        <w:t>נעשו עת אחיה הקטנים של המתלוננת ישנים בו</w:t>
      </w:r>
      <w:r>
        <w:rPr>
          <w:rtl w:val="true"/>
        </w:rPr>
        <w:t xml:space="preserve">. </w:t>
      </w:r>
      <w:r>
        <w:rPr>
          <w:rtl w:val="true"/>
        </w:rPr>
        <w:t>תוך כדי ביצוע המעשים</w:t>
      </w:r>
      <w:r>
        <w:rPr>
          <w:rtl w:val="true"/>
        </w:rPr>
        <w:t xml:space="preserve">, </w:t>
      </w:r>
      <w:r>
        <w:rPr>
          <w:rtl w:val="true"/>
        </w:rPr>
        <w:t>נהג המערער לגעת וללטף את המתלוננת בחזה</w:t>
      </w:r>
      <w:r>
        <w:rPr>
          <w:rtl w:val="true"/>
        </w:rPr>
        <w:t xml:space="preserve">, </w:t>
      </w:r>
      <w:r>
        <w:rPr>
          <w:rtl w:val="true"/>
        </w:rPr>
        <w:t>בירכיה</w:t>
      </w:r>
      <w:r>
        <w:rPr>
          <w:rtl w:val="true"/>
        </w:rPr>
        <w:t xml:space="preserve">, </w:t>
      </w:r>
      <w:r>
        <w:rPr>
          <w:rtl w:val="true"/>
        </w:rPr>
        <w:t>בישבנה ובאיבר מינה</w:t>
      </w:r>
      <w:r>
        <w:rPr>
          <w:rtl w:val="true"/>
        </w:rPr>
        <w:t xml:space="preserve">, </w:t>
      </w:r>
      <w:r>
        <w:rPr>
          <w:rtl w:val="true"/>
        </w:rPr>
        <w:t>וכן לנשקה תוך שהוא מחדיר את לשונו לפיה</w:t>
      </w:r>
      <w:r>
        <w:rPr>
          <w:rtl w:val="true"/>
        </w:rPr>
        <w:t xml:space="preserve">. </w:t>
      </w:r>
      <w:r>
        <w:rPr>
          <w:rtl w:val="true"/>
        </w:rPr>
        <w:t>המערער נהג גם לשכב לצד המתלוננת</w:t>
      </w:r>
      <w:r>
        <w:rPr>
          <w:rtl w:val="true"/>
        </w:rPr>
        <w:t xml:space="preserve">, </w:t>
      </w:r>
      <w:r>
        <w:rPr>
          <w:rtl w:val="true"/>
        </w:rPr>
        <w:t>לגעת בגופה ולהביאה לכדי סיפוק</w:t>
      </w:r>
      <w:r>
        <w:rPr>
          <w:rtl w:val="true"/>
        </w:rPr>
        <w:t xml:space="preserve">. </w:t>
      </w:r>
      <w:r>
        <w:rPr>
          <w:rtl w:val="true"/>
        </w:rPr>
        <w:t>הוא הורה לה כיצד לשכב ומתי להסתובב</w:t>
      </w:r>
      <w:r>
        <w:rPr>
          <w:rtl w:val="true"/>
        </w:rPr>
        <w:t xml:space="preserve">, </w:t>
      </w:r>
      <w:r>
        <w:rPr>
          <w:rtl w:val="true"/>
        </w:rPr>
        <w:t>היכן לגעת ומה לעשות</w:t>
      </w:r>
      <w:r>
        <w:rPr>
          <w:rtl w:val="true"/>
        </w:rPr>
        <w:t xml:space="preserve">, </w:t>
      </w:r>
      <w:r>
        <w:rPr>
          <w:rtl w:val="true"/>
        </w:rPr>
        <w:t>וכן הורה לה לבצע בו מין אוראלי עד אשר הגיע לפורקנו</w:t>
      </w:r>
      <w:r>
        <w:rPr>
          <w:rtl w:val="true"/>
        </w:rPr>
        <w:t xml:space="preserve">. </w:t>
      </w:r>
      <w:r>
        <w:rPr>
          <w:rtl w:val="true"/>
        </w:rPr>
        <w:t>המתלוננת עשתה כפי שהורה לה המערער</w:t>
      </w:r>
      <w:r>
        <w:rPr>
          <w:rtl w:val="true"/>
        </w:rPr>
        <w:t xml:space="preserve">, </w:t>
      </w:r>
      <w:r>
        <w:rPr>
          <w:rtl w:val="true"/>
        </w:rPr>
        <w:t>ולעיתים תוך כדי המעשים בכתה חרישית</w:t>
      </w:r>
      <w:r>
        <w:rPr>
          <w:rtl w:val="true"/>
        </w:rPr>
        <w:t xml:space="preserve">. </w:t>
      </w:r>
      <w:r>
        <w:rPr>
          <w:rtl w:val="true"/>
        </w:rPr>
        <w:t>המערער מצדו</w:t>
      </w:r>
      <w:r>
        <w:rPr>
          <w:rtl w:val="true"/>
        </w:rPr>
        <w:t xml:space="preserve">, </w:t>
      </w:r>
      <w:r>
        <w:rPr>
          <w:rtl w:val="true"/>
        </w:rPr>
        <w:t>הורה לה לשמור על השקט</w:t>
      </w:r>
      <w:r>
        <w:rPr>
          <w:rtl w:val="true"/>
        </w:rPr>
        <w:t xml:space="preserve">. </w:t>
      </w:r>
      <w:r>
        <w:rPr>
          <w:rtl w:val="true"/>
        </w:rPr>
        <w:t>כשהגיעה המתלוננת לגיל ארבע</w:t>
      </w:r>
      <w:r>
        <w:rPr>
          <w:rtl w:val="true"/>
        </w:rPr>
        <w:t>-</w:t>
      </w:r>
      <w:r>
        <w:rPr>
          <w:rtl w:val="true"/>
        </w:rPr>
        <w:t>עשרה שנים בקירוב</w:t>
      </w:r>
      <w:r>
        <w:rPr>
          <w:rtl w:val="true"/>
        </w:rPr>
        <w:t xml:space="preserve">, </w:t>
      </w:r>
      <w:r>
        <w:rPr>
          <w:rtl w:val="true"/>
        </w:rPr>
        <w:t>החל הנאשם לתת לה לבלוע מעת לעת גלולה שטיבה אינו ברור למאשימה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בעובדות כתב האישום הבחינה המאשימה בין שתי תקופות </w:t>
      </w:r>
      <w:r>
        <w:rPr>
          <w:rtl w:val="true"/>
        </w:rPr>
        <w:t>–</w:t>
      </w:r>
      <w:r>
        <w:rPr>
          <w:rtl w:val="true"/>
        </w:rPr>
        <w:t xml:space="preserve"> תקופה שתחילתה </w:t>
      </w:r>
      <w:r>
        <w:rPr>
          <w:rFonts w:ascii="Century" w:hAnsi="Century" w:cs="Century"/>
          <w:sz w:val="22"/>
          <w:sz w:val="22"/>
          <w:rtl w:val="true"/>
        </w:rPr>
        <w:t xml:space="preserve">בשנת </w:t>
      </w:r>
      <w:r>
        <w:rPr>
          <w:rFonts w:cs="Century" w:ascii="Century" w:hAnsi="Century"/>
          <w:sz w:val="22"/>
        </w:rPr>
        <w:t>2005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וסופה בשנת </w:t>
      </w:r>
      <w:r>
        <w:rPr>
          <w:rFonts w:cs="Century" w:ascii="Century" w:hAnsi="Century"/>
          <w:sz w:val="22"/>
        </w:rPr>
        <w:t>2007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ותקופה שתחילתה בשנת </w:t>
      </w:r>
      <w:r>
        <w:rPr>
          <w:rFonts w:cs="Century" w:ascii="Century" w:hAnsi="Century"/>
          <w:sz w:val="22"/>
        </w:rPr>
        <w:t>2007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וסופה בשנת </w:t>
      </w:r>
      <w:r>
        <w:rPr>
          <w:rFonts w:cs="Century" w:ascii="Century" w:hAnsi="Century"/>
          <w:sz w:val="22"/>
        </w:rPr>
        <w:t>2012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שמלאו למתלוננת כ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15.5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עוד התייחס 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מובחן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לאירוע פרטני שהתרחש ביום </w:t>
      </w:r>
      <w:r>
        <w:rPr>
          <w:rFonts w:cs="Century" w:ascii="Century" w:hAnsi="Century"/>
          <w:sz w:val="22"/>
        </w:rPr>
        <w:t>13.06.2014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שכונה בכתב האישום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Fonts w:ascii="Century" w:hAnsi="Century" w:cs="Century"/>
          <w:sz w:val="22"/>
          <w:sz w:val="22"/>
          <w:rtl w:val="true"/>
        </w:rPr>
        <w:t xml:space="preserve">כתב האישום נדרש לפגיעה הראשונה שביצע המערער במתלוננת בראשיתה של </w:t>
      </w:r>
      <w:r>
        <w:rPr>
          <w:rFonts w:ascii="FrankRuehl" w:hAnsi="FrankRuehl" w:cs="FrankRuehl"/>
          <w:b/>
          <w:b/>
          <w:spacing w:val="0"/>
          <w:sz w:val="26"/>
          <w:sz w:val="26"/>
          <w:rtl w:val="true"/>
        </w:rPr>
        <w:t>התקופה הראשונה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עת נכנס לחדר הילדים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בעוד אחי המתלוננת ישנים בו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הוציאה מהחדר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ופגע בה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הפשיט את המתלוננת מבגדיה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הפשיל את מכנסיו ובעוד היא שוכבת על המיטה החדיר את איבר מינו לאיבר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כאשר המתלוננת השמיעה אנקת כאב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סכר את פיה באמצעות כף ידו בחוזקה והמשיך במעשיו עד שהגיע לפורקנו בתוך 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בתום המעשה שבה המתלוננת לחדרה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סבלה מכאבים והתקשתה להירדם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למחרת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הבחינה המתלוננת כי תחתוניה מוכתמים בדם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ומשכך השליכה אותם לזבל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החל מאותו היום ועד לגיל עשר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נהג המערער לבצע בה מעשי אונס בתדירות גבוהה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בחדר הילדים או בסלון הבית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Fonts w:ascii="Century" w:hAnsi="Century" w:cs="Century"/>
          <w:sz w:val="22"/>
          <w:sz w:val="22"/>
          <w:rtl w:val="true"/>
        </w:rPr>
        <w:t>אשר לתקופה השנייה צוין בכתב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בשנת </w:t>
      </w:r>
      <w:r>
        <w:rPr>
          <w:rFonts w:cs="Century" w:ascii="Century" w:hAnsi="Century"/>
          <w:sz w:val="22"/>
        </w:rPr>
        <w:t>2007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לערך הפסיק המערער ממעשיו למשך כחודשיים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בסופם שב לסורו והמשיך לבצע במתלוננת את 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העיר המערער את המתלוננת והכניס את איבר מינו לאיבר מינה בסלון הבית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כאשר בכתה המתלוננת חרישית מחמת כאב עז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ואף אמרה למערער כי כואב לה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השיב לה המערער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הגיע לפורקנו בתוך איבר מינה והמתלוננת חזרה לחדרה בתום המעשים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בשלב כלשהו במהלך אותה תקופה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שהמתלוננת הגיעה לגיל אחת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עשרה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מעשי המערער בה אף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הוחמרו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החדיר המערער את איבר מינו לפי הטבעת של המתלוננת עד אשר הגיע לסיפוקו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עשה זאת במהלך התקופה כחמש פעמים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במקביל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המשיך המערער לבצע בה מעשי אונס רבים של החדרת איבר מינו לאיבר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ביום הכיפורים של שנת </w:t>
      </w:r>
      <w:r>
        <w:rPr>
          <w:rFonts w:cs="Century" w:ascii="Century" w:hAnsi="Century"/>
          <w:sz w:val="22"/>
        </w:rPr>
        <w:t>2012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עת הייתה המתלוננת כבת חמש עשרה וחצי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נכנס המערער בלילה לחדרה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הורה לה לרדת מהמיטה העליונה במיטת הקומתיים שבחדר הילדים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השכיבה על המיטה הנפתחת שבחדר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הפשיטה והכניס את איבר מינו לאיבר מינה תוך שהוא מורה לה כיצד לנוע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כשבוע לאחר אירוע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החליטה המתלוננת לעזוב את הבית ומאותו היום היא אכן התגוררה בפנימיות חוץ ביתיות</w:t>
      </w:r>
      <w:r>
        <w:rPr>
          <w:rFonts w:cs="Century" w:ascii="Century" w:hAnsi="Century"/>
          <w:sz w:val="22"/>
          <w:rtl w:val="true"/>
        </w:rPr>
        <w:t xml:space="preserve">.   </w:t>
      </w:r>
      <w:r>
        <w:rPr>
          <w:rtl w:val="true"/>
        </w:rPr>
        <w:t xml:space="preserve"> 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FrankRuehl" w:hAnsi="FrankRuehl" w:cs="FrankRuehl"/>
          <w:b/>
          <w:b/>
          <w:spacing w:val="0"/>
          <w:sz w:val="26"/>
          <w:sz w:val="26"/>
          <w:rtl w:val="true"/>
        </w:rPr>
        <w:t>הפעם האחרונה</w:t>
      </w:r>
      <w:r>
        <w:rPr>
          <w:rFonts w:ascii="Century" w:hAnsi="Century" w:cs="Century"/>
          <w:sz w:val="26"/>
          <w:sz w:val="26"/>
          <w:szCs w:val="3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בה פגע המערער במתלוננת אירעה בחודש יוני </w:t>
      </w:r>
      <w:r>
        <w:rPr>
          <w:rFonts w:cs="Century" w:ascii="Century" w:hAnsi="Century"/>
          <w:sz w:val="22"/>
        </w:rPr>
        <w:t>2014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עת הגיעה המתלוננת לבית כדי לשמור על אחיה הקטנים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בזמן שהוריה ואחיה ד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נסעו לטיול בחו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בבוקר חזרת בני המשפחה מחו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13.06.2014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ישנה המתלוננת בסלון הבית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הקדים את כניסת רעייתו ובנו לבית המשפחה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הבחין במתלוננת ישנה בסלון הבית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ומיהר לנעול את דלת הבית ולגשת למתלוננת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בשלב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הפשיט המערער את המתלוננת מבגדיה והכניס את איבר מינו לאיבר מינה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ואילו רק למשמע קולות מחדר המדרגות הפסיק ממעשיו והתלבש חזרה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Heading1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 xml:space="preserve">הכרעת הדין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במסגרת ההליך שהתנהל לפני בית המשפט המחוזי </w:t>
      </w:r>
      <w:r>
        <w:rPr>
          <w:rtl w:val="true"/>
        </w:rPr>
        <w:t>–</w:t>
      </w:r>
      <w:r>
        <w:rPr>
          <w:rtl w:val="true"/>
        </w:rPr>
        <w:t xml:space="preserve"> כפר המערער בכל 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וטען ביחס לגרסת המתלוננת כי לא היו דברים מעולם</w:t>
      </w:r>
      <w:r>
        <w:rPr>
          <w:rtl w:val="true"/>
        </w:rPr>
        <w:t xml:space="preserve">. </w:t>
      </w:r>
      <w:r>
        <w:rPr>
          <w:rtl w:val="true"/>
        </w:rPr>
        <w:t>נוכח יריעת המחלוקת הרחבה</w:t>
      </w:r>
      <w:r>
        <w:rPr>
          <w:rtl w:val="true"/>
        </w:rPr>
        <w:t xml:space="preserve">, </w:t>
      </w:r>
      <w:r>
        <w:rPr>
          <w:rtl w:val="true"/>
        </w:rPr>
        <w:t>ניתנה הכרעת הדין אך לאחר ניהולו של הליך שלם ומלא</w:t>
      </w:r>
      <w:r>
        <w:rPr>
          <w:rtl w:val="true"/>
        </w:rPr>
        <w:t xml:space="preserve">, </w:t>
      </w:r>
      <w:r>
        <w:rPr>
          <w:rtl w:val="true"/>
        </w:rPr>
        <w:t>ולאחר שמיעת ראיות</w:t>
      </w:r>
      <w:r>
        <w:rPr>
          <w:rtl w:val="true"/>
        </w:rPr>
        <w:t xml:space="preserve">, </w:t>
      </w:r>
      <w:r>
        <w:rPr>
          <w:rtl w:val="true"/>
        </w:rPr>
        <w:t>בסופן מצא בית המשפט לדחות את גרסת המערער בהיותה בלתי מהימנה</w:t>
      </w:r>
      <w:r>
        <w:rPr>
          <w:rtl w:val="true"/>
        </w:rPr>
        <w:t xml:space="preserve">, </w:t>
      </w:r>
      <w:r>
        <w:rPr>
          <w:rtl w:val="true"/>
        </w:rPr>
        <w:t xml:space="preserve">ולאמץ את גרסת המתלוננת </w:t>
      </w:r>
      <w:r>
        <w:rPr>
          <w:rtl w:val="true"/>
        </w:rPr>
        <w:t>–</w:t>
      </w:r>
      <w:r>
        <w:rPr>
          <w:rtl w:val="true"/>
        </w:rPr>
        <w:t xml:space="preserve"> לגביה נקבע פה אחד</w:t>
      </w:r>
      <w:r>
        <w:rPr>
          <w:rtl w:val="true"/>
        </w:rPr>
        <w:t xml:space="preserve">, </w:t>
      </w:r>
      <w:r>
        <w:rPr>
          <w:rtl w:val="true"/>
        </w:rPr>
        <w:t>כי עדותה אמת היא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בסופו של ההליך</w:t>
      </w:r>
      <w:r>
        <w:rPr>
          <w:rtl w:val="true"/>
        </w:rPr>
        <w:t xml:space="preserve">, </w:t>
      </w:r>
      <w:r>
        <w:rPr>
          <w:rtl w:val="true"/>
        </w:rPr>
        <w:t>הורשע המערער בכל העבירות שיוחסו לו</w:t>
      </w:r>
      <w:r>
        <w:rPr>
          <w:rtl w:val="true"/>
        </w:rPr>
        <w:t xml:space="preserve">, </w:t>
      </w:r>
      <w:r>
        <w:rPr>
          <w:rtl w:val="true"/>
        </w:rPr>
        <w:t>ואלו הן</w:t>
      </w:r>
      <w:r>
        <w:rPr>
          <w:rtl w:val="true"/>
        </w:rPr>
        <w:t xml:space="preserve">: </w:t>
      </w:r>
      <w:r>
        <w:rPr>
          <w:rtl w:val="true"/>
        </w:rPr>
        <w:t xml:space="preserve">מאות עבירות אינוס ומספר עבירות של מעשה סדום </w:t>
      </w:r>
      <w:r>
        <w:rPr>
          <w:rtl w:val="true"/>
        </w:rPr>
        <w:t>–</w:t>
      </w:r>
      <w:r>
        <w:rPr>
          <w:rtl w:val="true"/>
        </w:rPr>
        <w:t xml:space="preserve"> 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עבירות מין במשפחה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כמאה עבירות אינוס ומספר עבירות של מעשה סדום מתחת לגיל </w:t>
      </w:r>
      <w:r>
        <w:rPr>
          <w:rFonts w:cs="Century" w:ascii="Century" w:hAnsi="Century"/>
          <w:sz w:val="22"/>
        </w:rPr>
        <w:t>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2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351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מעשה מגונה בקטין בן משפחה</w:t>
      </w:r>
      <w:r>
        <w:rPr>
          <w:rtl w:val="true"/>
        </w:rPr>
        <w:t xml:space="preserve">, </w:t>
      </w:r>
      <w:r>
        <w:rPr>
          <w:rtl w:val="true"/>
        </w:rPr>
        <w:t xml:space="preserve">מאות עבירות מתחת לגיל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Fonts w:ascii="Century" w:hAnsi="Century" w:cs="Century"/>
          <w:sz w:val="22"/>
          <w:sz w:val="22"/>
          <w:rtl w:val="true"/>
        </w:rPr>
        <w:t xml:space="preserve"> בנסיבות </w:t>
      </w:r>
      <w:hyperlink r:id="rId2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348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hyperlink r:id="rId2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וסעיף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3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ומעשה מגונה בקטין בן 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עברות עבירות מתחת לגיל </w:t>
      </w: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2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351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ג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3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ביחס לעבירות של מעשי הסדום שבוצעו בדרך של החדרת איבר מינו של המערער לפי הטבעת של המתלוננת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 בשישה מקרים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במסגרת הכרעת הדין סקר בית משפט המחוזי בהרחבה את העדויות שהובאו לפניו</w:t>
      </w:r>
      <w:r>
        <w:rPr>
          <w:rtl w:val="true"/>
        </w:rPr>
        <w:t xml:space="preserve">, </w:t>
      </w:r>
      <w:r>
        <w:rPr>
          <w:rtl w:val="true"/>
        </w:rPr>
        <w:t>וקבע את שקבע בהכרעה מפורטת ומנומקת</w:t>
      </w:r>
      <w:r>
        <w:rPr>
          <w:rtl w:val="true"/>
        </w:rPr>
        <w:t xml:space="preserve">. </w:t>
      </w:r>
      <w:r>
        <w:rPr>
          <w:rtl w:val="true"/>
        </w:rPr>
        <w:t>בתוך כך נקבע</w:t>
      </w:r>
      <w:r>
        <w:rPr>
          <w:rtl w:val="true"/>
        </w:rPr>
        <w:t xml:space="preserve">, </w:t>
      </w:r>
      <w:r>
        <w:rPr>
          <w:rtl w:val="true"/>
        </w:rPr>
        <w:t xml:space="preserve">כי עדות המתלוננת נמצאה אמינה ומשכנעת </w:t>
      </w:r>
      <w:r>
        <w:rPr>
          <w:rtl w:val="true"/>
        </w:rPr>
        <w:t>–</w:t>
      </w:r>
      <w:r>
        <w:rPr>
          <w:rtl w:val="true"/>
        </w:rPr>
        <w:t xml:space="preserve"> וכי מדובר במסכת של התעללות מינית שנמשכה על</w:t>
      </w:r>
      <w:r>
        <w:rPr>
          <w:rtl w:val="true"/>
        </w:rPr>
        <w:t>-</w:t>
      </w:r>
      <w:r>
        <w:rPr>
          <w:rtl w:val="true"/>
        </w:rPr>
        <w:t>פני שנים</w:t>
      </w:r>
      <w:r>
        <w:rPr>
          <w:rtl w:val="true"/>
        </w:rPr>
        <w:t xml:space="preserve">. </w:t>
      </w:r>
      <w:r>
        <w:rPr>
          <w:rtl w:val="true"/>
        </w:rPr>
        <w:t>ראשיתן של פגיעות אלו נקבע</w:t>
      </w:r>
      <w:r>
        <w:rPr>
          <w:rtl w:val="true"/>
        </w:rPr>
        <w:t xml:space="preserve">, </w:t>
      </w:r>
      <w:r>
        <w:rPr>
          <w:rtl w:val="true"/>
        </w:rPr>
        <w:t>היא עוד כאשר הייתה המתלוננת ילדה קטנה שלא הייתה יכולה להבין את פשר המעשים שבוצעו בגופה</w:t>
      </w:r>
      <w:r>
        <w:rPr>
          <w:rtl w:val="true"/>
        </w:rPr>
        <w:t xml:space="preserve">, </w:t>
      </w:r>
      <w:r>
        <w:rPr>
          <w:rtl w:val="true"/>
        </w:rPr>
        <w:t>כמו גם את חומרתם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הפך למעשה את בתו לשפחת מין לסיפוק צרכיו</w:t>
      </w:r>
      <w:r>
        <w:rPr>
          <w:rtl w:val="true"/>
        </w:rPr>
        <w:t xml:space="preserve">, </w:t>
      </w:r>
      <w:r>
        <w:rPr>
          <w:rtl w:val="true"/>
        </w:rPr>
        <w:t>תוך שהוא מתעלם מכאביה</w:t>
      </w:r>
      <w:r>
        <w:rPr>
          <w:rtl w:val="true"/>
        </w:rPr>
        <w:t xml:space="preserve">, </w:t>
      </w:r>
      <w:r>
        <w:rPr>
          <w:rtl w:val="true"/>
        </w:rPr>
        <w:t>מכאוביה</w:t>
      </w:r>
      <w:r>
        <w:rPr>
          <w:rtl w:val="true"/>
        </w:rPr>
        <w:t xml:space="preserve">, </w:t>
      </w:r>
      <w:r>
        <w:rPr>
          <w:rtl w:val="true"/>
        </w:rPr>
        <w:t>רצונותיה והפגיעה הנגרמת ממעשיו</w:t>
      </w:r>
      <w:r>
        <w:rPr>
          <w:rtl w:val="true"/>
        </w:rPr>
        <w:t xml:space="preserve">. </w:t>
      </w:r>
      <w:r>
        <w:rPr>
          <w:rtl w:val="true"/>
        </w:rPr>
        <w:t>כן הודגשה עוצמת הפגיעה הכרוכה בעצם קיום יחסי מין בגיל כזה</w:t>
      </w:r>
      <w:r>
        <w:rPr>
          <w:rtl w:val="true"/>
        </w:rPr>
        <w:t xml:space="preserve">, </w:t>
      </w:r>
      <w:r>
        <w:rPr>
          <w:rtl w:val="true"/>
        </w:rPr>
        <w:t xml:space="preserve">בתוספת היותם מתקיימים בין אב לבתו </w:t>
      </w:r>
      <w:r>
        <w:rPr>
          <w:rtl w:val="true"/>
        </w:rPr>
        <w:t>–</w:t>
      </w:r>
      <w:r>
        <w:rPr>
          <w:rtl w:val="true"/>
        </w:rPr>
        <w:t xml:space="preserve"> כאשר האב מנצל את סמכותו ההורית</w:t>
      </w:r>
      <w:r>
        <w:rPr>
          <w:rtl w:val="true"/>
        </w:rPr>
        <w:t xml:space="preserve">, </w:t>
      </w:r>
      <w:r>
        <w:rPr>
          <w:rtl w:val="true"/>
        </w:rPr>
        <w:t>את היות המתלוננת מתגוררת בביתו ונתונה לשליטתו</w:t>
      </w:r>
      <w:r>
        <w:rPr>
          <w:rtl w:val="true"/>
        </w:rPr>
        <w:t xml:space="preserve">, </w:t>
      </w:r>
      <w:r>
        <w:rPr>
          <w:rtl w:val="true"/>
        </w:rPr>
        <w:t>כמו גם לחסדיו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הרשעת המערער התבססה בראש ובראשונה על עדות המתלוננת</w:t>
      </w:r>
      <w:r>
        <w:rPr>
          <w:rtl w:val="true"/>
        </w:rPr>
        <w:t xml:space="preserve">, </w:t>
      </w:r>
      <w:r>
        <w:rPr>
          <w:rtl w:val="true"/>
        </w:rPr>
        <w:t>שנבחנה על</w:t>
      </w:r>
      <w:r>
        <w:rPr>
          <w:rtl w:val="true"/>
        </w:rPr>
        <w:t>-</w:t>
      </w:r>
      <w:r>
        <w:rPr>
          <w:rtl w:val="true"/>
        </w:rPr>
        <w:t xml:space="preserve">ידי בית משפט קמא בפירוט </w:t>
      </w:r>
      <w:r>
        <w:rPr>
          <w:rtl w:val="true"/>
        </w:rPr>
        <w:t>–</w:t>
      </w:r>
      <w:r>
        <w:rPr>
          <w:rtl w:val="true"/>
        </w:rPr>
        <w:t xml:space="preserve"> ונמצאה מהימנה ומשכנעת</w:t>
      </w:r>
      <w:r>
        <w:rPr>
          <w:rtl w:val="true"/>
        </w:rPr>
        <w:t xml:space="preserve">, </w:t>
      </w:r>
      <w:r>
        <w:rPr>
          <w:rtl w:val="true"/>
        </w:rPr>
        <w:t>חרף קשיים מסוימים שנמצאו בה</w:t>
      </w:r>
      <w:r>
        <w:rPr>
          <w:rtl w:val="true"/>
        </w:rPr>
        <w:t xml:space="preserve">, </w:t>
      </w:r>
      <w:r>
        <w:rPr>
          <w:rtl w:val="true"/>
        </w:rPr>
        <w:t>מהם לא התעלם בית המשפט</w:t>
      </w:r>
      <w:r>
        <w:rPr>
          <w:rtl w:val="true"/>
        </w:rPr>
        <w:t xml:space="preserve">. </w:t>
      </w:r>
      <w:r>
        <w:rPr>
          <w:rtl w:val="true"/>
        </w:rPr>
        <w:t>בית המשפט המחוזי בחן בהרחבה את הדברים</w:t>
      </w:r>
      <w:r>
        <w:rPr>
          <w:rtl w:val="true"/>
        </w:rPr>
        <w:t xml:space="preserve">, </w:t>
      </w:r>
      <w:r>
        <w:rPr>
          <w:rtl w:val="true"/>
        </w:rPr>
        <w:t xml:space="preserve">במסגרת פסק דין ארוך ומנומק </w:t>
      </w:r>
      <w:r>
        <w:rPr>
          <w:rtl w:val="true"/>
        </w:rPr>
        <w:t>–</w:t>
      </w:r>
      <w:r>
        <w:rPr>
          <w:rtl w:val="true"/>
        </w:rPr>
        <w:t xml:space="preserve"> היה ער לקשיים</w:t>
      </w:r>
      <w:r>
        <w:rPr>
          <w:rtl w:val="true"/>
        </w:rPr>
        <w:t xml:space="preserve">, </w:t>
      </w:r>
      <w:r>
        <w:rPr>
          <w:rtl w:val="true"/>
        </w:rPr>
        <w:t xml:space="preserve">אך התמודד עימם </w:t>
      </w:r>
      <w:r>
        <w:rPr>
          <w:rtl w:val="true"/>
        </w:rPr>
        <w:t>באופן משכנע</w:t>
      </w:r>
      <w:r>
        <w:rPr>
          <w:rtl w:val="true"/>
        </w:rPr>
        <w:t xml:space="preserve"> וקבע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זינגר</w:t>
      </w:r>
      <w:r>
        <w:rPr>
          <w:rtl w:val="true"/>
        </w:rPr>
        <w:t>):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, </w:t>
      </w:r>
      <w:r>
        <w:rPr>
          <w:rtl w:val="true"/>
        </w:rPr>
        <w:t>בטענותיה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מולידה</w:t>
      </w:r>
      <w:r>
        <w:rPr>
          <w:rtl w:val="true"/>
        </w:rPr>
        <w:t>.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הי</w:t>
      </w:r>
      <w:r>
        <w:rPr>
          <w:rtl w:val="true"/>
        </w:rPr>
        <w:t>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התרחשותם</w:t>
      </w:r>
      <w:r>
        <w:rPr>
          <w:rtl w:val="true"/>
        </w:rPr>
        <w:t xml:space="preserve">.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ארעה</w:t>
      </w:r>
      <w:r>
        <w:rPr>
          <w:rtl w:val="true"/>
        </w:rPr>
        <w:t>.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מעצמן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לפוקדו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ביקוריה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מאום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(?!).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לתלונה</w:t>
      </w:r>
      <w:r>
        <w:rPr>
          <w:rtl w:val="true"/>
        </w:rPr>
        <w:t xml:space="preserve">.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>, (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לסובבים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).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סימפטומים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בשינה</w:t>
      </w:r>
      <w:r>
        <w:rPr>
          <w:rtl w:val="true"/>
        </w:rPr>
        <w:t xml:space="preserve">) </w:t>
      </w:r>
      <w:r>
        <w:rPr>
          <w:rtl w:val="true"/>
        </w:rPr>
        <w:t>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 xml:space="preserve">מפאת העובדה שהכרעת הדין כאמור נסמכת על עדויות אלו </w:t>
      </w:r>
      <w:r>
        <w:rPr>
          <w:rtl w:val="true"/>
        </w:rPr>
        <w:t>–</w:t>
      </w:r>
      <w:r>
        <w:rPr>
          <w:rtl w:val="true"/>
        </w:rPr>
        <w:t xml:space="preserve"> זו מול זו</w:t>
      </w:r>
      <w:r>
        <w:rPr>
          <w:rtl w:val="true"/>
        </w:rPr>
        <w:t xml:space="preserve">; </w:t>
      </w:r>
      <w:r>
        <w:rPr>
          <w:rtl w:val="true"/>
        </w:rPr>
        <w:t>ומשעה שההכרעה במהימנותן ניצבת במוקד הערעור דנא</w:t>
      </w:r>
      <w:r>
        <w:rPr>
          <w:rtl w:val="true"/>
        </w:rPr>
        <w:t xml:space="preserve">, </w:t>
      </w:r>
      <w:r>
        <w:rPr>
          <w:rtl w:val="true"/>
        </w:rPr>
        <w:t>אדרש בקצרה לממצאי בית משפט קמא ביחס לעדות המתלוננת והראיות לחיזוקה וכן לממצאיו ביחס לעדות הנאשם</w:t>
      </w:r>
      <w:r>
        <w:rPr>
          <w:rtl w:val="true"/>
        </w:rPr>
        <w:t>.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 xml:space="preserve">קביעותיו של בית משפט קמא אשר לעדות המתלוננת והראיות לחיזוקה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במסגרת הכרעת הדין נקבע</w:t>
      </w:r>
      <w:r>
        <w:rPr>
          <w:rtl w:val="true"/>
        </w:rPr>
        <w:t xml:space="preserve">, </w:t>
      </w:r>
      <w:r>
        <w:rPr>
          <w:rtl w:val="true"/>
        </w:rPr>
        <w:t xml:space="preserve">כי עדותה של המתלוננת נתמכה בעדויותיהם של עדי תביעה נוספים </w:t>
      </w:r>
      <w:r>
        <w:rPr>
          <w:rtl w:val="true"/>
        </w:rPr>
        <w:t>–</w:t>
      </w:r>
      <w:r>
        <w:rPr>
          <w:rtl w:val="true"/>
        </w:rPr>
        <w:t xml:space="preserve"> ובראשן</w:t>
      </w:r>
      <w:r>
        <w:rPr>
          <w:rtl w:val="true"/>
        </w:rPr>
        <w:t xml:space="preserve">, </w:t>
      </w:r>
      <w:r>
        <w:rPr>
          <w:rtl w:val="true"/>
        </w:rPr>
        <w:t>עדויותיהן של מי שהמתלוננת חשפה בפניהן בהדרגה ובאופן אותנטי את מעשיו של המערער</w:t>
      </w:r>
      <w:r>
        <w:rPr>
          <w:rtl w:val="true"/>
        </w:rPr>
        <w:t xml:space="preserve">, </w:t>
      </w:r>
      <w:r>
        <w:rPr>
          <w:rtl w:val="true"/>
        </w:rPr>
        <w:t>טרם הגשת התלונה במשטרה</w:t>
      </w:r>
      <w:r>
        <w:rPr>
          <w:rtl w:val="true"/>
        </w:rPr>
        <w:t xml:space="preserve">. </w:t>
      </w:r>
      <w:r>
        <w:rPr>
          <w:rtl w:val="true"/>
        </w:rPr>
        <w:t xml:space="preserve">עדות אלה הן מדריכתה של המתלוננת </w:t>
      </w:r>
      <w:r>
        <w:rPr>
          <w:rtl w:val="true"/>
        </w:rPr>
        <w:t>(</w:t>
      </w:r>
      <w:r>
        <w:rPr>
          <w:rtl w:val="true"/>
        </w:rPr>
        <w:t>בפניה חשפה המתלוננת את המעשים לראשונה</w:t>
      </w:r>
      <w:r>
        <w:rPr>
          <w:rtl w:val="true"/>
        </w:rPr>
        <w:t xml:space="preserve">), </w:t>
      </w:r>
      <w:r>
        <w:rPr>
          <w:rtl w:val="true"/>
        </w:rPr>
        <w:t>הפסיכולוגית שטיפלה במתלוננת ומי שהייתה המחנכת של המתלוננת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בית המשפט המחוזי סקר בהרחבה גם את הראיות המעידות על הקושי הרב שהיה למתלוננת בחשיפת הדברים</w:t>
      </w:r>
      <w:r>
        <w:rPr>
          <w:rtl w:val="true"/>
        </w:rPr>
        <w:t xml:space="preserve">, </w:t>
      </w:r>
      <w:r>
        <w:rPr>
          <w:rtl w:val="true"/>
        </w:rPr>
        <w:t xml:space="preserve">ולמצבה הנפשי הקשה </w:t>
      </w:r>
      <w:r>
        <w:rPr>
          <w:rtl w:val="true"/>
        </w:rPr>
        <w:t>–</w:t>
      </w:r>
      <w:r>
        <w:rPr>
          <w:rtl w:val="true"/>
        </w:rPr>
        <w:t xml:space="preserve"> בפרט</w:t>
      </w:r>
      <w:r>
        <w:rPr>
          <w:rtl w:val="true"/>
        </w:rPr>
        <w:t xml:space="preserve">, </w:t>
      </w:r>
      <w:r>
        <w:rPr>
          <w:rtl w:val="true"/>
        </w:rPr>
        <w:t>לאחר המעשה האחרון שנעשה בה</w:t>
      </w:r>
      <w:r>
        <w:rPr>
          <w:rtl w:val="true"/>
        </w:rPr>
        <w:t xml:space="preserve">. </w:t>
      </w:r>
      <w:r>
        <w:rPr>
          <w:rtl w:val="true"/>
        </w:rPr>
        <w:t>כן הובאו ראיות לכך שהמתלוננת סבלה מסימפטומים של פוסט טראומה</w:t>
      </w:r>
      <w:r>
        <w:rPr>
          <w:rtl w:val="true"/>
        </w:rPr>
        <w:t xml:space="preserve">, </w:t>
      </w:r>
      <w:r>
        <w:rPr>
          <w:rtl w:val="true"/>
        </w:rPr>
        <w:t>לרבות ניתוקים</w:t>
      </w:r>
      <w:r>
        <w:rPr>
          <w:rtl w:val="true"/>
        </w:rPr>
        <w:t xml:space="preserve">, </w:t>
      </w:r>
      <w:r>
        <w:rPr>
          <w:rtl w:val="true"/>
        </w:rPr>
        <w:t>חיתוכים עצמיים ומספר ניסיונות אובדניים</w:t>
      </w:r>
      <w:r>
        <w:rPr>
          <w:rtl w:val="true"/>
        </w:rPr>
        <w:t xml:space="preserve">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>הובאו עדויות על אודות קשיי השינה מהם סבלה המתלוננת</w:t>
      </w:r>
      <w:r>
        <w:rPr>
          <w:rtl w:val="true"/>
        </w:rPr>
        <w:t xml:space="preserve">, </w:t>
      </w:r>
      <w:r>
        <w:rPr>
          <w:rtl w:val="true"/>
        </w:rPr>
        <w:t>צורת שנתה העוברית והמכווצת בקצה המיטה וסיוטי הלילה הקשים מהם סבלה בעודה נצפית משתוללת ונאבקת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בית המשפט המחוזי התייחס גם לכך שהמתלוננת עזבה את בית המשפחה באי</w:t>
      </w:r>
      <w:r>
        <w:rPr>
          <w:rtl w:val="true"/>
        </w:rPr>
        <w:t>-</w:t>
      </w:r>
      <w:r>
        <w:rPr>
          <w:rtl w:val="true"/>
        </w:rPr>
        <w:t>רצון וחרף הקושי הרב שהיה כרוך בכך עבורה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תועדה פנייה של המתלוננת לרשויות הרווחה בדאגה לשלום אחותה</w:t>
      </w:r>
      <w:r>
        <w:rPr>
          <w:rtl w:val="true"/>
        </w:rPr>
        <w:t xml:space="preserve">, </w:t>
      </w:r>
      <w:r>
        <w:rPr>
          <w:rtl w:val="true"/>
        </w:rPr>
        <w:t xml:space="preserve">שנים קודם לחשיפת הפגיעות המניות בה </w:t>
      </w:r>
      <w:r>
        <w:rPr>
          <w:rtl w:val="true"/>
        </w:rPr>
        <w:t>(</w:t>
      </w:r>
      <w:r>
        <w:rPr>
          <w:rtl w:val="true"/>
        </w:rPr>
        <w:t>אז הביעה המתלוננת חשש לפגיעה פיזית</w:t>
      </w:r>
      <w:r>
        <w:rPr>
          <w:rtl w:val="true"/>
        </w:rPr>
        <w:t xml:space="preserve">); </w:t>
      </w:r>
      <w:r>
        <w:rPr>
          <w:rtl w:val="true"/>
        </w:rPr>
        <w:t xml:space="preserve">ובשנת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 xml:space="preserve">בה חזרה והעלתה את חששותיה </w:t>
      </w:r>
      <w:r>
        <w:rPr>
          <w:rtl w:val="true"/>
        </w:rPr>
        <w:t>(</w:t>
      </w:r>
      <w:r>
        <w:rPr>
          <w:rtl w:val="true"/>
        </w:rPr>
        <w:t>ואז גם הובע החשש מפני פגיעה מינית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בסופם של אלו</w:t>
      </w:r>
      <w:r>
        <w:rPr>
          <w:rtl w:val="true"/>
        </w:rPr>
        <w:t xml:space="preserve">, </w:t>
      </w:r>
      <w:r>
        <w:rPr>
          <w:rtl w:val="true"/>
        </w:rPr>
        <w:t xml:space="preserve">מצאו לנכון כל אחד מחברי ההרכב לציין את התרשמותם מאמינות עדותה של המתלוננת </w:t>
      </w:r>
      <w:r>
        <w:rPr>
          <w:rtl w:val="true"/>
        </w:rPr>
        <w:t>–</w:t>
      </w:r>
      <w:r>
        <w:rPr>
          <w:rtl w:val="true"/>
        </w:rPr>
        <w:t xml:space="preserve"> וכך</w:t>
      </w:r>
      <w:r>
        <w:rPr>
          <w:rtl w:val="true"/>
        </w:rPr>
        <w:t xml:space="preserve">: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Miriam" w:hAnsi="Miriam" w:cs="Miriam"/>
          <w:sz w:val="20"/>
          <w:sz w:val="20"/>
          <w:szCs w:val="24"/>
          <w:rtl w:val="true"/>
        </w:rPr>
        <w:t>ע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זינגר</w:t>
      </w:r>
      <w:r>
        <w:rPr>
          <w:rtl w:val="true"/>
        </w:rPr>
        <w:t xml:space="preserve"> קבעה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עדות המתלוננת הייתה משכנעת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אמיתית וקורעת לב</w:t>
      </w:r>
      <w:r>
        <w:rPr>
          <w:rFonts w:cs="Miriam" w:ascii="Miriam" w:hAnsi="Miriam"/>
          <w:sz w:val="20"/>
          <w:szCs w:val="24"/>
          <w:rtl w:val="true"/>
        </w:rPr>
        <w:t xml:space="preserve">. </w:t>
      </w:r>
      <w:r>
        <w:rPr>
          <w:rFonts w:ascii="Miriam" w:hAnsi="Miriam" w:cs="Miriam"/>
          <w:sz w:val="20"/>
          <w:sz w:val="20"/>
          <w:szCs w:val="24"/>
          <w:rtl w:val="true"/>
        </w:rPr>
        <w:t>זו נתמכה בעדויות רבות ועולים סממנים התואמים פגיעה מינית</w:t>
      </w:r>
      <w:r>
        <w:rPr>
          <w:rFonts w:cs="Miriam" w:ascii="Miriam" w:hAnsi="Miriam"/>
          <w:sz w:val="20"/>
          <w:szCs w:val="24"/>
          <w:rtl w:val="true"/>
        </w:rPr>
        <w:t xml:space="preserve">. </w:t>
      </w:r>
      <w:r>
        <w:rPr>
          <w:rFonts w:ascii="Miriam" w:hAnsi="Miriam" w:cs="Miriam"/>
          <w:sz w:val="20"/>
          <w:sz w:val="20"/>
          <w:szCs w:val="24"/>
          <w:rtl w:val="true"/>
        </w:rPr>
        <w:t>לרבות סממנים פיזיים בלתי נשלטים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89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 xml:space="preserve">וכן כי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עדות המתלוננת הייתה אמינה ומשכנעת כשלעצמה</w:t>
      </w:r>
      <w:r>
        <w:rPr>
          <w:rFonts w:cs="Miriam" w:ascii="Miriam" w:hAnsi="Miriam"/>
          <w:sz w:val="20"/>
          <w:szCs w:val="24"/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היה ניכר בעת העדות הקושי הרב של המתלוננת לחשוף את הדברים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ויש לזכור כי אלה נאמרים עם קושי זה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לאחר שהמתלוננת נדרשה לטיפול ממושך אשר אפשר לה לחשוף אותם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 xml:space="preserve">וכן כי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חרף הקושי הכרוך בדבר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העידה המתלוננת עדות אמיצה ומשכנעת מאוד</w:t>
      </w:r>
      <w:r>
        <w:rPr>
          <w:rFonts w:cs="Miriam" w:ascii="Miriam" w:hAnsi="Miriam"/>
          <w:sz w:val="20"/>
          <w:szCs w:val="24"/>
          <w:rtl w:val="true"/>
        </w:rPr>
        <w:t xml:space="preserve">. </w:t>
      </w:r>
      <w:r>
        <w:rPr>
          <w:rFonts w:ascii="Miriam" w:hAnsi="Miriam" w:cs="Miriam"/>
          <w:sz w:val="20"/>
          <w:sz w:val="20"/>
          <w:szCs w:val="24"/>
          <w:rtl w:val="true"/>
        </w:rPr>
        <w:t>לטעמי לא ניתן לפקפק לאחר שמיעתה באופן בלתי אמצעי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בטענותיה באשר לפגיעה המינית הקשה שהייתה מנת חלקה וזאת על פני שנים והחל מגיל צעיר מאוד</w:t>
      </w:r>
      <w:r>
        <w:rPr>
          <w:rtl w:val="true"/>
        </w:rPr>
        <w:t>"</w:t>
      </w:r>
      <w:r>
        <w:rPr>
          <w:sz w:val="2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111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Miriam" w:hAnsi="Miriam" w:cs="Miriam"/>
          <w:sz w:val="20"/>
          <w:sz w:val="20"/>
          <w:szCs w:val="24"/>
          <w:rtl w:val="true"/>
        </w:rPr>
        <w:t>ח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מאק</w:t>
      </w:r>
      <w:r>
        <w:rPr>
          <w:rFonts w:cs="Miriam" w:ascii="Miriam" w:hAnsi="Miriam"/>
          <w:sz w:val="20"/>
          <w:szCs w:val="24"/>
          <w:rtl w:val="true"/>
        </w:rPr>
        <w:t>-</w:t>
      </w:r>
      <w:r>
        <w:rPr>
          <w:rFonts w:ascii="Miriam" w:hAnsi="Miriam" w:cs="Miriam"/>
          <w:sz w:val="20"/>
          <w:sz w:val="20"/>
          <w:szCs w:val="24"/>
          <w:rtl w:val="true"/>
        </w:rPr>
        <w:t>קלמנוביץ</w:t>
      </w:r>
      <w:r>
        <w:rPr>
          <w:rtl w:val="true"/>
        </w:rPr>
        <w:t xml:space="preserve"> קבעה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גירסתה של המתלוננת הייתה בעיני מהימנה ומשכנעת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מעבר לספק סביר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על אף התוכן הקשה של עדותה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היא דיברה באופן שקול ומתון</w:t>
      </w:r>
      <w:r>
        <w:rPr>
          <w:rFonts w:cs="Miriam" w:ascii="Miriam" w:hAnsi="Miriam"/>
          <w:sz w:val="20"/>
          <w:szCs w:val="24"/>
          <w:rtl w:val="true"/>
        </w:rPr>
        <w:t>.</w:t>
      </w:r>
      <w:r>
        <w:rPr>
          <w:rFonts w:cs="Miriam" w:ascii="Miriam" w:hAnsi="Miriam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היא זכרה את העובדות בבהירות וידעה להשיב לשאלות שהופנו אליה</w:t>
      </w:r>
      <w:r>
        <w:rPr>
          <w:rtl w:val="true"/>
        </w:rPr>
        <w:t xml:space="preserve">";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Miriam" w:hAnsi="Miriam" w:cs="Miriam"/>
          <w:sz w:val="20"/>
          <w:sz w:val="20"/>
          <w:szCs w:val="24"/>
          <w:rtl w:val="true"/>
        </w:rPr>
        <w:t>א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דראל</w:t>
      </w:r>
      <w:r>
        <w:rPr>
          <w:rtl w:val="true"/>
        </w:rPr>
        <w:t xml:space="preserve"> 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במקרה </w:t>
      </w:r>
      <w:r>
        <w:rPr>
          <w:rFonts w:ascii="Miriam" w:hAnsi="Miriam" w:cs="Miriam"/>
          <w:sz w:val="20"/>
          <w:sz w:val="20"/>
          <w:szCs w:val="24"/>
          <w:rtl w:val="true"/>
        </w:rPr>
        <w:t>זה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האופן שבו סיפרה ע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על שאירע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הטון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אופן הדיבור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ושפת הגוף שלה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היו מטלטלים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ועוד </w:t>
      </w:r>
      <w:r>
        <w:rPr>
          <w:rtl w:val="true"/>
        </w:rPr>
        <w:t>–</w:t>
      </w:r>
      <w:r>
        <w:rPr>
          <w:rtl w:val="true"/>
        </w:rPr>
        <w:t xml:space="preserve"> עדותה זו של המתלוננת לא עמדה לבדה</w:t>
      </w:r>
      <w:r>
        <w:rPr>
          <w:rtl w:val="true"/>
        </w:rPr>
        <w:t xml:space="preserve">, </w:t>
      </w:r>
      <w:r>
        <w:rPr>
          <w:rtl w:val="true"/>
        </w:rPr>
        <w:t>אלא חוזקה בחיזוקים משמעותיים נוספים</w:t>
      </w:r>
      <w:r>
        <w:rPr>
          <w:rtl w:val="true"/>
        </w:rPr>
        <w:t xml:space="preserve">, </w:t>
      </w:r>
      <w:r>
        <w:rPr>
          <w:rtl w:val="true"/>
        </w:rPr>
        <w:t>ועיקרם הם</w:t>
      </w:r>
      <w:r>
        <w:rPr>
          <w:rtl w:val="true"/>
        </w:rPr>
        <w:t xml:space="preserve">: </w:t>
      </w:r>
      <w:r>
        <w:rPr>
          <w:rtl w:val="true"/>
        </w:rPr>
        <w:t xml:space="preserve">מצבה הנפשי של המתלוננת </w:t>
      </w:r>
      <w:r>
        <w:rPr>
          <w:rtl w:val="true"/>
        </w:rPr>
        <w:t>(</w:t>
      </w:r>
      <w:r>
        <w:rPr>
          <w:rtl w:val="true"/>
        </w:rPr>
        <w:t xml:space="preserve">פסקאות </w:t>
      </w:r>
      <w:r>
        <w:rPr/>
        <w:t>41-40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>לצד עדותה של המטפלת הקודמת של המתלוננת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 xml:space="preserve">ויקטוריה רייכר על רמת הטראומה הקשה ממנה סובלת המתלוננת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 xml:space="preserve">סימפטומים המתאימים לנפגעי תקיפה מינית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>לצד עדויותיהם של מי שחלק חדר עם המתלוננת</w:t>
      </w:r>
      <w:r>
        <w:rPr>
          <w:rtl w:val="true"/>
        </w:rPr>
        <w:t xml:space="preserve">, </w:t>
      </w:r>
      <w:r>
        <w:rPr>
          <w:rtl w:val="true"/>
        </w:rPr>
        <w:t>המחנכת בביתה התגוררה המתלוננת</w:t>
      </w:r>
      <w:r>
        <w:rPr>
          <w:rtl w:val="true"/>
        </w:rPr>
        <w:t xml:space="preserve">, </w:t>
      </w:r>
      <w:r>
        <w:rPr>
          <w:rtl w:val="true"/>
        </w:rPr>
        <w:t>היועצת החינוכית</w:t>
      </w:r>
      <w:r>
        <w:rPr>
          <w:rtl w:val="true"/>
        </w:rPr>
        <w:t xml:space="preserve">, </w:t>
      </w:r>
      <w:r>
        <w:rPr>
          <w:rtl w:val="true"/>
        </w:rPr>
        <w:t>הפסיכולוגית גב</w:t>
      </w:r>
      <w:r>
        <w:rPr>
          <w:rtl w:val="true"/>
        </w:rPr>
        <w:t xml:space="preserve">' </w:t>
      </w:r>
      <w:r>
        <w:rPr>
          <w:rtl w:val="true"/>
        </w:rPr>
        <w:t>יעל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כהן</w:t>
      </w:r>
      <w:r>
        <w:rPr>
          <w:rtl w:val="true"/>
        </w:rPr>
        <w:t xml:space="preserve"> גרין והמטפלת הגב</w:t>
      </w:r>
      <w:r>
        <w:rPr>
          <w:rtl w:val="true"/>
        </w:rPr>
        <w:t xml:space="preserve">' </w:t>
      </w:r>
      <w:r>
        <w:rPr>
          <w:rtl w:val="true"/>
        </w:rPr>
        <w:t>ויקטוריה רייכר</w:t>
      </w:r>
      <w:r>
        <w:rPr>
          <w:rtl w:val="true"/>
        </w:rPr>
        <w:t xml:space="preserve">; </w:t>
      </w:r>
      <w:r>
        <w:rPr>
          <w:rtl w:val="true"/>
        </w:rPr>
        <w:t>אופן חשיפת הסיפור</w:t>
      </w:r>
      <w:r>
        <w:rPr>
          <w:rtl w:val="true"/>
        </w:rPr>
        <w:t xml:space="preserve">, </w:t>
      </w:r>
      <w:r>
        <w:rPr>
          <w:rtl w:val="true"/>
        </w:rPr>
        <w:t>והקושי שהיה כרוך בכך</w:t>
      </w:r>
      <w:r>
        <w:rPr>
          <w:rtl w:val="true"/>
        </w:rPr>
        <w:t xml:space="preserve">; </w:t>
      </w:r>
      <w:r>
        <w:rPr>
          <w:rtl w:val="true"/>
        </w:rPr>
        <w:t>מצבה הנפשי של המתלוננת בעת חשיפת הפגיעות המיניות</w:t>
      </w:r>
      <w:r>
        <w:rPr>
          <w:rtl w:val="true"/>
        </w:rPr>
        <w:t xml:space="preserve">; </w:t>
      </w:r>
      <w:r>
        <w:rPr>
          <w:rtl w:val="true"/>
        </w:rPr>
        <w:t>דאגתה של המתלוננת לשלום אחותה הקטנה דווקא</w:t>
      </w:r>
      <w:r>
        <w:rPr>
          <w:rtl w:val="true"/>
        </w:rPr>
        <w:t xml:space="preserve">, </w:t>
      </w:r>
      <w:r>
        <w:rPr>
          <w:rtl w:val="true"/>
        </w:rPr>
        <w:t xml:space="preserve">עד כדי פנייה לרשויות הרווחה בשנת </w:t>
      </w:r>
      <w:r>
        <w:rPr/>
        <w:t>2013</w:t>
      </w:r>
      <w:r>
        <w:rPr>
          <w:rtl w:val="true"/>
        </w:rPr>
        <w:t xml:space="preserve"> (</w:t>
      </w:r>
      <w:r>
        <w:rPr>
          <w:rtl w:val="true"/>
        </w:rPr>
        <w:t xml:space="preserve">פסקה </w:t>
      </w:r>
      <w:r>
        <w:rPr/>
        <w:t>109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>העדות על אודות השינוי המשמעותי במצבה הנפשי של המתלוננת לאחר אירוע החזרה 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tl w:val="true"/>
        </w:rPr>
        <w:t>–</w:t>
      </w:r>
      <w:r>
        <w:rPr>
          <w:rtl w:val="true"/>
        </w:rPr>
        <w:t xml:space="preserve"> העדר מניע משכנע מדוע תעליל המתלוננת על אביה עלילת שווא כה חמורה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ראיית חיזוק משמעותית נמצאה בכך שהמתלוננת דאגה להימנע מכל מפגש עם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מאז עזבה את בית משפחתה ועד להגשת התלונה </w:t>
      </w:r>
      <w:r>
        <w:rPr>
          <w:rtl w:val="true"/>
        </w:rPr>
        <w:t>–</w:t>
      </w:r>
      <w:r>
        <w:rPr>
          <w:rtl w:val="true"/>
        </w:rPr>
        <w:t xml:space="preserve"> תקופה בה עדיין שמרה המתלוננת על קשר עם יתר בני המשפחה</w:t>
      </w:r>
      <w:r>
        <w:rPr>
          <w:rtl w:val="true"/>
        </w:rPr>
        <w:t xml:space="preserve">, </w:t>
      </w:r>
      <w:r>
        <w:rPr>
          <w:rtl w:val="true"/>
        </w:rPr>
        <w:t>ואף הגיעה לבקרם מעת לעת</w:t>
      </w:r>
      <w:r>
        <w:rPr>
          <w:rtl w:val="true"/>
        </w:rPr>
        <w:t xml:space="preserve">. </w:t>
      </w:r>
      <w:r>
        <w:rPr>
          <w:rtl w:val="true"/>
        </w:rPr>
        <w:t>הימנעותה של המתלוננת מלהיפגש עם המערער בולטת על רקע העובדה</w:t>
      </w:r>
      <w:r>
        <w:rPr>
          <w:rtl w:val="true"/>
        </w:rPr>
        <w:t xml:space="preserve">, </w:t>
      </w:r>
      <w:r>
        <w:rPr>
          <w:rtl w:val="true"/>
        </w:rPr>
        <w:t>כי על</w:t>
      </w:r>
      <w:r>
        <w:rPr>
          <w:rtl w:val="true"/>
        </w:rPr>
        <w:t>-</w:t>
      </w:r>
      <w:r>
        <w:rPr>
          <w:rtl w:val="true"/>
        </w:rPr>
        <w:t>פי קביעותיו של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סבלה המתלוננת ממעשי אלימות דווקא מצד האם </w:t>
      </w:r>
      <w:r>
        <w:rPr>
          <w:rtl w:val="true"/>
        </w:rPr>
        <w:t>(</w:t>
      </w:r>
      <w:r>
        <w:rPr>
          <w:rtl w:val="true"/>
        </w:rPr>
        <w:t>עניין שלא הוזכר בכתב האישום</w:t>
      </w:r>
      <w:r>
        <w:rPr>
          <w:rtl w:val="true"/>
        </w:rPr>
        <w:t xml:space="preserve">; </w:t>
      </w:r>
      <w:r>
        <w:rPr>
          <w:rtl w:val="true"/>
        </w:rPr>
        <w:t xml:space="preserve">פסקה </w:t>
      </w:r>
      <w:r>
        <w:rPr/>
        <w:t>107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 xml:space="preserve">גם המערער וגם האם </w:t>
      </w:r>
      <w:r>
        <w:rPr>
          <w:rtl w:val="true"/>
        </w:rPr>
        <w:t>–</w:t>
      </w:r>
      <w:r>
        <w:rPr>
          <w:rtl w:val="true"/>
        </w:rPr>
        <w:t xml:space="preserve"> אישרו הימנעותה זו של המתלוננת</w:t>
      </w:r>
      <w:r>
        <w:rPr>
          <w:rtl w:val="true"/>
        </w:rPr>
        <w:t xml:space="preserve">. </w:t>
      </w:r>
      <w:r>
        <w:rPr>
          <w:rtl w:val="true"/>
        </w:rPr>
        <w:t>עוד נקבע לעניין זה</w:t>
      </w:r>
      <w:r>
        <w:rPr>
          <w:rtl w:val="true"/>
        </w:rPr>
        <w:t xml:space="preserve">, </w:t>
      </w:r>
      <w:r>
        <w:rPr>
          <w:rtl w:val="true"/>
        </w:rPr>
        <w:t>כי לא עלה בידי המערער לספק הסבר משכנע כלשהו לכך שלא יצר כל קשר עם המתלוננת לאחר עזיבתה את הבית</w:t>
      </w:r>
      <w:r>
        <w:rPr>
          <w:rtl w:val="true"/>
        </w:rPr>
        <w:t xml:space="preserve">, </w:t>
      </w:r>
      <w:r>
        <w:rPr>
          <w:rtl w:val="true"/>
        </w:rPr>
        <w:t>ובכלל זאת לא ניסה המערער לברר מדוע עזבה או ניסה לשכנעה לשוב</w:t>
      </w:r>
      <w:r>
        <w:rPr>
          <w:rtl w:val="true"/>
        </w:rPr>
        <w:t xml:space="preserve">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>לא סופק על</w:t>
      </w:r>
      <w:r>
        <w:rPr>
          <w:rtl w:val="true"/>
        </w:rPr>
        <w:t>-</w:t>
      </w:r>
      <w:r>
        <w:rPr>
          <w:rtl w:val="true"/>
        </w:rPr>
        <w:t>ידי המערער הסבר מדוע לאחר שדווח לו על</w:t>
      </w:r>
      <w:r>
        <w:rPr>
          <w:rtl w:val="true"/>
        </w:rPr>
        <w:t>-</w:t>
      </w:r>
      <w:r>
        <w:rPr>
          <w:rtl w:val="true"/>
        </w:rPr>
        <w:t xml:space="preserve">ידי בנו כי המתלוננת חותכת את עצמה </w:t>
      </w:r>
      <w:r>
        <w:rPr>
          <w:rtl w:val="true"/>
        </w:rPr>
        <w:t>–</w:t>
      </w:r>
      <w:r>
        <w:rPr>
          <w:rtl w:val="true"/>
        </w:rPr>
        <w:t xml:space="preserve"> לא נזדעק המערער ולא הושיט ידו כדי להושיעה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       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 xml:space="preserve">קביעותיו של בית משפט קמא אשר לעדות המערער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אל מול קביעותיו אלו של בית משפט קמא בדבר אמינותה האיתנה של עדות המתלוננת </w:t>
      </w:r>
      <w:r>
        <w:rPr>
          <w:rtl w:val="true"/>
        </w:rPr>
        <w:t>–</w:t>
      </w:r>
      <w:r>
        <w:rPr>
          <w:rtl w:val="true"/>
        </w:rPr>
        <w:t xml:space="preserve"> מצא בית המשפט את עדותו של המערער כבלתי מהימנה</w:t>
      </w:r>
      <w:r>
        <w:rPr>
          <w:rtl w:val="true"/>
        </w:rPr>
        <w:t xml:space="preserve">. </w:t>
      </w:r>
      <w:r>
        <w:rPr>
          <w:rtl w:val="true"/>
        </w:rPr>
        <w:t>בתוך כך נקבע</w:t>
      </w:r>
      <w:r>
        <w:rPr>
          <w:rtl w:val="true"/>
        </w:rPr>
        <w:t xml:space="preserve">, </w:t>
      </w:r>
      <w:r>
        <w:rPr>
          <w:rtl w:val="true"/>
        </w:rPr>
        <w:t xml:space="preserve">כי עדות המערער הייתה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מתמיהה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ולא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ניתן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בה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מענה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לשאלות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העולות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מעצמן</w:t>
      </w:r>
      <w:r>
        <w:rPr>
          <w:rtl w:val="true"/>
        </w:rPr>
        <w:t xml:space="preserve">", </w:t>
      </w:r>
      <w:r>
        <w:rPr>
          <w:rtl w:val="true"/>
        </w:rPr>
        <w:t xml:space="preserve">ואף נותר לפני בית המשפט הרושם בדבר תיאומן של עדויות בין עדי ההגנה מקרב בני משפחתו של המערער </w:t>
      </w:r>
      <w:r>
        <w:rPr>
          <w:rtl w:val="true"/>
        </w:rPr>
        <w:t>(</w:t>
      </w:r>
      <w:r>
        <w:rPr>
          <w:rtl w:val="true"/>
        </w:rPr>
        <w:t xml:space="preserve">פסקאות </w:t>
      </w:r>
      <w:r>
        <w:rPr/>
        <w:t>109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 xml:space="preserve">בית המשפט גם בחן את עדותה של האם לאורך הכרעת הדין </w:t>
      </w:r>
      <w:r>
        <w:rPr>
          <w:rtl w:val="true"/>
        </w:rPr>
        <w:t>–</w:t>
      </w:r>
      <w:r>
        <w:rPr>
          <w:rtl w:val="true"/>
        </w:rPr>
        <w:t xml:space="preserve"> ודחה אותה</w:t>
      </w:r>
      <w:r>
        <w:rPr>
          <w:rtl w:val="true"/>
        </w:rPr>
        <w:t xml:space="preserve">; </w:t>
      </w:r>
      <w:r>
        <w:rPr>
          <w:rtl w:val="true"/>
        </w:rPr>
        <w:t>וכן נבחנו עדויותיהם של האחות ש</w:t>
      </w:r>
      <w:r>
        <w:rPr>
          <w:rtl w:val="true"/>
        </w:rPr>
        <w:t xml:space="preserve">' </w:t>
      </w:r>
      <w:r>
        <w:rPr>
          <w:rtl w:val="true"/>
        </w:rPr>
        <w:t>ושל האח ד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וגם לגביהן נמצא</w:t>
      </w:r>
      <w:r>
        <w:rPr>
          <w:rtl w:val="true"/>
        </w:rPr>
        <w:t xml:space="preserve">, </w:t>
      </w:r>
      <w:r>
        <w:rPr>
          <w:rtl w:val="true"/>
        </w:rPr>
        <w:t>כי אין בית המשפט יכול לסמוך ידיו עליהן</w:t>
      </w:r>
      <w:r>
        <w:rPr>
          <w:rtl w:val="true"/>
        </w:rPr>
        <w:t xml:space="preserve">, </w:t>
      </w:r>
      <w:r>
        <w:rPr>
          <w:rtl w:val="true"/>
        </w:rPr>
        <w:t>וכך נקבע</w:t>
      </w:r>
      <w:r>
        <w:rPr>
          <w:rtl w:val="true"/>
        </w:rPr>
        <w:t>: "</w:t>
      </w:r>
      <w:r>
        <w:rPr>
          <w:rFonts w:ascii="Miriam" w:hAnsi="Miriam" w:cs="Miriam"/>
          <w:sz w:val="20"/>
          <w:sz w:val="20"/>
          <w:szCs w:val="24"/>
          <w:rtl w:val="true"/>
        </w:rPr>
        <w:t>בעניין האח ד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והאחות ש</w:t>
      </w:r>
      <w:r>
        <w:rPr>
          <w:rFonts w:cs="Miriam" w:ascii="Miriam" w:hAnsi="Miriam"/>
          <w:sz w:val="20"/>
          <w:szCs w:val="24"/>
          <w:rtl w:val="true"/>
        </w:rPr>
        <w:t xml:space="preserve">', </w:t>
      </w:r>
      <w:r>
        <w:rPr>
          <w:rFonts w:ascii="Miriam" w:hAnsi="Miriam" w:cs="Miriam"/>
          <w:sz w:val="20"/>
          <w:sz w:val="20"/>
          <w:szCs w:val="24"/>
          <w:rtl w:val="true"/>
        </w:rPr>
        <w:t>אסתפק באמירה כי היה ניכר שאלו גויסו לסייע להוריהם ויתכן כי בנסיבות המקרה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גילם במועדים הרלוונטיים וההשפעה ההורית עליהם – הם מאמינים בדברים עליהם העידו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עוד קבע בית המשפט לעניין זה</w:t>
      </w:r>
      <w:r>
        <w:rPr>
          <w:rtl w:val="true"/>
        </w:rPr>
        <w:t xml:space="preserve">, </w:t>
      </w:r>
      <w:r>
        <w:rPr>
          <w:rtl w:val="true"/>
        </w:rPr>
        <w:t>כי אין כל הסבר משכנע מדוע תמציא המתלוננת עלילת שווא כזו כנגד המערער</w:t>
      </w:r>
      <w:r>
        <w:rPr>
          <w:rtl w:val="true"/>
        </w:rPr>
        <w:t xml:space="preserve">, </w:t>
      </w:r>
      <w:r>
        <w:rPr>
          <w:rtl w:val="true"/>
        </w:rPr>
        <w:t>וכי היא עצמה משלמת על מעשיה מחיר כבד ביותר בדמות ניתוקה המוחלט ממשפחתה</w:t>
      </w:r>
      <w:r>
        <w:rPr>
          <w:rtl w:val="true"/>
        </w:rPr>
        <w:t>.</w:t>
      </w:r>
    </w:p>
    <w:p>
      <w:pPr>
        <w:pStyle w:val="Heading1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תסקיר נפגעת עבירה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18.09.2019</w:t>
      </w:r>
      <w:r>
        <w:rPr>
          <w:rtl w:val="true"/>
        </w:rPr>
        <w:t xml:space="preserve"> </w:t>
      </w:r>
      <w:r>
        <w:rPr>
          <w:rtl w:val="true"/>
        </w:rPr>
        <w:t xml:space="preserve">הונח לפני בית המשפט המחוזי תסקיר נפגע העבירה שנערך למתלוננת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tl w:val="true"/>
        </w:rPr>
        <w:t xml:space="preserve">). </w:t>
      </w:r>
      <w:r>
        <w:rPr>
          <w:rtl w:val="true"/>
        </w:rPr>
        <w:t>כפי שצוין בגזר הדין</w:t>
      </w:r>
      <w:r>
        <w:rPr>
          <w:rtl w:val="true"/>
        </w:rPr>
        <w:t xml:space="preserve">, </w:t>
      </w:r>
      <w:r>
        <w:rPr>
          <w:rtl w:val="true"/>
        </w:rPr>
        <w:t>מדובר בתסקיר מפורט המתייחס למהות הפגיעה ולנזקים הכרוכים 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בהתייחס לדרך בה הצליחה המתלוננת להתמודד עם הפגיעה במהלך התקופה בה זו ארעה</w:t>
      </w:r>
      <w:r>
        <w:rPr>
          <w:rtl w:val="true"/>
        </w:rPr>
        <w:t xml:space="preserve">, </w:t>
      </w:r>
      <w:r>
        <w:rPr>
          <w:rtl w:val="true"/>
        </w:rPr>
        <w:t>הן לדרך בה מצליחה המתלוננת להתמודד כעת עם הפגיעה הקשה שנותרה כתוצאה מאותם מעשים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מתייחס התסקיר לפגיעה שנגרמה למתלוננת בדרך תפיסת העולם והאפשרות לבטוח באחר</w:t>
      </w:r>
      <w:r>
        <w:rPr>
          <w:rtl w:val="true"/>
        </w:rPr>
        <w:t xml:space="preserve">. </w:t>
      </w:r>
      <w:r>
        <w:rPr>
          <w:rtl w:val="true"/>
        </w:rPr>
        <w:t>ההשפעה על יצירת קשרים</w:t>
      </w:r>
      <w:r>
        <w:rPr>
          <w:rtl w:val="true"/>
        </w:rPr>
        <w:t xml:space="preserve">, </w:t>
      </w:r>
      <w:r>
        <w:rPr>
          <w:rtl w:val="true"/>
        </w:rPr>
        <w:t>בדידות ותחושות נלוות לנוכח העובדה שבני המשפחה ניתקו עימה קשר</w:t>
      </w:r>
      <w:r>
        <w:rPr>
          <w:rtl w:val="true"/>
        </w:rPr>
        <w:t xml:space="preserve">, </w:t>
      </w:r>
      <w:r>
        <w:rPr>
          <w:rtl w:val="true"/>
        </w:rPr>
        <w:t>מחמת בחירתה להגיש תלונה כנגד ראש המשפחה</w:t>
      </w:r>
      <w:r>
        <w:rPr>
          <w:rtl w:val="true"/>
        </w:rPr>
        <w:t xml:space="preserve">. </w:t>
      </w:r>
      <w:r>
        <w:rPr>
          <w:rtl w:val="true"/>
        </w:rPr>
        <w:t>עוד נדרש התסקיר למערכת היחסים המשפחתית עם אחיי המתלוננת ותחושותיה ביחס אליהם</w:t>
      </w:r>
      <w:r>
        <w:rPr>
          <w:rtl w:val="true"/>
        </w:rPr>
        <w:t xml:space="preserve">, </w:t>
      </w:r>
      <w:r>
        <w:rPr>
          <w:rtl w:val="true"/>
        </w:rPr>
        <w:t>הן עת אירעו המעשים והן כעת</w:t>
      </w:r>
      <w:r>
        <w:rPr>
          <w:rtl w:val="true"/>
        </w:rPr>
        <w:t xml:space="preserve">, </w:t>
      </w:r>
      <w:r>
        <w:rPr>
          <w:rtl w:val="true"/>
        </w:rPr>
        <w:t>לאחר שניתקו עימה קשר ובחרו לגונן על האב</w:t>
      </w:r>
      <w:r>
        <w:rPr>
          <w:rtl w:val="true"/>
        </w:rPr>
        <w:t xml:space="preserve">. </w:t>
      </w:r>
      <w:r>
        <w:rPr>
          <w:rtl w:val="true"/>
        </w:rPr>
        <w:t>התסקיר מתייחס עוד לפוסט טראומה שנותרה אצל המתלוננת ודרכי ביטויה הפיזיים והנפשיים</w:t>
      </w:r>
      <w:r>
        <w:rPr>
          <w:rtl w:val="true"/>
        </w:rPr>
        <w:t xml:space="preserve">. </w:t>
      </w:r>
      <w:r>
        <w:rPr>
          <w:rtl w:val="true"/>
        </w:rPr>
        <w:t>התסקיר נדרש מנגד לתפקוד הגבוה של המתלוננת חרף אותה פגיעה ובכלל זה צוין</w:t>
      </w:r>
      <w:r>
        <w:rPr>
          <w:rtl w:val="true"/>
        </w:rPr>
        <w:t xml:space="preserve">, </w:t>
      </w:r>
      <w:r>
        <w:rPr>
          <w:rtl w:val="true"/>
        </w:rPr>
        <w:t>כי המתלוננת גויסה 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עבדה במסגרת קורס חובשים ואף פנתה לקורס קצינים</w:t>
      </w:r>
      <w:r>
        <w:rPr>
          <w:rtl w:val="true"/>
        </w:rPr>
        <w:t xml:space="preserve">. </w:t>
      </w:r>
      <w:r>
        <w:rPr>
          <w:rtl w:val="true"/>
        </w:rPr>
        <w:t xml:space="preserve">בשים לב לפגיעה ולדרך שיקומית ארוכה העומדת עוד בפני המתלוננת </w:t>
      </w:r>
      <w:r>
        <w:rPr>
          <w:rtl w:val="true"/>
        </w:rPr>
        <w:t>–</w:t>
      </w:r>
      <w:r>
        <w:rPr>
          <w:rtl w:val="true"/>
        </w:rPr>
        <w:t xml:space="preserve"> הומלץ להטיל על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פיצוי כספי משמעותי שיאפשר למתלוננת לעשות כן</w:t>
      </w:r>
      <w:r>
        <w:rPr>
          <w:rtl w:val="true"/>
        </w:rPr>
        <w:t>.</w:t>
      </w:r>
    </w:p>
    <w:p>
      <w:pPr>
        <w:pStyle w:val="Heading1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גזר דינו של בית המשפט המחוזי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המתלוננת התייצבה בעצמה לדיון בו נשמעו הטיעונים לעונש ביום </w:t>
      </w:r>
      <w:r>
        <w:rPr>
          <w:rFonts w:cs="Century" w:ascii="Century" w:hAnsi="Century"/>
        </w:rPr>
        <w:t>19.09.2019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שעולה מגזר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המתלוננת ציינה כי החלה את התהליך בפחד שלא יאמינו לדבריה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ומעיון בדיעבד בפרוטוקולי הדיונים אף ראתה כי מחמת קשייה השיבה בציניות ובהומור שחור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הדגישה כי ככל שמשמעות פסיקת פיצויים כנגד אביה היא כי אלו יילקחו מקופת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יפגעו באחיה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היא מעוניינת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תואר במסגרת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אף שדבריה נאמרו כאשר אביה אינו נוכח באולם אלא צופה באמצעות וידאו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Miriam" w:hAnsi="Miriam" w:cs="Miriam"/>
          <w:szCs w:val="24"/>
          <w:rtl w:val="true"/>
        </w:rPr>
        <w:t>היה ניכר הקושי שלה לבטא את עצמה ולשוב ולדבר על המעשים ובתום דבריה נותרה התחושה כי רצתה לומר דברים נוספים אך לא הצליחה להביעם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בטיעוניה לעונש עמדה המשיבה על החומרה המיוחדת עת עסקינן לא רק בעבירות מין אלא בעבירות מין בקטינה כאשר אלו מבוצעות בתדירות על פני שנים ובתוך המשפחה</w:t>
      </w:r>
      <w:r>
        <w:rPr>
          <w:rtl w:val="true"/>
        </w:rPr>
        <w:t xml:space="preserve">, </w:t>
      </w:r>
      <w:r>
        <w:rPr>
          <w:rtl w:val="true"/>
        </w:rPr>
        <w:t>תוך גילוי עריות</w:t>
      </w:r>
      <w:r>
        <w:rPr>
          <w:rtl w:val="true"/>
        </w:rPr>
        <w:t xml:space="preserve">. </w:t>
      </w:r>
      <w:r>
        <w:rPr>
          <w:rtl w:val="true"/>
        </w:rPr>
        <w:t>בתגובה לדברי עדי ההגנה של הנאשם</w:t>
      </w:r>
      <w:r>
        <w:rPr>
          <w:rtl w:val="true"/>
        </w:rPr>
        <w:t xml:space="preserve">, </w:t>
      </w:r>
      <w:r>
        <w:rPr>
          <w:rtl w:val="true"/>
        </w:rPr>
        <w:t>הדגישה המשיבה כי אין ניתן להתייחס רק לחלק המואר שהיה נחלת המשפחה ויש להתייחס גם לצד האפל והחשוך אשר אף הוא שרר שם</w:t>
      </w:r>
      <w:r>
        <w:rPr>
          <w:rtl w:val="true"/>
        </w:rPr>
        <w:t xml:space="preserve">. </w:t>
      </w:r>
      <w:r>
        <w:rPr>
          <w:rtl w:val="true"/>
        </w:rPr>
        <w:t>כן הודגשה העובדה שהפגיעה הייתה בגיל בו טרם יכלה הנפגעת להבין את מהותה</w:t>
      </w:r>
      <w:r>
        <w:rPr>
          <w:rtl w:val="true"/>
        </w:rPr>
        <w:t xml:space="preserve">. </w:t>
      </w:r>
      <w:r>
        <w:rPr>
          <w:rtl w:val="true"/>
        </w:rPr>
        <w:t>בתוך כך נטען</w:t>
      </w:r>
      <w:r>
        <w:rPr>
          <w:rtl w:val="true"/>
        </w:rPr>
        <w:t xml:space="preserve">, </w:t>
      </w:r>
      <w:r>
        <w:rPr>
          <w:rtl w:val="true"/>
        </w:rPr>
        <w:t>כי לא די להתייחס למספר הפגיעות השבועיות אלא יש להבין כי מדובר למעשה ברצף סמיך</w:t>
      </w:r>
      <w:r>
        <w:rPr>
          <w:rtl w:val="true"/>
        </w:rPr>
        <w:t xml:space="preserve">, </w:t>
      </w:r>
      <w:r>
        <w:rPr>
          <w:rtl w:val="true"/>
        </w:rPr>
        <w:t>בו הנפגעת חיה בפחד מתמיד</w:t>
      </w:r>
      <w:r>
        <w:rPr>
          <w:rtl w:val="true"/>
        </w:rPr>
        <w:t xml:space="preserve">. </w:t>
      </w:r>
      <w:r>
        <w:rPr>
          <w:rtl w:val="true"/>
        </w:rPr>
        <w:t>פחד מהפגיעה הצפויה להתרחש בסמוך</w:t>
      </w:r>
      <w:r>
        <w:rPr>
          <w:rtl w:val="true"/>
        </w:rPr>
        <w:t xml:space="preserve">, </w:t>
      </w:r>
      <w:r>
        <w:rPr>
          <w:rtl w:val="true"/>
        </w:rPr>
        <w:t xml:space="preserve">פחד מהכאב בעקבותיה ופחד מהפגיעה הבאה </w:t>
      </w:r>
      <w:r>
        <w:rPr>
          <w:rtl w:val="true"/>
        </w:rPr>
        <w:t>–</w:t>
      </w:r>
      <w:r>
        <w:rPr>
          <w:rtl w:val="true"/>
        </w:rPr>
        <w:t xml:space="preserve"> הצפויה ברצף הפגיעות המתמשכות</w:t>
      </w:r>
      <w:r>
        <w:rPr>
          <w:rtl w:val="true"/>
        </w:rPr>
        <w:t xml:space="preserve">.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כי יש לראות את הפגיעות ואת החששות בין פגיעה אחת לשנייה כמסדרון אחד ממושך</w:t>
      </w:r>
      <w:r>
        <w:rPr>
          <w:rtl w:val="true"/>
        </w:rPr>
        <w:t xml:space="preserve">. </w:t>
      </w:r>
      <w:r>
        <w:rPr>
          <w:rtl w:val="true"/>
        </w:rPr>
        <w:t>המשיבה הפנתה גם לעובדה שהמתלוננת לא ישנה בלילות מחמת חששותיה</w:t>
      </w:r>
      <w:r>
        <w:rPr>
          <w:rtl w:val="true"/>
        </w:rPr>
        <w:t xml:space="preserve">. </w:t>
      </w:r>
      <w:r>
        <w:rPr>
          <w:rtl w:val="true"/>
        </w:rPr>
        <w:t>היא הוסיפה וטענה כי הדבר ניכר עד היום בגופה הזעיר של המתלוננת</w:t>
      </w:r>
      <w:r>
        <w:rPr>
          <w:rtl w:val="true"/>
        </w:rPr>
        <w:t xml:space="preserve">, </w:t>
      </w:r>
      <w:r>
        <w:rPr>
          <w:rtl w:val="true"/>
        </w:rPr>
        <w:t>אשר עודנה מתקשה לישון בלילות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כי על הקושי של המתלוננת לבטא רגשות</w:t>
      </w:r>
      <w:r>
        <w:rPr>
          <w:rtl w:val="true"/>
        </w:rPr>
        <w:t xml:space="preserve">, </w:t>
      </w:r>
      <w:r>
        <w:rPr>
          <w:rtl w:val="true"/>
        </w:rPr>
        <w:t>היה ניתן להתרשם באופן ישיר עת ניסתה להתבטא בדיון בו נשמעו הטיעונים לעונש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 xml:space="preserve">המשיבה הדגישה </w:t>
      </w:r>
      <w:r>
        <w:rPr>
          <w:rtl w:val="true"/>
        </w:rPr>
        <w:t>–</w:t>
      </w:r>
      <w:r>
        <w:rPr>
          <w:rtl w:val="true"/>
        </w:rPr>
        <w:t xml:space="preserve"> כי המערער בחר לטעון לחפותו</w:t>
      </w:r>
      <w:r>
        <w:rPr>
          <w:rtl w:val="true"/>
        </w:rPr>
        <w:t xml:space="preserve">. </w:t>
      </w:r>
      <w:r>
        <w:rPr>
          <w:rtl w:val="true"/>
        </w:rPr>
        <w:t>הוא לא חסך מבתו את הצורך להעיד על הדברים ולשחזרם</w:t>
      </w:r>
      <w:r>
        <w:rPr>
          <w:rtl w:val="true"/>
        </w:rPr>
        <w:t xml:space="preserve">, </w:t>
      </w:r>
      <w:r>
        <w:rPr>
          <w:rtl w:val="true"/>
        </w:rPr>
        <w:t>והדבר היה כרוך מטבע הדברים בהשקעת זמן שיפוטי רב</w:t>
      </w:r>
      <w:r>
        <w:rPr>
          <w:rtl w:val="true"/>
        </w:rPr>
        <w:t xml:space="preserve">. </w:t>
      </w:r>
      <w:r>
        <w:rPr>
          <w:rtl w:val="true"/>
        </w:rPr>
        <w:t>עוד הרחיבה המשיבה בנוגע לנזק שנותר אצל המתלוננת וימשיך להשפיע על חייה</w:t>
      </w:r>
      <w:r>
        <w:rPr>
          <w:rtl w:val="true"/>
        </w:rPr>
        <w:t xml:space="preserve">, </w:t>
      </w:r>
      <w:r>
        <w:rPr>
          <w:rtl w:val="true"/>
        </w:rPr>
        <w:t>כפי שעולה מתסקיר נפגע עבירה שניתן בעניינה</w:t>
      </w:r>
      <w:r>
        <w:rPr>
          <w:rtl w:val="true"/>
        </w:rPr>
        <w:t xml:space="preserve">. </w:t>
      </w:r>
      <w:r>
        <w:rPr>
          <w:rtl w:val="true"/>
        </w:rPr>
        <w:t xml:space="preserve">פורטו הערכים הנפגעים בעבירות בהן הורשע המערער והודגש כי אין ליתן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הנחת כמות</w:t>
      </w:r>
      <w:r>
        <w:rPr>
          <w:rtl w:val="true"/>
        </w:rPr>
        <w:t xml:space="preserve">". </w:t>
      </w:r>
      <w:r>
        <w:rPr>
          <w:rtl w:val="true"/>
        </w:rPr>
        <w:t>העונש צריך להיות מרתיע באופן שלא יעלה בדעתו של עבריין כי לאחר שביצע עבירה אחת</w:t>
      </w:r>
      <w:r>
        <w:rPr>
          <w:rtl w:val="true"/>
        </w:rPr>
        <w:t xml:space="preserve">, </w:t>
      </w:r>
      <w:r>
        <w:rPr>
          <w:rtl w:val="true"/>
        </w:rPr>
        <w:t>הרי הנפקות של חזרה על המעשה לא תהא משמעותית</w:t>
      </w:r>
      <w:r>
        <w:rPr>
          <w:rtl w:val="true"/>
        </w:rPr>
        <w:t xml:space="preserve">. </w:t>
      </w:r>
      <w:r>
        <w:rPr>
          <w:rtl w:val="true"/>
        </w:rPr>
        <w:t>הודגשה גם הפגיעה הישירה במתלוננת אשר אמרה לאביה כי כואב לה</w:t>
      </w:r>
      <w:r>
        <w:rPr>
          <w:rtl w:val="true"/>
        </w:rPr>
        <w:t xml:space="preserve">, </w:t>
      </w:r>
      <w:r>
        <w:rPr>
          <w:rtl w:val="true"/>
        </w:rPr>
        <w:t xml:space="preserve">אך זה בחר להמשיך במעשיו ולומר למתלוננת כי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זה לא משנה</w:t>
      </w:r>
      <w:r>
        <w:rPr>
          <w:rtl w:val="true"/>
        </w:rPr>
        <w:t xml:space="preserve">". </w:t>
      </w:r>
      <w:r>
        <w:rPr>
          <w:rtl w:val="true"/>
        </w:rPr>
        <w:t>המשיבה אף הפנתה לפסיקה נרחבת</w:t>
      </w:r>
      <w:r>
        <w:rPr>
          <w:rtl w:val="true"/>
        </w:rPr>
        <w:t xml:space="preserve">, </w:t>
      </w:r>
      <w:r>
        <w:rPr>
          <w:rtl w:val="true"/>
        </w:rPr>
        <w:t>אליה נדרש בית משפט קמא במסגרת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ולבסוף ביקשה כי מתחם הענישה הראוי יעמוד על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>ובתוככי מתחם זה</w:t>
      </w:r>
      <w:r>
        <w:rPr>
          <w:rtl w:val="true"/>
        </w:rPr>
        <w:t xml:space="preserve">, </w:t>
      </w:r>
      <w:r>
        <w:rPr>
          <w:rtl w:val="true"/>
        </w:rPr>
        <w:t>ביקשה המשיבה להעמיד את עונשו של הנאשם בחלק האמצעי של המתחם</w:t>
      </w:r>
      <w:r>
        <w:rPr>
          <w:rtl w:val="true"/>
        </w:rPr>
        <w:t xml:space="preserve">, </w:t>
      </w:r>
      <w:r>
        <w:rPr>
          <w:rtl w:val="true"/>
        </w:rPr>
        <w:t>וכן לפסוק פיצויים מכסימליים למתלוננת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המערער מצדו המשיך לטעון לחפותו</w:t>
      </w:r>
      <w:r>
        <w:rPr>
          <w:rtl w:val="true"/>
        </w:rPr>
        <w:t xml:space="preserve">. </w:t>
      </w:r>
      <w:r>
        <w:rPr>
          <w:rtl w:val="true"/>
        </w:rPr>
        <w:t>נטען כי הוא אהוד על בני ביתו ואלה משתוקקים לחזרתו לחיקם</w:t>
      </w:r>
      <w:r>
        <w:rPr>
          <w:rtl w:val="true"/>
        </w:rPr>
        <w:t xml:space="preserve">, </w:t>
      </w:r>
      <w:r>
        <w:rPr>
          <w:rtl w:val="true"/>
        </w:rPr>
        <w:t>וכן כי במרוצת השנים פרנס את המשפחה בכבוד ותוך עבודה קשה</w:t>
      </w:r>
      <w:r>
        <w:rPr>
          <w:rtl w:val="true"/>
        </w:rPr>
        <w:t xml:space="preserve">. </w:t>
      </w:r>
      <w:r>
        <w:rPr>
          <w:rtl w:val="true"/>
        </w:rPr>
        <w:t>אף שאין למשפחה חסכונות ואין בחזקתם דירה לא החסיר האב דבר מילדיו</w:t>
      </w:r>
      <w:r>
        <w:rPr>
          <w:rtl w:val="true"/>
        </w:rPr>
        <w:t xml:space="preserve">, </w:t>
      </w:r>
      <w:r>
        <w:rPr>
          <w:rtl w:val="true"/>
        </w:rPr>
        <w:t>ודאג לחינוכם ולהשכלתם</w:t>
      </w:r>
      <w:r>
        <w:rPr>
          <w:rtl w:val="true"/>
        </w:rPr>
        <w:t xml:space="preserve">. </w:t>
      </w:r>
      <w:r>
        <w:rPr>
          <w:rtl w:val="true"/>
        </w:rPr>
        <w:t>בית משפט קמא הופנה בתוך כך לפער בין תיאור המערער על</w:t>
      </w:r>
      <w:r>
        <w:rPr>
          <w:rtl w:val="true"/>
        </w:rPr>
        <w:t>-</w:t>
      </w:r>
      <w:r>
        <w:rPr>
          <w:rtl w:val="true"/>
        </w:rPr>
        <w:t>ידי המתלוננת לבין תיאורו על</w:t>
      </w:r>
      <w:r>
        <w:rPr>
          <w:rtl w:val="true"/>
        </w:rPr>
        <w:t>-</w:t>
      </w:r>
      <w:r>
        <w:rPr>
          <w:rtl w:val="true"/>
        </w:rPr>
        <w:t>ידי אחיה</w:t>
      </w:r>
      <w:r>
        <w:rPr>
          <w:rtl w:val="true"/>
        </w:rPr>
        <w:t xml:space="preserve">. </w:t>
      </w:r>
      <w:r>
        <w:rPr>
          <w:rtl w:val="true"/>
        </w:rPr>
        <w:t>מאחר שבית המשפט הצביע אגב מתן ההכרעה על קשיים שעלו נטען</w:t>
      </w:r>
      <w:r>
        <w:rPr>
          <w:rtl w:val="true"/>
        </w:rPr>
        <w:t xml:space="preserve">, </w:t>
      </w:r>
      <w:r>
        <w:rPr>
          <w:rtl w:val="true"/>
        </w:rPr>
        <w:t>כי ראוי שחרף ההרשעה ישקף גזר הדין הקלה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 בכך שחלק מטענות המתלוננת אינן ניתנות לבדיקה אובייקטיבית</w:t>
      </w:r>
      <w:r>
        <w:rPr>
          <w:rtl w:val="true"/>
        </w:rPr>
        <w:t xml:space="preserve">. </w:t>
      </w:r>
      <w:r>
        <w:rPr>
          <w:rtl w:val="true"/>
        </w:rPr>
        <w:t>התבקשו רחמים על המערער ועל בני משפחתו והובהר כי אין מקור לתשלום פיצויים</w:t>
      </w:r>
      <w:r>
        <w:rPr>
          <w:rtl w:val="true"/>
        </w:rPr>
        <w:t xml:space="preserve">, </w:t>
      </w:r>
      <w:r>
        <w:rPr>
          <w:rtl w:val="true"/>
        </w:rPr>
        <w:t xml:space="preserve">וככל שאלה ישולמו </w:t>
      </w:r>
      <w:r>
        <w:rPr>
          <w:rtl w:val="true"/>
        </w:rPr>
        <w:t>–</w:t>
      </w:r>
      <w:r>
        <w:rPr>
          <w:rtl w:val="true"/>
        </w:rPr>
        <w:t xml:space="preserve"> יהא הדבר מהתקציב המשפחתי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עת ניתנה למערער האפשרות לשאת מילים אחרונות בטרם גזירת הדין</w:t>
      </w:r>
      <w:r>
        <w:rPr>
          <w:rtl w:val="true"/>
        </w:rPr>
        <w:t xml:space="preserve">, </w:t>
      </w:r>
      <w:r>
        <w:rPr>
          <w:rtl w:val="true"/>
        </w:rPr>
        <w:t>הוא בחר להקריא מהכתוב</w:t>
      </w:r>
      <w:r>
        <w:rPr>
          <w:rtl w:val="true"/>
        </w:rPr>
        <w:t xml:space="preserve">. </w:t>
      </w:r>
      <w:r>
        <w:rPr>
          <w:rtl w:val="true"/>
        </w:rPr>
        <w:t>כפי שעולה מגזר הדין</w:t>
      </w:r>
      <w:r>
        <w:rPr>
          <w:rtl w:val="true"/>
        </w:rPr>
        <w:t xml:space="preserve">, </w:t>
      </w:r>
      <w:r>
        <w:rPr>
          <w:rtl w:val="true"/>
        </w:rPr>
        <w:t>בדבריו לא הביע המערער חרטה ולא ביקש מחילה אלא הוסיף לעמוד ולטעון לחפותו</w:t>
      </w:r>
      <w:r>
        <w:rPr>
          <w:rtl w:val="true"/>
        </w:rPr>
        <w:t xml:space="preserve">. </w:t>
      </w:r>
      <w:r>
        <w:rPr>
          <w:rtl w:val="true"/>
        </w:rPr>
        <w:t>הוא טען כי תמיד נהג לפשפש במעשיו וכי הוא רחמן וטוב לב</w:t>
      </w:r>
      <w:r>
        <w:rPr>
          <w:rtl w:val="true"/>
        </w:rPr>
        <w:t xml:space="preserve">. </w:t>
      </w:r>
      <w:r>
        <w:rPr>
          <w:rtl w:val="true"/>
        </w:rPr>
        <w:t>הוא החמיא לחינוך שניתן בבית ולטיפול המסור שקיבלו ילדיו גם מאשתו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אשמתו בכך שבעת שבחרו להיות דתיים הוא לא חזר בתשובה שלמה</w:t>
      </w:r>
      <w:r>
        <w:rPr>
          <w:rtl w:val="true"/>
        </w:rPr>
        <w:t xml:space="preserve">. </w:t>
      </w:r>
      <w:r>
        <w:rPr>
          <w:rtl w:val="true"/>
        </w:rPr>
        <w:t xml:space="preserve">הוא אשם גם בכך שלא דיבר בכבוד להוריו ודיבר לשון הרע </w:t>
      </w:r>
      <w:r>
        <w:rPr>
          <w:rtl w:val="true"/>
        </w:rPr>
        <w:t>–</w:t>
      </w:r>
      <w:r>
        <w:rPr>
          <w:rtl w:val="true"/>
        </w:rPr>
        <w:t xml:space="preserve"> אך לעזיבה של המתלוננת את הבית אין כל יסוד פלילי</w:t>
      </w:r>
      <w:r>
        <w:rPr>
          <w:rtl w:val="true"/>
        </w:rPr>
        <w:t xml:space="preserve">, </w:t>
      </w:r>
      <w:r>
        <w:rPr>
          <w:rtl w:val="true"/>
        </w:rPr>
        <w:t>אלא יסוד חברתי</w:t>
      </w:r>
      <w:r>
        <w:rPr>
          <w:rtl w:val="true"/>
        </w:rPr>
        <w:t xml:space="preserve">. </w:t>
      </w:r>
      <w:r>
        <w:rPr>
          <w:rtl w:val="true"/>
        </w:rPr>
        <w:t>בתו ראתה לטענתו בתים אחרים בהם נשמרת הדת באופן שונה והדבר גרם למחלוקת ולעזיבה</w:t>
      </w:r>
      <w:r>
        <w:rPr>
          <w:rtl w:val="true"/>
        </w:rPr>
        <w:t xml:space="preserve">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>היא לא הייתה שותפה לדרך בה ראו הוריה את התרבות הישראלית ההמונית</w:t>
      </w:r>
      <w:r>
        <w:rPr>
          <w:rtl w:val="true"/>
        </w:rPr>
        <w:t xml:space="preserve">. </w:t>
      </w:r>
      <w:r>
        <w:rPr>
          <w:rtl w:val="true"/>
        </w:rPr>
        <w:t>לדבריו הפצת השקר על</w:t>
      </w:r>
      <w:r>
        <w:rPr>
          <w:rtl w:val="true"/>
        </w:rPr>
        <w:t>-</w:t>
      </w:r>
      <w:r>
        <w:rPr>
          <w:rtl w:val="true"/>
        </w:rPr>
        <w:t>ידה כעת מהווה את דרכה להיכנס לחברה הישראלית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הנאשם שב והעלה טענות מדוע לא ניתן לקבל את גרסת המתלוננת באשר לפגיעתו בה בפעם האחרונה עת שב מטיול בחו</w:t>
      </w:r>
      <w:r>
        <w:rPr>
          <w:rtl w:val="true"/>
        </w:rPr>
        <w:t>"</w:t>
      </w:r>
      <w:r>
        <w:rPr>
          <w:rtl w:val="true"/>
        </w:rPr>
        <w:t>ל עם אשתו ובנו ד</w:t>
      </w:r>
      <w:r>
        <w:rPr>
          <w:rtl w:val="true"/>
        </w:rPr>
        <w:t xml:space="preserve">'. </w:t>
      </w:r>
      <w:r>
        <w:rPr>
          <w:rtl w:val="true"/>
        </w:rPr>
        <w:t xml:space="preserve">הוא שב וטען לחפותו אף שבמשך </w:t>
      </w:r>
      <w:r>
        <w:rPr>
          <w:rtl w:val="true"/>
        </w:rPr>
        <w:t>כש</w:t>
      </w:r>
      <w:r>
        <w:rPr>
          <w:rtl w:val="true"/>
        </w:rPr>
        <w:t>נ</w:t>
      </w:r>
      <w:r>
        <w:rPr>
          <w:rtl w:val="true"/>
        </w:rPr>
        <w:t>תיים</w:t>
      </w:r>
      <w:r>
        <w:rPr>
          <w:rtl w:val="true"/>
        </w:rPr>
        <w:t xml:space="preserve"> כבר מעלילים עליו והוא סובל מבוז</w:t>
      </w:r>
      <w:r>
        <w:rPr>
          <w:rtl w:val="true"/>
        </w:rPr>
        <w:t xml:space="preserve">. </w:t>
      </w:r>
      <w:r>
        <w:rPr>
          <w:rtl w:val="true"/>
        </w:rPr>
        <w:t>הוא תיאר טלטלותיו בדרכו לדיונים ושב וטען כי בתו משקרת ככל הנראה מחמת שנאה שאין הוא יודע את יסודותיה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מנה המערער סיבות אפשריות לשנאה שרוחשת המתלוננת כלפיו</w:t>
      </w:r>
      <w:r>
        <w:rPr>
          <w:rtl w:val="true"/>
        </w:rPr>
        <w:t xml:space="preserve">, </w:t>
      </w:r>
      <w:r>
        <w:rPr>
          <w:rtl w:val="true"/>
        </w:rPr>
        <w:t xml:space="preserve">ובהן </w:t>
      </w:r>
      <w:r>
        <w:rPr>
          <w:rtl w:val="true"/>
        </w:rPr>
        <w:t>–</w:t>
      </w:r>
      <w:r>
        <w:rPr>
          <w:rtl w:val="true"/>
        </w:rPr>
        <w:t xml:space="preserve"> אירוע בו יצא עם תחתוני בוקסר מהמקלחת בעת כניסת השבת</w:t>
      </w:r>
      <w:r>
        <w:rPr>
          <w:rtl w:val="true"/>
        </w:rPr>
        <w:t xml:space="preserve">; </w:t>
      </w:r>
      <w:r>
        <w:rPr>
          <w:rtl w:val="true"/>
        </w:rPr>
        <w:t>העובדה שאמר לה ביום חורף ללבוש בגד חם</w:t>
      </w:r>
      <w:r>
        <w:rPr>
          <w:rtl w:val="true"/>
        </w:rPr>
        <w:t xml:space="preserve">; </w:t>
      </w:r>
      <w:r>
        <w:rPr>
          <w:rtl w:val="true"/>
        </w:rPr>
        <w:t>קנאתה באחיה</w:t>
      </w:r>
      <w:r>
        <w:rPr>
          <w:rtl w:val="true"/>
        </w:rPr>
        <w:t xml:space="preserve">; </w:t>
      </w:r>
      <w:r>
        <w:rPr>
          <w:rtl w:val="true"/>
        </w:rPr>
        <w:t>היעדר חינוך מספק</w:t>
      </w:r>
      <w:r>
        <w:rPr>
          <w:rtl w:val="true"/>
        </w:rPr>
        <w:t xml:space="preserve">; </w:t>
      </w:r>
      <w:r>
        <w:rPr>
          <w:rtl w:val="true"/>
        </w:rPr>
        <w:t>והיעדר תשומת לב</w:t>
      </w:r>
      <w:r>
        <w:rPr>
          <w:rtl w:val="true"/>
        </w:rPr>
        <w:t xml:space="preserve">. </w:t>
      </w:r>
      <w:r>
        <w:rPr>
          <w:rtl w:val="true"/>
        </w:rPr>
        <w:t>עוד טען המערער</w:t>
      </w:r>
      <w:r>
        <w:rPr>
          <w:rtl w:val="true"/>
        </w:rPr>
        <w:t xml:space="preserve">, </w:t>
      </w:r>
      <w:r>
        <w:rPr>
          <w:rtl w:val="true"/>
        </w:rPr>
        <w:t>כי המתלוננת החלה להציג את עצמה כמסכנה בעיני חברות</w:t>
      </w:r>
      <w:r>
        <w:rPr>
          <w:rtl w:val="true"/>
        </w:rPr>
        <w:t xml:space="preserve">, </w:t>
      </w:r>
      <w:r>
        <w:rPr>
          <w:rtl w:val="true"/>
        </w:rPr>
        <w:t xml:space="preserve">מחנכות ועובדות סוציאליות </w:t>
      </w:r>
      <w:r>
        <w:rPr>
          <w:rtl w:val="true"/>
        </w:rPr>
        <w:t>–</w:t>
      </w:r>
      <w:r>
        <w:rPr>
          <w:rtl w:val="true"/>
        </w:rPr>
        <w:t xml:space="preserve"> ולבסוף בדתה שקרים מפחידים ומצערים ככל הניתן ביחס להתנהלות בני המשפחה</w:t>
      </w:r>
      <w:r>
        <w:rPr>
          <w:rtl w:val="true"/>
        </w:rPr>
        <w:t xml:space="preserve">, </w:t>
      </w:r>
      <w:r>
        <w:rPr>
          <w:rtl w:val="true"/>
        </w:rPr>
        <w:t>ובראשם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במסגרת גזר הדין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הערכים החברתיים המוגנים בהם פגע המערער וכן על חומרת נסיבות מעשיו</w:t>
      </w:r>
      <w:r>
        <w:rPr>
          <w:rtl w:val="true"/>
        </w:rPr>
        <w:t xml:space="preserve">. </w:t>
      </w:r>
      <w:r>
        <w:rPr>
          <w:rtl w:val="true"/>
        </w:rPr>
        <w:t>דגש מיוחד ניתן לכך שבביצוען של עבירות המין בהן הורשע המערער</w:t>
      </w:r>
      <w:r>
        <w:rPr>
          <w:rtl w:val="true"/>
        </w:rPr>
        <w:t xml:space="preserve">, </w:t>
      </w:r>
      <w:r>
        <w:rPr>
          <w:rtl w:val="true"/>
        </w:rPr>
        <w:t>נגרמת פגיעה קשה לשלום המתלוננת</w:t>
      </w:r>
      <w:r>
        <w:rPr>
          <w:rtl w:val="true"/>
        </w:rPr>
        <w:t xml:space="preserve">, </w:t>
      </w:r>
      <w:r>
        <w:rPr>
          <w:rtl w:val="true"/>
        </w:rPr>
        <w:t>לגופה ולנפשה</w:t>
      </w:r>
      <w:r>
        <w:rPr>
          <w:rtl w:val="true"/>
        </w:rPr>
        <w:t xml:space="preserve">; </w:t>
      </w:r>
      <w:r>
        <w:rPr>
          <w:rtl w:val="true"/>
        </w:rPr>
        <w:t>ולצד זאת</w:t>
      </w:r>
      <w:r>
        <w:rPr>
          <w:rtl w:val="true"/>
        </w:rPr>
        <w:t xml:space="preserve">, </w:t>
      </w:r>
      <w:r>
        <w:rPr>
          <w:rtl w:val="true"/>
        </w:rPr>
        <w:t>לפגיעה בפרטיותה</w:t>
      </w:r>
      <w:r>
        <w:rPr>
          <w:rtl w:val="true"/>
        </w:rPr>
        <w:t xml:space="preserve">, </w:t>
      </w:r>
      <w:r>
        <w:rPr>
          <w:rtl w:val="true"/>
        </w:rPr>
        <w:t>ובזכותה לאוטונומיה על גופה ובכל שיעשה בו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כך צוין</w:t>
      </w:r>
      <w:r>
        <w:rPr>
          <w:rtl w:val="true"/>
        </w:rPr>
        <w:t xml:space="preserve">, </w:t>
      </w:r>
      <w:r>
        <w:rPr>
          <w:rtl w:val="true"/>
        </w:rPr>
        <w:t>כי בעוד שהמתלוננת שמה מבטחה באביה</w:t>
      </w:r>
      <w:r>
        <w:rPr>
          <w:rtl w:val="true"/>
        </w:rPr>
        <w:t xml:space="preserve">, </w:t>
      </w:r>
      <w:r>
        <w:rPr>
          <w:rtl w:val="true"/>
        </w:rPr>
        <w:t>עצמה ובשרה</w:t>
      </w:r>
      <w:r>
        <w:rPr>
          <w:rtl w:val="true"/>
        </w:rPr>
        <w:t xml:space="preserve">, </w:t>
      </w:r>
      <w:r>
        <w:rPr>
          <w:rtl w:val="true"/>
        </w:rPr>
        <w:t>הרי זה ניצל את תומתה</w:t>
      </w:r>
      <w:r>
        <w:rPr>
          <w:rtl w:val="true"/>
        </w:rPr>
        <w:t xml:space="preserve">, </w:t>
      </w:r>
      <w:r>
        <w:rPr>
          <w:rtl w:val="true"/>
        </w:rPr>
        <w:t xml:space="preserve">תלותה בו ומבטחה בו ופגע בה </w:t>
      </w:r>
      <w:r>
        <w:rPr>
          <w:rtl w:val="true"/>
        </w:rPr>
        <w:t>–</w:t>
      </w:r>
      <w:r>
        <w:rPr>
          <w:rtl w:val="true"/>
        </w:rPr>
        <w:t xml:space="preserve"> כאשר לצד הפגיעה בגוף ובנפש המתלוננת</w:t>
      </w:r>
      <w:r>
        <w:rPr>
          <w:rtl w:val="true"/>
        </w:rPr>
        <w:t xml:space="preserve">, </w:t>
      </w:r>
      <w:r>
        <w:rPr>
          <w:rtl w:val="true"/>
        </w:rPr>
        <w:t>נגרמה גם פגיעה ביכולתה לבטוח באנשים וביכולת ליצור מערכות יחסים תקינות</w:t>
      </w:r>
      <w:r>
        <w:rPr>
          <w:rtl w:val="true"/>
        </w:rPr>
        <w:t xml:space="preserve">. </w:t>
      </w:r>
      <w:r>
        <w:rPr>
          <w:rtl w:val="true"/>
        </w:rPr>
        <w:t>עוד פורט</w:t>
      </w:r>
      <w:r>
        <w:rPr>
          <w:rtl w:val="true"/>
        </w:rPr>
        <w:t xml:space="preserve">, </w:t>
      </w:r>
      <w:r>
        <w:rPr>
          <w:rtl w:val="true"/>
        </w:rPr>
        <w:t>כי המעשים בוצעו במקום אשר אמור להיות ביתה ומבצרה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ותוך ניצול היעדר הבנת הפסול שבהם </w:t>
      </w:r>
      <w:r>
        <w:rPr>
          <w:rtl w:val="true"/>
        </w:rPr>
        <w:t>(</w:t>
      </w:r>
      <w:r>
        <w:rPr>
          <w:rtl w:val="true"/>
        </w:rPr>
        <w:t>כך לכל הפחות בתחילתם</w:t>
      </w:r>
      <w:r>
        <w:rPr>
          <w:rtl w:val="true"/>
        </w:rPr>
        <w:t xml:space="preserve">) </w:t>
      </w:r>
      <w:r>
        <w:rPr>
          <w:rtl w:val="true"/>
        </w:rPr>
        <w:t>והקרבה הפיזית והרגשית שבין המערער למתלוננת</w:t>
      </w:r>
      <w:r>
        <w:rPr>
          <w:rtl w:val="true"/>
        </w:rPr>
        <w:t xml:space="preserve">. </w:t>
      </w:r>
      <w:r>
        <w:rPr>
          <w:rtl w:val="true"/>
        </w:rPr>
        <w:t xml:space="preserve">כן עמד בית המשפט המחוזי גם על הפגיעה היתרה שנגרמת עת מקוימים יחסים תוך גילוי עריות </w:t>
      </w:r>
      <w:r>
        <w:rPr>
          <w:rtl w:val="true"/>
        </w:rPr>
        <w:t>–</w:t>
      </w:r>
      <w:r>
        <w:rPr>
          <w:rtl w:val="true"/>
        </w:rPr>
        <w:t xml:space="preserve"> הטומנים בחובם פגיעה בערכי מוסר עליהם מושתתת החברה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נסקרה שורה ארוכה של פסקי דין העוסקים במקרים דומים והוצגו מתחמי העונש שנקבעו בהם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המחוזי אימץ את עמדת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וקבע כי אף שמדובר בעבירות רבות ושונות שבוצעו לאורך זמן </w:t>
      </w:r>
      <w:r>
        <w:rPr>
          <w:rtl w:val="true"/>
        </w:rPr>
        <w:t>(</w:t>
      </w:r>
      <w:r>
        <w:rPr>
          <w:rtl w:val="true"/>
        </w:rPr>
        <w:t>על פני כעשור</w:t>
      </w:r>
      <w:r>
        <w:rPr>
          <w:rtl w:val="true"/>
        </w:rPr>
        <w:t xml:space="preserve">), </w:t>
      </w:r>
      <w:r>
        <w:rPr>
          <w:rtl w:val="true"/>
        </w:rPr>
        <w:t>מאחר שמדובר בקורבן אחד</w:t>
      </w:r>
      <w:r>
        <w:rPr>
          <w:rtl w:val="true"/>
        </w:rPr>
        <w:t xml:space="preserve">, </w:t>
      </w:r>
      <w:r>
        <w:rPr>
          <w:rtl w:val="true"/>
        </w:rPr>
        <w:t>יש להתייחס לכלל המעשים כאירוע אחד ולקבוע בעניינם מתחם יחיד</w:t>
      </w:r>
      <w:r>
        <w:rPr>
          <w:rtl w:val="true"/>
        </w:rPr>
        <w:t xml:space="preserve">. </w:t>
      </w:r>
      <w:r>
        <w:rPr>
          <w:rtl w:val="true"/>
        </w:rPr>
        <w:t>עם זאת הודגש</w:t>
      </w:r>
      <w:r>
        <w:rPr>
          <w:rtl w:val="true"/>
        </w:rPr>
        <w:t xml:space="preserve">, </w:t>
      </w:r>
      <w:r>
        <w:rPr>
          <w:rtl w:val="true"/>
        </w:rPr>
        <w:t>כי על אותו מתחם להביא לידי ביטוי את ריבוי המקרים ומהות המעשים</w:t>
      </w:r>
      <w:r>
        <w:rPr>
          <w:rtl w:val="true"/>
        </w:rPr>
        <w:t xml:space="preserve">, </w:t>
      </w:r>
      <w:r>
        <w:rPr>
          <w:rtl w:val="true"/>
        </w:rPr>
        <w:t>בשים לב לעובדה כי ביחס למעשה בודד של אינוס או עבירת סדום ניתן להטיל עונש של עשרים שנות מאסר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לעונש המינימלי שנקבע על</w:t>
      </w:r>
      <w:r>
        <w:rPr>
          <w:rtl w:val="true"/>
        </w:rPr>
        <w:t>-</w:t>
      </w:r>
      <w:r>
        <w:rPr>
          <w:rtl w:val="true"/>
        </w:rPr>
        <w:t xml:space="preserve">ידי המחוקק בגובה של כרבע מהעונש </w:t>
      </w:r>
      <w:r>
        <w:rPr>
          <w:rtl w:val="true"/>
        </w:rPr>
        <w:t>(</w:t>
      </w:r>
      <w:r>
        <w:rPr>
          <w:rtl w:val="true"/>
        </w:rPr>
        <w:t>חמש שנים</w:t>
      </w:r>
      <w:r>
        <w:rPr>
          <w:rtl w:val="true"/>
        </w:rPr>
        <w:t xml:space="preserve">). </w:t>
      </w:r>
      <w:r>
        <w:rPr>
          <w:rtl w:val="true"/>
        </w:rPr>
        <w:t xml:space="preserve">וכאן </w:t>
      </w:r>
      <w:r>
        <w:rPr>
          <w:rtl w:val="true"/>
        </w:rPr>
        <w:t>–</w:t>
      </w:r>
      <w:r>
        <w:rPr>
          <w:rtl w:val="true"/>
        </w:rPr>
        <w:t xml:space="preserve"> אין מדובר במקרה בודד ובפגיעה חד פעמית</w:t>
      </w:r>
      <w:r>
        <w:rPr>
          <w:rtl w:val="true"/>
        </w:rPr>
        <w:t xml:space="preserve">, </w:t>
      </w:r>
      <w:r>
        <w:rPr>
          <w:rtl w:val="true"/>
        </w:rPr>
        <w:t>כי אם במסכת תקיפות מיניות שבוצעו במשך תקופת זמן ממושכת ובילדה צעירה בשנים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אביה</w:t>
      </w:r>
      <w:r>
        <w:rPr>
          <w:rtl w:val="true"/>
        </w:rPr>
        <w:t xml:space="preserve">. </w:t>
      </w:r>
      <w:r>
        <w:rPr>
          <w:rtl w:val="true"/>
        </w:rPr>
        <w:t>המתלוננת העריכה כי נפגעה ב</w:t>
      </w:r>
      <w:r>
        <w:rPr>
          <w:rtl w:val="true"/>
        </w:rPr>
        <w:t>-</w:t>
      </w:r>
      <w:r>
        <w:rPr/>
        <w:t>1600</w:t>
      </w:r>
      <w:r>
        <w:rPr>
          <w:rtl w:val="true"/>
        </w:rPr>
        <w:t xml:space="preserve"> </w:t>
      </w:r>
      <w:r>
        <w:rPr>
          <w:rtl w:val="true"/>
        </w:rPr>
        <w:t>מקרי אונס</w:t>
      </w:r>
      <w:r>
        <w:rPr>
          <w:rtl w:val="true"/>
        </w:rPr>
        <w:t xml:space="preserve">. </w:t>
      </w:r>
      <w:r>
        <w:rPr>
          <w:rtl w:val="true"/>
        </w:rPr>
        <w:t>ממספר מהדהד זה הודגש</w:t>
      </w:r>
      <w:r>
        <w:rPr>
          <w:rtl w:val="true"/>
        </w:rPr>
        <w:t xml:space="preserve">, </w:t>
      </w:r>
      <w:r>
        <w:rPr>
          <w:rtl w:val="true"/>
        </w:rPr>
        <w:t>לא ניתן ואף אין מקום להתעלם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לאחר שקלולם של דברים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מתחם ענישה הולם הנע בין עונש מאסר בפועל של עשרים ושתיים שנים לבין עונש מאסר בפועל של עשרים ושמונה שנים</w:t>
      </w:r>
      <w:r>
        <w:rPr>
          <w:rtl w:val="true"/>
        </w:rPr>
        <w:t xml:space="preserve">, </w:t>
      </w:r>
      <w:r>
        <w:rPr>
          <w:rtl w:val="true"/>
        </w:rPr>
        <w:t>בתוספת מאסר מותנה ופיצויים למתלוננת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בית המשפט לא ראה הצדקה לחרוג ממתחמי הענישה דנן</w:t>
      </w:r>
      <w:r>
        <w:rPr>
          <w:rtl w:val="true"/>
        </w:rPr>
        <w:t xml:space="preserve">, </w:t>
      </w:r>
      <w:r>
        <w:rPr>
          <w:rtl w:val="true"/>
        </w:rPr>
        <w:t>וקבע כי בנסיבות העניין</w:t>
      </w:r>
      <w:r>
        <w:rPr>
          <w:rtl w:val="true"/>
        </w:rPr>
        <w:t xml:space="preserve">, </w:t>
      </w:r>
      <w:r>
        <w:rPr>
          <w:rtl w:val="true"/>
        </w:rPr>
        <w:t>בהתחשב במספר השנים בהן אירעה הפגיעה</w:t>
      </w:r>
      <w:r>
        <w:rPr>
          <w:rtl w:val="true"/>
        </w:rPr>
        <w:t xml:space="preserve">, </w:t>
      </w:r>
      <w:r>
        <w:rPr>
          <w:rtl w:val="true"/>
        </w:rPr>
        <w:t>תדירותה</w:t>
      </w:r>
      <w:r>
        <w:rPr>
          <w:rtl w:val="true"/>
        </w:rPr>
        <w:t xml:space="preserve">, </w:t>
      </w:r>
      <w:r>
        <w:rPr>
          <w:rtl w:val="true"/>
        </w:rPr>
        <w:t>חומרתה</w:t>
      </w:r>
      <w:r>
        <w:rPr>
          <w:rtl w:val="true"/>
        </w:rPr>
        <w:t xml:space="preserve">, </w:t>
      </w:r>
      <w:r>
        <w:rPr>
          <w:rtl w:val="true"/>
        </w:rPr>
        <w:t>הגיל הצעיר בו החלה</w:t>
      </w:r>
      <w:r>
        <w:rPr>
          <w:rtl w:val="true"/>
        </w:rPr>
        <w:t xml:space="preserve">, </w:t>
      </w:r>
      <w:r>
        <w:rPr>
          <w:rtl w:val="true"/>
        </w:rPr>
        <w:t>העדר לקיחת אחריות עד היום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 xml:space="preserve">לאחר שהובאו בחשבון גם השיקולים לקולא ודברי ילדיו של הנאשם </w:t>
      </w:r>
      <w:r>
        <w:rPr>
          <w:rtl w:val="true"/>
        </w:rPr>
        <w:t>–</w:t>
      </w:r>
      <w:r>
        <w:rPr>
          <w:rtl w:val="true"/>
        </w:rPr>
        <w:t xml:space="preserve"> על עונשו של המערער להיות בחלקו האמצעי של המתחם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נוכח דברים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השית בית המשפט על המערער עונש של עשרים וחמש 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בהפחתת כל התקופה בה היה הנאשם במעצר עד 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ההליך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שניים עשר 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לבל יעבור הנאשם עבירת מין מסוג פשע או ניסיון לעבור עבירה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למשך שלוש שנים מיום שחרורו מהמאסר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למתלוננת בסך של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Heading1"/>
        <w:spacing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טענות הצדדים בגדרי הערעור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טענות המערער</w:t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בהכרעת דינו של בית המשפט המחוזי נפלה שורת שגיאות</w:t>
      </w:r>
      <w:r>
        <w:rPr>
          <w:rtl w:val="true"/>
        </w:rPr>
        <w:t xml:space="preserve">, </w:t>
      </w:r>
      <w:r>
        <w:rPr>
          <w:rtl w:val="true"/>
        </w:rPr>
        <w:t xml:space="preserve">ובהן </w:t>
      </w:r>
      <w:r>
        <w:rPr>
          <w:rtl w:val="true"/>
        </w:rPr>
        <w:t>–</w:t>
      </w:r>
      <w:r>
        <w:rPr>
          <w:rtl w:val="true"/>
        </w:rPr>
        <w:t xml:space="preserve"> ייחוס מהימנות למתלוננת</w:t>
      </w:r>
      <w:r>
        <w:rPr>
          <w:rtl w:val="true"/>
        </w:rPr>
        <w:t xml:space="preserve">, </w:t>
      </w:r>
      <w:r>
        <w:rPr>
          <w:rtl w:val="true"/>
        </w:rPr>
        <w:t>תוך התעלמות מן הסתירות המרובות המתעוררות בעדותה</w:t>
      </w:r>
      <w:r>
        <w:rPr>
          <w:rtl w:val="true"/>
        </w:rPr>
        <w:t xml:space="preserve">, </w:t>
      </w:r>
      <w:r>
        <w:rPr>
          <w:rtl w:val="true"/>
        </w:rPr>
        <w:t>וכן בין עדותה לבין עדויות אחרות</w:t>
      </w:r>
      <w:r>
        <w:rPr>
          <w:rtl w:val="true"/>
        </w:rPr>
        <w:t xml:space="preserve">; </w:t>
      </w:r>
      <w:r>
        <w:rPr>
          <w:rtl w:val="true"/>
        </w:rPr>
        <w:t>אימוץ גרסת המתלוננת</w:t>
      </w:r>
      <w:r>
        <w:rPr>
          <w:rtl w:val="true"/>
        </w:rPr>
        <w:t xml:space="preserve">, </w:t>
      </w:r>
      <w:r>
        <w:rPr>
          <w:rtl w:val="true"/>
        </w:rPr>
        <w:t>חרף הספקות בדבר היתכנות האירועים</w:t>
      </w:r>
      <w:r>
        <w:rPr>
          <w:rtl w:val="true"/>
        </w:rPr>
        <w:t xml:space="preserve">; </w:t>
      </w:r>
      <w:r>
        <w:rPr>
          <w:rtl w:val="true"/>
        </w:rPr>
        <w:t>המשקל המצומצם שניתן לחוות הדעת הרפואית שהוגשה מטעם ההגנה</w:t>
      </w:r>
      <w:r>
        <w:rPr>
          <w:rtl w:val="true"/>
        </w:rPr>
        <w:t xml:space="preserve">; </w:t>
      </w:r>
      <w:r>
        <w:rPr>
          <w:rtl w:val="true"/>
        </w:rPr>
        <w:t xml:space="preserve">הרשעת המערער בביצוע </w:t>
      </w:r>
      <w:r>
        <w:rPr>
          <w:rtl w:val="true"/>
        </w:rPr>
        <w:t>"</w:t>
      </w:r>
      <w:r>
        <w:rPr>
          <w:rFonts w:ascii="Miriam" w:hAnsi="Miriam" w:cs="Miriam"/>
          <w:sz w:val="14"/>
          <w:sz w:val="14"/>
          <w:szCs w:val="24"/>
          <w:rtl w:val="true"/>
        </w:rPr>
        <w:t>מאות עבירות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Fonts w:ascii="Miriam" w:hAnsi="Miriam" w:cs="Miriam"/>
          <w:sz w:val="14"/>
          <w:sz w:val="14"/>
          <w:szCs w:val="24"/>
          <w:rtl w:val="true"/>
        </w:rPr>
        <w:t>עשרות עבירות</w:t>
      </w:r>
      <w:r>
        <w:rPr>
          <w:rtl w:val="true"/>
        </w:rPr>
        <w:t xml:space="preserve">", </w:t>
      </w:r>
      <w:r>
        <w:rPr>
          <w:rtl w:val="true"/>
        </w:rPr>
        <w:t>הגם שבכתב האישום פורטו אך ארבעה אירועים בלבד</w:t>
      </w:r>
      <w:r>
        <w:rPr>
          <w:rtl w:val="true"/>
        </w:rPr>
        <w:t xml:space="preserve">; </w:t>
      </w:r>
      <w:r>
        <w:rPr>
          <w:rtl w:val="true"/>
        </w:rPr>
        <w:t>המשקל שניתן למצבה הנפשי של המתלוננת כתימוכין לאמיתות גרסתה</w:t>
      </w:r>
      <w:r>
        <w:rPr>
          <w:rtl w:val="true"/>
        </w:rPr>
        <w:t xml:space="preserve">; </w:t>
      </w:r>
      <w:r>
        <w:rPr>
          <w:rtl w:val="true"/>
        </w:rPr>
        <w:t>דחיית טענות המניע של המערער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התחשבות במחדלי החקירה</w:t>
      </w:r>
      <w:r>
        <w:rPr>
          <w:rtl w:val="true"/>
        </w:rPr>
        <w:t xml:space="preserve">; </w:t>
      </w:r>
      <w:r>
        <w:rPr>
          <w:rtl w:val="true"/>
        </w:rPr>
        <w:t>ובסיכומן של כלל שגיאות אלו</w:t>
      </w:r>
      <w:r>
        <w:rPr>
          <w:rtl w:val="true"/>
        </w:rPr>
        <w:t xml:space="preserve">, </w:t>
      </w:r>
      <w:r>
        <w:rPr>
          <w:rtl w:val="true"/>
        </w:rPr>
        <w:t>עצם הרשעתו של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למהימנות המתלוננת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גרסתה התאפיינה באי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דיוקים וסתירות ביחס לנושאים מהותיים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במהלך הודעותיה במשטרה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בעדותה בבית המשפט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בעוד שבחקירתה במשטרה ביום </w:t>
      </w:r>
      <w:r>
        <w:rPr>
          <w:rFonts w:cs="Century" w:ascii="Century" w:hAnsi="Century"/>
          <w:sz w:val="22"/>
        </w:rPr>
        <w:t>07.05.2017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מסרה המתלוננת כי האירוע הראשון התרחש בסלון הבית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בחקירתה במשטרה ביום </w:t>
      </w:r>
      <w:r>
        <w:rPr>
          <w:rFonts w:cs="Century" w:ascii="Century" w:hAnsi="Century"/>
          <w:sz w:val="22"/>
        </w:rPr>
        <w:t>11.05.2017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מסרה כי האירוע התרחש בחדר השינה של הוריה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חרף העובדה כי לאחר שעומתה המתלוננת עם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הבהירות שבגרסתה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זו ציינה כי האירוע התרחש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4"/>
          <w:sz w:val="14"/>
          <w:szCs w:val="24"/>
          <w:rtl w:val="true"/>
        </w:rPr>
        <w:t>בוודאות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בחדר השינה של הוריה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בעדותה בבית המשפט העידה המתלוננת כי האירוע כאמור נערך בסלון הבית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עוד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המתלוננת תיארה שמצוקתה הנפשית באותה עת הביאה להידרדרות בהתנהגותה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מעדויות גורמי החינוך בבית ספרה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כמו גם מהישגיה הלימודיים וההתנהגותיים המעולים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המתלוננת הייתה תלמידה חיובית ללא בעיות התנהגות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כן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טענות המתלוננת לפיהן היא ואחיה סבלו מהזנחה והתעללות חמורות עומדות בניגוד לעדויותיהם של גורמים אחרים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בהם גורמי חינוך ושכני המשפחה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במסגרתן פורט כי לילדי המשפחה סופק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דרך 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אוכל בריא ובגדים איכותיים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ואלו אף נשלחו לחוגי העשרה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וממילא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בהינתן היקף ההזנחה החמורה שתואר מצד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סבור המערער כי שגה בית המשפט המחוזי שעה שקבע כי אין ביכולתם של גורמים חיצוניים לדעת על אודות המתרחש בבית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בפרט נוכח העובדה כי מדובר בחיי קהילה דתית ובתנאי מגורים צפופים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בהיעדרן של ראיות חיצוניות התומכות בגרסת המתלוננת בדבר ההזנחה הקשה ממנה סבלה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שומה היה על בית המשפט המחוזי להסיק מסקנות התומכות בטענת חפותו של המערער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עוד הודגש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גרסת המתלוננת בקשר עם שבירת אחת משיניה נסתרת אף היא מעדויות בני המשפחה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בחקירתה במשטרה ובעדותה בבית המשפט מסרה המתלוננת כי השן כאמור נשברה לאחר שהוכתה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אימה באמצעות פטיש שניצלים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מעדות בני משפחתה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זו נשברה כאשר מעדה במגלשה בגן שעשועים בנוכחות אחיה הצעירים וסביה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וכך גם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בעדויותיהם של גורמים הקשורים למתלוננת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לא נמסר להם מטעם המתלוננת כי אימה הכתה אותה עם פטיש שניצלים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עם מצקת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לשיטת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גרסת המתלוננת טומנת בחובה סתירות פנימיות ביחס לפגיעה בפעם האחרונה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בחקירתה במשטרה מיום </w:t>
      </w:r>
      <w:r>
        <w:rPr>
          <w:rFonts w:cs="Century" w:ascii="Century" w:hAnsi="Century"/>
          <w:sz w:val="22"/>
        </w:rPr>
        <w:t>23.04.2017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מסרה המתלוננת כי האירוע התרחש במשך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4"/>
          <w:sz w:val="14"/>
          <w:szCs w:val="24"/>
          <w:rtl w:val="true"/>
        </w:rPr>
        <w:t>עשרים דקות או חצי שעה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ואילו בחקירתה מיום </w:t>
      </w:r>
      <w:r>
        <w:rPr>
          <w:rFonts w:cs="Century" w:ascii="Century" w:hAnsi="Century"/>
          <w:sz w:val="22"/>
        </w:rPr>
        <w:t>11.05.2017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מסרה כי האירוע נמשך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4"/>
          <w:sz w:val="14"/>
          <w:szCs w:val="24"/>
          <w:rtl w:val="true"/>
        </w:rPr>
        <w:t>חמש דקות ולא יותר מעשר דקות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בחקירתה זו במשטרה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11.05.2017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מסרה המתלוננת כי האירוע הופסק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המערער מבלי שהגיע לפורקן מיני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שנשמעו</w:t>
      </w:r>
      <w:r>
        <w:rPr>
          <w:rFonts w:ascii="Century" w:hAnsi="Century" w:cs="Century"/>
          <w:sz w:val="22"/>
          <w:sz w:val="22"/>
          <w:rtl w:val="true"/>
        </w:rPr>
        <w:t xml:space="preserve"> רעשים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מכיוון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המדרגות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ואילו בחקירתה הראשית בבית המשפט העידה כי האירוע הסתיים עם הגעתו של המערער לפורקן מיני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בתוך כך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גרסת המתלוננת ביחס לאירוע כאמור נסתרת גם מדבריהן של עדויות אחרות בתיק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בעוד שהמתלוננת מסרה כי האירוע התרחש בסלון הבית בשעת בוקר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07:00-06:30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העדות</w:t>
      </w:r>
      <w:r>
        <w:rPr>
          <w:rFonts w:ascii="Century" w:hAnsi="Century" w:cs="Century"/>
          <w:sz w:val="22"/>
          <w:sz w:val="22"/>
          <w:rtl w:val="true"/>
        </w:rPr>
        <w:t xml:space="preserve"> אותן שיתפה המתלוננות בפרטי האירוע דיווחו כי המתלוננת מסרה להן כי האירוע התרחש בחדר השינה בשעת לילה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04:00-02:00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בהקשר זה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שגה בית המשפט המחוזי שעה שהתעלם מן הסתירות האמורות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ותחת זאת קבע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4"/>
          <w:sz w:val="14"/>
          <w:szCs w:val="24"/>
          <w:rtl w:val="true"/>
        </w:rPr>
        <w:t>לא מדובר בדבר הנוגע בגרעין האירוע וחלקיו החשובים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עוד פורט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חרף העובדה שבהודעת המתלוננת במשטרה מיום </w:t>
      </w:r>
      <w:r>
        <w:rPr>
          <w:rFonts w:cs="Century" w:ascii="Century" w:hAnsi="Century"/>
          <w:sz w:val="22"/>
        </w:rPr>
        <w:t>15.05.2017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עולה כי המערער ביצע בה מעשי סדום פעמים בודדות בלבד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בעדותה בבית המשפט בואר כי התרחשו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למצער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8-6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מעשי סדום בהזדמנויות שונות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כן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יש לדחות את עמדת המתלוננת ביחס להסתרת יומניה מן התקופה הרלבנטית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בשים לב לגרסתה הראשונית כי פעלה להשמדתם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בהינתן התזמון בו הועברו היומנים לידי ההגנה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היינו לאחר תום פרשת ההגנה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סבור המערער כי מדובר בהתנהלות מניפולטיבית מצד המתלוננת שנועדה לפגוע באיכות הגנתו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אשר לגביה לא נמתחה כל ביקורת מצד בית המשפט המחוזי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סתירה נוספת בגרסת המתלוננת מתעוררת לטענת המערער בתיאוריה הנוגעים לאירוע שהתרחש ביום כיפור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ובהתאם למועד עזיבתה את בית המשפחה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בחקירותיה במשטרה ובעדותה בבית המשפט נמסר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האירוע כאמור התרחש ביום כיפור בשנת </w:t>
      </w:r>
      <w:r>
        <w:rPr>
          <w:rFonts w:cs="Century" w:ascii="Century" w:hAnsi="Century"/>
          <w:sz w:val="22"/>
        </w:rPr>
        <w:t>2012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ולאחריו עזבה המתלוננת את הבית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בציר הזמן שנערך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המתלוננת בהתבסס על יומניה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אירוע זה התרחש אך בשנת </w:t>
      </w:r>
      <w:r>
        <w:rPr>
          <w:rFonts w:cs="Century" w:ascii="Century" w:hAnsi="Century"/>
          <w:sz w:val="22"/>
        </w:rPr>
        <w:t>2013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עוד מוסיף המערער כי גרסת המתלוננת ביחס להפעלת אלימות מצד הוריה כלפיה וכלפי אחיה נסתרת באמצעות מגוון עדויות וראיות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בדיווחה לשירותי הרווחה ולפנימייה בה שהתה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עמדה המתלוננת בתוקף על כך שהוכתה בעבר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המערער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בחקירות המתלוננת במשטרה ובעדותה בבית המשפט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המערער לא נהג באלימות כלפיה או כלפי אחיה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באופן דומה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טענות המתלוננת בדבר קיומה של מסכת אלימות פיזית קשה מצידה של אימה נשללו כולן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אחיה השונים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בהקשר זה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אחיי המתלוננת נטלו חלק בחמש מסגרות חינוכיות שונות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ואילו מעדויות כלל גורמי החינוך הרלבנטיים עולה כי לא נצפו חריגות בהתנהלותם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עמדה זו מקבלת משנה תוקף בהינתן שגרסתה של האחות ש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בנדון נמסרה בבית הספר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בטרם נודע לה על תלונת המתלוננת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ואחיה של המתלוננת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האח ד</w:t>
      </w:r>
      <w:r>
        <w:rPr>
          <w:rFonts w:cs="Century" w:ascii="Century" w:hAnsi="Century"/>
          <w:sz w:val="22"/>
          <w:rtl w:val="true"/>
        </w:rPr>
        <w:t xml:space="preserve">') </w:t>
      </w:r>
      <w:r>
        <w:rPr>
          <w:rFonts w:ascii="Century" w:hAnsi="Century" w:cs="Century"/>
          <w:sz w:val="22"/>
          <w:sz w:val="22"/>
          <w:rtl w:val="true"/>
        </w:rPr>
        <w:t>אינו מתגורר עוד בבית המשפחה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ולכן נשללת טענת המתלוננת לפיה הכחשת בני המשפחה נובעת מפחד מהוריהם שמקורו בהיותם חלק מן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4"/>
          <w:sz w:val="14"/>
          <w:szCs w:val="24"/>
          <w:rtl w:val="true"/>
        </w:rPr>
        <w:t>המערכה האטומה והסגורה הזאת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לשיטת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לדחות את טענת המתלוננת בדבר נטילתן של גלולות למניעת היריון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לצד השינויים שחלו בגרסאות המתלוננת ביחס למועדה ותדירותה של נטילת הגלולה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התיאור שסיפקה המתלוננת ביחס לצורת הגלולה היה שגוי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חרף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נמנע בית המשפט המחוזי מלהתייחס לקשיים אלו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כמו גם לעובדה כי לא הוכח כיצד השיג המערער גלולות למניעת היריון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אשר לשם קבלתן יש להציג מרשם רופא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תחת זאת 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בדומה לקשיים אחרים שהתעוררו בגרסת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4"/>
          <w:sz w:val="14"/>
          <w:szCs w:val="24"/>
          <w:rtl w:val="true"/>
        </w:rPr>
        <w:t>לא נראה כי ענין זה עומד בלב הדברים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109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טז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המערער אמנם מכיר באפשרות התעוררתם של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דיוקים וסתירות בעדות קורבנות עבירות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אולם נטען כי הסתירות כאמור נוגעות לשאלות המצויות בליבת האישום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כמות אירועים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מיקום התרחשותם וכיוצ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ולפיכך לא ניתן לקבוע כי גרסת המתלוננת מהימנה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כן בואר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קיים פער בין תיאוריה העשירים של המתלוננת ביחס לאירועים שאינם נשוא עבירות המין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לבין התיאורים הדלים והחסרים של פרטי עבירות המין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בהינתן עמדת המתלוננת לפיה מדובר במאות אירועים שהתרחשו באופן שגרתי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 המערער כי עמדה זו מקבלת משנה תוקף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בהתאם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שתיקת המתלוננת לאורך השנים אינה עולה בקנה אחד עם מצוקתה של קורבן עבירות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 במקרה כגון דא הטומן בחובו ריבוי מעשים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הגם שהמתלוננת מסרה חמש הודעות מפורטות במשטרה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 כי מהודעות אלו נשמטו שני אירועים משמעותיים אשר הוצגו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ידה לראשונה רק במהלך עדותה בבית המשפט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14"/>
          <w:sz w:val="14"/>
          <w:szCs w:val="24"/>
          <w:rtl w:val="true"/>
        </w:rPr>
        <w:t>הראשון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שימוש בטיטול תינוקות על מנת לעצור את הדימום לאחר אירוע האונס הראשון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Miriam" w:hAnsi="Miriam" w:cs="Miriam"/>
          <w:sz w:val="14"/>
          <w:sz w:val="14"/>
          <w:szCs w:val="24"/>
          <w:rtl w:val="true"/>
        </w:rPr>
        <w:t>והשני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אירוע אונס נוסף שהתרחש במהלך טיול משפחתי לברצלונה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בהכרעת דינו של בית המשפט המחוזי לא ניתן משקל לעובדה כי המתלוננת נהגה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דרך 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להמציא סיפורי בדיות משוללי הגיון הנוגעים לסובבים אותה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המתלוננת מסרה כי המערער ביצע עבירות מין גם כלפי אחותה ש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אולם טענה זו נשללה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האחות ש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במסגרת בירור שנערך בבית ספרה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ללא כל הכנה מוקדמת שלה מצד מי מבני משפחתה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עוד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המתלוננת סיפרה לאחיה ד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כי האחות ש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נולדה עם נכות מלידה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בדומה לנכות ממנה סובלת אימם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ואילו ניתוח שעברה האחות ש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בצעירותה הביא לפתרון הבעיה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מסרה המתלוננת לאחיה ד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כי היה לו אח תאום שנפטר במעמד הלידה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בתוך כך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החשש מפני בדייתן של הפגיעות המיניות שחוותה המתלוננת מתעצם נוכח העובדה כי הוכשרה במשך חודשיים לטיפול בנוער בסיכון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ובכלל זאת בקורבנות עבירות מין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לעניין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מפנה המערער לעדות הפסיכולוגית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העידה כי התסמינים שתוארו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המתלוננת תואמים במלואם את התסמינים המוכרים בספרות הרפואית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לשיטת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לראות בבקיאותה החריגה של המתלוננת בתחום המשפטי ובתחום הפסיכולוגי כאינדיקציה נוספת המכרסמת במהימנות עדותה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במהלך עדותה נעזרה המתלוננת במונחים פסיכולוגיים שונים </w:t>
      </w:r>
      <w:r>
        <w:rPr>
          <w:rFonts w:cs="Century" w:ascii="Century" w:hAnsi="Century"/>
          <w:sz w:val="22"/>
          <w:rtl w:val="true"/>
        </w:rPr>
        <w:t>("</w:t>
      </w:r>
      <w:r>
        <w:rPr>
          <w:rFonts w:ascii="Century" w:hAnsi="Century" w:cs="Century"/>
          <w:sz w:val="22"/>
          <w:sz w:val="22"/>
          <w:rtl w:val="true"/>
        </w:rPr>
        <w:t>דיסוציאציות</w:t>
      </w:r>
      <w:r>
        <w:rPr>
          <w:rFonts w:cs="Century" w:ascii="Century" w:hAnsi="Century"/>
          <w:sz w:val="22"/>
          <w:rtl w:val="true"/>
        </w:rPr>
        <w:t xml:space="preserve">"), </w:t>
      </w:r>
      <w:r>
        <w:rPr>
          <w:rFonts w:ascii="Century" w:hAnsi="Century" w:cs="Century"/>
          <w:sz w:val="22"/>
          <w:sz w:val="22"/>
          <w:rtl w:val="true"/>
        </w:rPr>
        <w:t>וכן גילתה בקיאות יוצאת דופן בחומרי החקירה ובזהותם של עדי התביעה בתיק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עוד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יש לתת משקל משמעותי להתנגדות המתלוננת לביצוען של פעולות חקירה העשויות לאמת את דבריה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ובראשן ביצוע בדיקה רפואית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בטענה כי מבחינתה מדובר ב</w:t>
      </w:r>
      <w:r>
        <w:rPr>
          <w:rFonts w:cs="Century" w:ascii="Century" w:hAnsi="Century"/>
          <w:sz w:val="22"/>
          <w:rtl w:val="true"/>
        </w:rPr>
        <w:t>-"</w:t>
      </w:r>
      <w:r>
        <w:rPr>
          <w:rFonts w:ascii="Miriam" w:hAnsi="Miriam" w:cs="Miriam"/>
          <w:sz w:val="14"/>
          <w:sz w:val="14"/>
          <w:szCs w:val="24"/>
          <w:rtl w:val="true"/>
        </w:rPr>
        <w:t>פגיעה נוספת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שהיא אינה כשירה 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בהינתן שמהתנהלות המתלוננת עולה כי לא מדובר במתלוננת ביישנית ונחבאת אל הכלים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במי שדרשה ליטול חלק פעיל בהליך המשפטי ואף צעקה לעבר אחותה ש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בזמן שזו מסרה את עדותה בבית המשפט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לצד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מדגיש המערער כי במסגרת הליך הגשת התלונה ניכרה התערבותה החריגה של הפסיכולוגית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לא מן הנמנע כי השפיעה על גרסתה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טרם הגשת התלונה תיאמה הפסיכולוגית פגישה בין המתלוננת לבין פרקליט בכיר בפרקליטות המחוז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ד חיים פס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המכהן כיום כשופט בבית משפט השלום בבאר שבע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הפרקליט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ובהמשך אף נטלה חלק פעיל בחקירתה הראשונה של המתלוננת במשטרה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כאשר היא זו שעשתה שימוש במושג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אונס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בהקשר זה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הובעו ספקות ביחס למהימנות עדות המתלוננת גם מצד עדי תביעה ומכרים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ובהם מורתה בבית הספר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לחוסר היתכנות גרסת המתלוננת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בהינתן נסיבות ביצוע המעשים המיוחסים למערער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גרסת המתלוננת אינה מתיישבת עם ההיגיון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אלו הפרטים המוקשים העולים מגרסת המתלוננת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המשפחה התגוררה בבית קטן ובו שלושה חדרים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בחדר השינה של הילדים שהו בין שלושה לארבעה ילדים במקביל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בין הסלון לחדר השינה של הילדים פרוזדור קצר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מחוץ לדלת חדר השינה של הילדים הונח סיר לילה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בפרוזדור תמיד דלק אור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דלת חדר הילדים הייתה תמיד פתוחה בשל תקלה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אין דלת או וילון המפרידים בין חלל הבית לסלון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בתקופת ביצוע המעשים נעו גילאי ארבעת אחיה בין </w:t>
      </w:r>
      <w:r>
        <w:rPr>
          <w:rFonts w:cs="Century" w:ascii="Century" w:hAnsi="Century"/>
          <w:sz w:val="22"/>
        </w:rPr>
        <w:t>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>; "</w:t>
      </w:r>
      <w:r>
        <w:rPr>
          <w:rFonts w:ascii="Century" w:hAnsi="Century" w:cs="Century"/>
          <w:sz w:val="22"/>
          <w:sz w:val="22"/>
          <w:rtl w:val="true"/>
        </w:rPr>
        <w:t>בתקופה הראשונה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עת שהו ארבעה ילדים בחדר השינה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ישנה המתלוננת בחלקה העליון של מיטת קומתיים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מרבית האירועים שהתרחשו ב</w:t>
      </w:r>
      <w:r>
        <w:rPr>
          <w:rFonts w:cs="Century" w:ascii="Century" w:hAnsi="Century"/>
          <w:sz w:val="22"/>
          <w:rtl w:val="true"/>
        </w:rPr>
        <w:t>-"</w:t>
      </w:r>
      <w:r>
        <w:rPr>
          <w:rFonts w:ascii="Century" w:hAnsi="Century" w:cs="Century"/>
          <w:sz w:val="22"/>
          <w:sz w:val="22"/>
          <w:rtl w:val="true"/>
        </w:rPr>
        <w:t>תקופה הראשונה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נערכו בסלון הבית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המערער והמתלוננת היו ערומים בעת ביצוע המעשים</w:t>
      </w:r>
      <w:r>
        <w:rPr>
          <w:rFonts w:cs="Century" w:ascii="Century" w:hAnsi="Century"/>
          <w:sz w:val="22"/>
          <w:rtl w:val="true"/>
        </w:rPr>
        <w:t>; "</w:t>
      </w:r>
      <w:r>
        <w:rPr>
          <w:rFonts w:ascii="Century" w:hAnsi="Century" w:cs="Century"/>
          <w:sz w:val="22"/>
          <w:sz w:val="22"/>
          <w:rtl w:val="true"/>
        </w:rPr>
        <w:t>בתקופה השנייה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עבר אחיה ד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לישון בסלון הבית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מרבית האירועים שהתרחשו ב</w:t>
      </w:r>
      <w:r>
        <w:rPr>
          <w:rFonts w:cs="Century" w:ascii="Century" w:hAnsi="Century"/>
          <w:sz w:val="22"/>
          <w:rtl w:val="true"/>
        </w:rPr>
        <w:t>-"</w:t>
      </w:r>
      <w:r>
        <w:rPr>
          <w:rFonts w:ascii="Century" w:hAnsi="Century" w:cs="Century"/>
          <w:sz w:val="22"/>
          <w:sz w:val="22"/>
          <w:rtl w:val="true"/>
        </w:rPr>
        <w:t>תקופה השנייה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בוצעו בתוך חדר הילדים על גבי המיטה הנשלפת בה ישן אחיה א</w:t>
      </w:r>
      <w:r>
        <w:rPr>
          <w:rFonts w:cs="Century" w:ascii="Century" w:hAnsi="Century"/>
          <w:sz w:val="22"/>
          <w:rtl w:val="true"/>
        </w:rPr>
        <w:t xml:space="preserve">'; </w:t>
      </w:r>
      <w:r>
        <w:rPr>
          <w:rFonts w:ascii="Century" w:hAnsi="Century" w:cs="Century"/>
          <w:sz w:val="22"/>
          <w:sz w:val="22"/>
          <w:rtl w:val="true"/>
        </w:rPr>
        <w:t>חלק מן האירועים התרחשו בחדר השינה של ההורים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אימה של המתלוננת ערה בסלון הבית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אף אחד מבני המשפחה מעולם לא התעורר וחזה במעשי המערער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והתרחשו מאות אירועים שונים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בהינתן הנסיבות המפורטות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 המערער כי לא ניתן להעלות על הדעת כי במשך שנים ארוכות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אחד מבני המשפחה לא נחשף לאירועים המתחוללים בכותלי דירתם הקטנה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החינוך שהונהג בבית המשפחה היה אמנם קפדני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אולם חלק ניכר מן המעשים המתוארים אירעו לכאורה כאשר יתר ילדי המערער היו צעירים ביותר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ומשכך בעלי הבנה חסרה ומשמעת לקויה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מן הנמנע כי אלו הסתובבו ברחבי הבית לאורך כל שעות היממה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חרף הוראות הוריהם בנדון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עוד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שגה בית המשפט המחוזי עת שפקפק במהימנות בני המשפחה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בהתבסס על חששו מפני תיאום עדויותיהם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עם חשיפתן של טענות מטלטלות מסוג זה תנוהלנה שיחות בנדון בין בני המשפחה לבין עצמם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אולם אין בכך כדי לפגום בכנות עדותם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האחות ש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שללה את המעשים המיוחסים למערער כאשר תושאלה בבית הספר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בטרם נודע למי מבני המשפחה על אודות החקירה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לשיטת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לדחות את המסקנה שנקבעה בהכרעת הדין ביחס לפגיעה בפעם האחרונה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חרף התייחסותו של בית המשפט המחוזי לקשיים בהיתכנות הדברים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81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בראשם העובדה כי בין הגעת המערער לבית המשפחה לבין הגעת אם המתלוננת ואחיה ד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חלפו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בכלל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דקות בודדות בלבד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הוחלט לקבל את גרסת המתלוננת בנדון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כאשר לעניין זה נקבע בהכרעת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4"/>
          <w:sz w:val="14"/>
          <w:szCs w:val="24"/>
          <w:rtl w:val="true"/>
        </w:rPr>
        <w:t>הנחות אלה אינן בלתי אפשריות</w:t>
      </w:r>
      <w:r>
        <w:rPr>
          <w:rFonts w:cs="Miriam" w:ascii="Miriam" w:hAnsi="Miriam"/>
          <w:sz w:val="14"/>
          <w:szCs w:val="24"/>
          <w:rtl w:val="true"/>
        </w:rPr>
        <w:t xml:space="preserve">, </w:t>
      </w:r>
      <w:r>
        <w:rPr>
          <w:rFonts w:ascii="Miriam" w:hAnsi="Miriam" w:cs="Miriam"/>
          <w:sz w:val="14"/>
          <w:sz w:val="14"/>
          <w:szCs w:val="24"/>
          <w:rtl w:val="true"/>
        </w:rPr>
        <w:t>בשים לב להתנהגותו הכוללת של האב במשך השנים</w:t>
      </w:r>
      <w:r>
        <w:rPr>
          <w:rFonts w:cs="Miriam" w:ascii="Miriam" w:hAnsi="Miriam"/>
          <w:sz w:val="14"/>
          <w:szCs w:val="24"/>
          <w:rtl w:val="true"/>
        </w:rPr>
        <w:t xml:space="preserve">, </w:t>
      </w:r>
      <w:r>
        <w:rPr>
          <w:rFonts w:ascii="Miriam" w:hAnsi="Miriam" w:cs="Miriam"/>
          <w:sz w:val="14"/>
          <w:sz w:val="14"/>
          <w:szCs w:val="24"/>
          <w:rtl w:val="true"/>
        </w:rPr>
        <w:t>כפי שעלתה מהעדות המפורטת של בתו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Miriam" w:hAnsi="Miriam" w:cs="Miriam"/>
          <w:sz w:val="14"/>
          <w:sz w:val="14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ברי כי אין בקיומו של פוטנציאל לכאורי כדי לשלול קיומו של ספק סביר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ולפיכך נטען כי מדובר בהיפוכם של סדרי הדין הפלילי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לחוות הדעת הרפואית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שגה בית המשפט המחוזי שעה שדחה את חוות הדעת ולו בשל האפשרות כי בדיקת המערערת לא הייתה מגלה נזקים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בין אם סבלה מפגיעות מיניות ובין אם לאו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אף בהנחה שקיימים מקרים בהם לא תיוותרנה חבלות לאחר אירוע של פגיעה מינית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אין מחלוקת כי </w:t>
      </w:r>
      <w:r>
        <w:rPr>
          <w:rFonts w:ascii="Miriam" w:hAnsi="Miriam" w:cs="Miriam"/>
          <w:sz w:val="14"/>
          <w:sz w:val="14"/>
          <w:szCs w:val="24"/>
          <w:rtl w:val="true"/>
        </w:rPr>
        <w:t>במרבית</w:t>
      </w:r>
      <w:r>
        <w:rPr>
          <w:rFonts w:ascii="Century" w:hAnsi="Century" w:cs="Century"/>
          <w:sz w:val="18"/>
          <w:sz w:val="18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המקרים בהם התרחשה חדירה רקטלית אכן יהיו חבלות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אמירה זו מקבלת משנה תוקף במקרה כגון דא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הכולל ריבוי פגיעות מיניות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וממילא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אין בחוות דעת זו כדי לגרוע מעצם סירובה של המתלוננת לבצע בדיקה רפואית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וזאת לשם אישוש טענותיה או הפרכתן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סירובה של המתלוננת בעניין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המצוי בליבת 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פוגע ביכולתו של המערער להתגונן כראוי מפני האשמותיה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ולפיכך עליו להיזקף לחובתה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אשר להרשעת המערער בביצוע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4"/>
          <w:sz w:val="14"/>
          <w:szCs w:val="24"/>
          <w:rtl w:val="true"/>
        </w:rPr>
        <w:t>מאות עבירות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-"</w:t>
      </w:r>
      <w:r>
        <w:rPr>
          <w:rFonts w:ascii="Miriam" w:hAnsi="Miriam" w:cs="Miriam"/>
          <w:sz w:val="14"/>
          <w:sz w:val="14"/>
          <w:szCs w:val="24"/>
          <w:rtl w:val="true"/>
        </w:rPr>
        <w:t>עשרות עבירות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בהינתן שהמתלוננת עמדה על ארבעה אירועים ספציפיים בלבד בחקירותיה במשטרה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 שמדובר בשגיאה מצדו של בית המשפט המחוזי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כך פורט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אימוץ גרסת המתלוננת בדבר היקף האירועים נעשה חרף הסתירות המרובות שהתעוררו בגרסאותיה בקשר עם הערכות הזמן והתדירות של המעשים המתוארים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וזאת בשים לב להצהרת המתלוננת בדבר היעדר יכולתה לאמוד נכונה את מסגרת הזמנים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בהקשר זה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אופן ניסוחו של רכיב זה בכתב האישום פגע ביכולתו של המערער להתגונן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ועם זאת בית המשפט המחוזי נמנע מלהעניק לדבר משקל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המסכת העובדתית המפורטת בכתב האישום היא כללית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עמומה וערטילאית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ולפיה המערער נהג ב</w:t>
      </w:r>
      <w:r>
        <w:rPr>
          <w:rFonts w:cs="Century" w:ascii="Century" w:hAnsi="Century"/>
          <w:sz w:val="22"/>
          <w:rtl w:val="true"/>
        </w:rPr>
        <w:t>-"</w:t>
      </w:r>
      <w:r>
        <w:rPr>
          <w:rFonts w:ascii="Miriam" w:hAnsi="Miriam" w:cs="Miriam"/>
          <w:sz w:val="14"/>
          <w:sz w:val="14"/>
          <w:szCs w:val="24"/>
          <w:rtl w:val="true"/>
        </w:rPr>
        <w:t>מאות מקרים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להעיר את המתלוננת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4"/>
          <w:sz w:val="14"/>
          <w:szCs w:val="24"/>
          <w:rtl w:val="true"/>
        </w:rPr>
        <w:t>ולהחדיר את איבר מינו או אצבעותיו לאיבר מינה</w:t>
      </w:r>
      <w:r>
        <w:rPr>
          <w:rFonts w:cs="Miriam" w:ascii="Miriam" w:hAnsi="Miriam"/>
          <w:sz w:val="14"/>
          <w:szCs w:val="24"/>
          <w:rtl w:val="true"/>
        </w:rPr>
        <w:t xml:space="preserve">... </w:t>
      </w:r>
      <w:r>
        <w:rPr>
          <w:rFonts w:ascii="Miriam" w:hAnsi="Miriam" w:cs="Miriam"/>
          <w:sz w:val="14"/>
          <w:sz w:val="14"/>
          <w:szCs w:val="24"/>
          <w:rtl w:val="true"/>
        </w:rPr>
        <w:t>בחדר הילדים או בסלון הבית</w:t>
      </w:r>
      <w:r>
        <w:rPr>
          <w:rFonts w:cs="Century" w:ascii="Century" w:hAnsi="Century"/>
          <w:sz w:val="22"/>
          <w:rtl w:val="true"/>
        </w:rPr>
        <w:t xml:space="preserve">".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למצבה הנפשי של המתלוננת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מסקנתו של בית המשפט המחוזי לפיה מדובר בנדבך משמעותי התומך בגרסתה עולה כדי טעות של ממש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וזאת בהינתן נסיבות חייה המורכבות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עשויות במידה רבה להיות המקור לקשייה הנפשיים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בכלל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סבלה המתלוננת מהצקות חוזרות ונשנות מצד בני גילה עקב נכותה של אימה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בגינה נאלצה לסייע בפעולות שבשגרה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הן בבית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מחוצה לו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ולצד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סבלה המתלוננת מהקושי הנגזר מהתחנכותה במסגרות דתיות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בעודה מתגוררת בבית בעל מנטליות רוסית שאינו מקפיד על קיום המצוות באדיקות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נוכח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שומה היה על בית המשפט המחוזי לבחון את האפשרות לפיה מצבה הנפשי המורכב של המתלוננת הוא שהביא אותה להגשת תלונת שווא כנגד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למצער לבחון את עדותה בקפידה</w:t>
      </w:r>
      <w:r>
        <w:rPr>
          <w:rFonts w:cs="Century" w:ascii="Century" w:hAnsi="Century"/>
          <w:sz w:val="22"/>
          <w:rtl w:val="true"/>
        </w:rPr>
        <w:t xml:space="preserve">.  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לדחיית המניע לתלונה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מסקנת בית המשפט המחוזי לפיה עצם דחיית המניעים שהועלו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המערער מביאה לחיזוק ההתרשמות מאותנטיות תלונת המתלוננת עומדת בניגוד להלכה הקיימת בנושא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ומהווה טעות משפטית של ממש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אמירה זו מקבלת משנה תוקף נוכח קיומם של מספר מניעים פוטנציאליים להגשת התלונה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כגון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תחושת השנאה שחשה המתלוננות כלפי המערער בשל פערים תפיסתיים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דתיים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סלידת המתלוננת מן המוצא הרוסי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ניסיון לסחיטת כספים מהוריה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ותחושת קנאה עזה לאחיה הקטנים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למחדלי החקירה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סבור המערער כי בנסיבות המקרה התקיימו מחדלי חקירה מרובים ומשמעותיים שהביאו לפגיעה ממשית בהגנתו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בראשם הפגישה שנערכה בין המתלוננת לבין הפרקליט הבכיר עובר להגשת התלונה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עריכתן של פעולות חקירה שונות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לצד הקושי המתעורר מפאת עריכת הפגישה עם הפרקליט ואי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גילויה עד לתחילת ההליך המשפטי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הודגש כי אין כל רישום בתיק החקירה המתעד את תוכן הפגישה כאמור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עם זאת בואר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במכתב שנשלח מטעם פרקליטות מחוז ירושלים ביום </w:t>
      </w:r>
      <w:r>
        <w:rPr>
          <w:rFonts w:cs="Century" w:ascii="Century" w:hAnsi="Century"/>
          <w:sz w:val="22"/>
        </w:rPr>
        <w:t>11.06.2020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אכן קיים בחומרי החקירה זיכרון דברים המתעד את פגישת המתלוננת וכב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השופט פס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כאשר לשם קבלתו הופנה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לפרקליטות המדינה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לעניין עריכתן של פעולות חקירה שונות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היחידה החוקרת נמנעה מלבחון לעומק את אפשרות ביצועה של בדיקה רפואית למתלוננת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וזאת חרף זכותה הברורה של המתלוננת לסרב לבדיקה כאמור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באופן דומה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חרף גרסת המתלוננת לפיה פעולות המערער גרמו לה פעמים רבות לדימומים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נעשתה בדיקת מעבדה מקיפה בכלל מוצרי הטקסטיל בבית המשפחה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ובפרט אלו ששימשו את בני המשפחה בסלון ובחדר הילדים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ולבסוף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הגם שהמתלוננת העידה כי נטלה גלולות למניעת היריון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נעשו מאמצים לבחון את תיקיהם הרפואיים של בני המשפחה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כמו גם את גישתו של המערער לתרופה מסוג זה במשרדי חברת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טבע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בה עבד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להרשעת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הוטעם כי הקשיים המפורטים לעיל מביאים לכדי מסקנה כי בנסיבות המקרה התגבש ספק משמעותי ביחס להתקיימות המעשים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יש בו כדי להצדיק את זיכויו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למצער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מחמת הספק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לערעור על גזר הדין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העונש שנקבע בעניינו סוטה ממדיניות הענישה הנהוגה במקרים דומים ואף חמורים יותר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מפנה המערער לשורת פסקי דין התומכים לכאורה בגישתו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עוד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בית המשפט המחוזי נמנע מלהתחשב בנסיבותיו האישיות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ובכלל זאת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היותו איש משפחה מסור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נתמך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ילדיו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למעט המתלוננת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במסגרת ההליכים מושא תיק זה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היותו המפרנס העיקרי בבית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גילו של המערער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שצפוי לסיים את ריצוי מאסרו בגיל </w:t>
      </w:r>
      <w:r>
        <w:rPr>
          <w:rFonts w:cs="Century" w:ascii="Century" w:hAnsi="Century"/>
          <w:sz w:val="22"/>
        </w:rPr>
        <w:t>82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הנכות ממנה סובלת רעיית המערער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והשתלבותו בחברה הישראלית לאחר עלייתו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טענות המשיבה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לטענת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מתעוררת בנסיבות המקרה עילה להתערבות בממצאי המהימנות שנקבעו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הערכאה הדיונית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התקבלו פה אחד לאחר עריכת בחינה מקיפה של עדות המתלוננת אל מול יתר חומרי הראיות בתיק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בואר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הקשיים שעלו בעדות המתלוננת אופייניים לעדויותיהן של נפגעות תקיפה מינית שסבלו מפגיעות ממושכות מגיל צעיר מצד בן משפחה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להרשעת המערער הודגש כי זו התבססה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בראש ובראשונה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עדות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נתמכה בעדויותיהם של גורמים נוספים בפניהם חשפה המתלוננת בהדרגה את מעשי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בפני הערכאה הדיונית הוצגו ראיות המצביעות על מצבה הנפשי של המתלוננת במרוצת השנים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ובכלל זאת לקיומם של סימפטומים ברורים של פוסט טראומה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לרבות ניתוקים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חיתוכים עצמיים ומספר ניסיונות אובדניים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לצד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 כי עדות המערער הייתה בלתי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מהימנה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תוך שנדחתה טענתו לפיה המעשים המיוחסים לו הם בדיה של המתלוננת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וזאת בשים לב למחיר הכבד הכרוך בניהולו של ההליך המשפטי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ובפרט לניתוקה המוחלט של המתלוננת מבני משפחתה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לעניין זה פורט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הימנעותה של המתלוננת מלהיפגש עם המערער בלבד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בעודה שומרת על קשר עם יתר בני המשפחה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מהווה ראיית חיזוק משמעותית התומכת בעמדתה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נוכח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סבורה המשיבה כי נתן בית המשפט המחוזי דעתו לקשיים שעלו בגרסתה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אולם לא היה בקשיים כאמור כדי לגרוע ממהימנות עדותה של המתלוננת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אשר השתלבה היטב במארג הראיות בתיק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בשים לב לכך שסתירות ואי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דיוקים מסוימים הם מאפיינים מקובלים ואינהרנטיים בעדויותיהן של נפגעות תקיפה מינית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לעדות המערער הובהר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זו נמצאה בלתי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מהימנה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הערכאה הדיונית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כך 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יש לדחות את הנימוקים שהוצגו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המערער לסירובו להתקשר למתלוננת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בתו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בשנים שעברו מאז שעזבה את בית המשפחה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כאשר במקביל ניהלה המתלוננת קשר עם אימה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למרות תלונותיה לפגיעה פיזית מצד האם כאמור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בהקשר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מתח בית המשפט המחוזי ביקורת על המערער בשל הימנעותו מביצוע פעולה כלשהי למשמע הדיווח של בנו על פגיעותיה העצמיות של המתלוננת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בתוך כך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במספר אירועים שונים סתר המערער את תשובותיו הקודמות לשאלות שהוצגו בפניו מטעם בית המשפט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ובשל כך נמנעה ההגנה ממתן התייחסות קונקרטית לגרסת המערער ולטיב עדותו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לעדויותיהם של בני המשפחה הודגש כי אלו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בדומה לעדותו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נמצאו כבלתי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מהימנות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הערכאה הדיונית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הדמיון בעדויות בני המשפחה עוררו בקרב בית המשפט חשד לתיאום עדויות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אשר גרע משמעותית מהאמון שניתן בהן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109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בכלל זאת פורט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עדויותיהם של האח ד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והאחות ש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בדבר המצב הכללי בבית המשפחה נדחו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בית המשפט המחוזי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וזאת בשל התרשמותו בדבר קיומה של השפעה ברורה מצד המערער ורעייתו על גרסאותיהם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לעדות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סבורה המשיבה כי זו נתמכת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מגוון ראיות מחזקות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Miriam" w:hAnsi="Miriam" w:cs="Miriam"/>
          <w:sz w:val="14"/>
          <w:sz w:val="14"/>
          <w:szCs w:val="24"/>
          <w:rtl w:val="true"/>
        </w:rPr>
        <w:t>האחת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מצבה הנפשי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מעדות המטפלת של המתלוננת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האחרונה סובלת מפוסט טראומה מורכבת המתבטאת בשורת סימפטומים שכיחים בקרב נפגעי תקיפה מינית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ניתוקים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פלאשבקים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קשיי שינה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חתכים עצמיים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קשיים ביצירת קשרים אישיים וניסיונות התאבדות</w:t>
      </w:r>
      <w:r>
        <w:rPr>
          <w:rFonts w:cs="Century" w:ascii="Century" w:hAnsi="Century"/>
          <w:sz w:val="22"/>
          <w:rtl w:val="true"/>
        </w:rPr>
        <w:t>);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Miriam" w:hAnsi="Miriam" w:cs="Miriam"/>
          <w:sz w:val="14"/>
          <w:sz w:val="14"/>
          <w:szCs w:val="24"/>
          <w:rtl w:val="true"/>
        </w:rPr>
        <w:t>השנייה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בעיות השינה מהן סבלה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נהגה המתלוננת לישון בתנוחה עוברית בקצה המזרון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לעיתים החלה לנוע בפראות בעוד ישנה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לעניין זה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חלק ניכר מן הפגיעות המיניות שבוצעו במתלוננת אירעו בלילה לאחר שנשכבה לישון</w:t>
      </w:r>
      <w:r>
        <w:rPr>
          <w:rFonts w:cs="Century" w:ascii="Century" w:hAnsi="Century"/>
          <w:sz w:val="22"/>
          <w:rtl w:val="true"/>
        </w:rPr>
        <w:t xml:space="preserve">; 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Miriam" w:hAnsi="Miriam" w:cs="Miriam"/>
          <w:sz w:val="14"/>
          <w:sz w:val="14"/>
          <w:szCs w:val="24"/>
          <w:rtl w:val="true"/>
        </w:rPr>
        <w:t>השלישית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אופן חשיפת הסיפור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בשלב הראשון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נימקה המתלוננת את החלטתה לעזוב את בית המשפט בפערים הדתיים ובאלימות שהפעילה אימה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ואילו בשלב 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הפגיעה בפעם האחרונה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החלה המתלוננת לחשוף את הטעם האמיתי לעזיבתה</w:t>
      </w:r>
      <w:r>
        <w:rPr>
          <w:rFonts w:cs="Century" w:ascii="Century" w:hAnsi="Century"/>
          <w:sz w:val="22"/>
          <w:rtl w:val="true"/>
        </w:rPr>
        <w:t>;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Miriam" w:hAnsi="Miriam" w:cs="Miriam"/>
          <w:sz w:val="14"/>
          <w:sz w:val="14"/>
          <w:szCs w:val="24"/>
          <w:rtl w:val="true"/>
        </w:rPr>
        <w:t>הרביעית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מצבה הנפשי של המתלוננת בעת חשיפת הפגיעות המיניות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לצד התיאורים של העובדת הסוציאלית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לפיהם התקשתה המתלוננת לתקשר עם הסביבה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הודגשה פניית המתלוננת לרשויות הרווחה בשנת </w:t>
      </w:r>
      <w:r>
        <w:rPr>
          <w:rFonts w:cs="Century" w:ascii="Century" w:hAnsi="Century"/>
          <w:sz w:val="22"/>
        </w:rPr>
        <w:t>2013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בשל דאגתה לאחותה ש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>כך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אם חששות המתלוננת לאחותה היו מבוססים ובין אם לאו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 שפנייתה זו נובעת מצלקות עברה</w:t>
      </w:r>
      <w:r>
        <w:rPr>
          <w:rFonts w:cs="Century" w:ascii="Century" w:hAnsi="Century"/>
          <w:sz w:val="22"/>
          <w:rtl w:val="true"/>
        </w:rPr>
        <w:t xml:space="preserve">; 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Miriam" w:hAnsi="Miriam" w:cs="Miriam"/>
          <w:sz w:val="14"/>
          <w:sz w:val="14"/>
          <w:szCs w:val="24"/>
          <w:rtl w:val="true"/>
        </w:rPr>
        <w:t>החמישית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היעדר מניע משכנע לבדיית תלונת שווא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הואיל ובית המשפט המחוזי שלל את המניעים שהוצגו מטעם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סבורה המשיבה כי היעדרו של מניע כאמור מחזק את אמיתות עדות המתלוננת</w:t>
      </w:r>
      <w:r>
        <w:rPr>
          <w:rFonts w:cs="Century" w:ascii="Century" w:hAnsi="Century"/>
          <w:sz w:val="22"/>
          <w:rtl w:val="true"/>
        </w:rPr>
        <w:t>;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Miriam" w:hAnsi="Miriam" w:cs="Miriam"/>
          <w:sz w:val="14"/>
          <w:sz w:val="14"/>
          <w:szCs w:val="24"/>
          <w:rtl w:val="true"/>
        </w:rPr>
        <w:t>והשישית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הימנעותה המכוונת של המתלוננת מלהיפגש עם המערער עד לחשיפת התלונה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בהינתן שהמתלוננת נפגשה עם יתר בני משפחתה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לרבות אימה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אותה האשימה המתלוננת במעשי אלימות כלפיה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נטען כי המאמצים הרבים שהקדישה לשם הימנעות מאביה מהווים אך נדבך נוסף התומך בגרסתה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לטענת המערער הנוגעת להיתכנות המעשים נוכח אופי מגורי המשפחה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הודגש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המשיבה כי מדובר בטענה חוזרת בהליכים פליליים שעניינם בעבירות מין במשפחה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ניסיון החיים והפסיקה מלמדים כי פוגעים מוכנים ליטול סיכונים מסוג זה על מנת למלא את תאוותם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בין אם הדבר נובע מביטחון עצמי שהדבר לא יתגלה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בני המשפחה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ובין אם מתוך הנחה כי אלו יימנעו מחשיפתו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בהקשר זה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נתן בית המשפט המחוזי דעתו לקושי המתעורר מכוחה של טענה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אולם לבסוף קבע כי אין בכך כדי לפגוע באמינות המתלוננת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וזאת מבלי להכריע אם בני המשפחה ידעו ושתקו או שמא כלל לא ידעו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לחוות הדעת הרפואית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בואר כי במהלך חקירתו הנגדית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הודה המומחה מטעם ההגנה כי אין בהיעדרם של ממצאים וחבלות כדי לשלול באופן קטגורי כי הפגיעות המיניות אכן אירעו בפועל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סירובה של המתלוננת לעבור בדיקה גופנית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הכוללת בחינה של איבריה האינטימיים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היא החלטה סבירה ביותר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ואילו אין באי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ביצועה של בדיקה רפואית משום מחדל חקירתי או פגיעה באמינות המתלוננת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לשיטת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לדחות את כלל טענות המערער בדבר קיומם של מחדלים חקירתיים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בהינתן שהחקירה נפתחה שנים רבות לאחר ביצוע המעשים המתוארים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ברי כי החלטת החוקרים שלא לערוך בדיקות לאיתורם של כתמי דם או סימני זרע במוצרי הטקסטיל שבבית המשפחה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היא מתקבלת על הדעת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לכמות העבירות בהן הורשע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סבורה המשיבה כי מדובר בהערכה מתונה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שכן לפי חשבון שנערך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המתלוננת והפסיכולוגית המלווה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מדובר על כ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1,600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בהינתן שהערכה זו התקבלה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בשים לב לעובדה כי במהלך תקופות מסוימות נהג המערער לבצע במתלוננת מספר עבירות שונות בלילה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 כי מדובר בהערכה זהירה שאין מקום להתערב בה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לגזר הדין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העונש שהושת על המערער עולה בקנה אחד עם המגמה המוכרת בפסיקה בדבר הצורך בהחמרת הענישה בגין עבירות מסוג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וממילא זה מבוסס על עונשים שנגזרו במקרים דומים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Heading1"/>
        <w:spacing w:lineRule="auto" w:line="360" w:before="240" w:after="240"/>
        <w:ind w:hanging="0" w:start="0" w:end="0"/>
        <w:jc w:val="start"/>
        <w:rPr>
          <w:rFonts w:ascii="Century" w:hAnsi="Century" w:cs="Miriam"/>
          <w:b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דיון והכרעה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לאחר שבחנתי לעומק את הכרעת הדין וגזר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ונתתי דעתי על טענות הצדדים מזה ומזה</w:t>
      </w:r>
      <w:r>
        <w:rPr>
          <w:rtl w:val="true"/>
        </w:rPr>
        <w:t xml:space="preserve">, </w:t>
      </w:r>
      <w:r>
        <w:rPr>
          <w:rtl w:val="true"/>
        </w:rPr>
        <w:t>אלו שבכתב ואלו 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 xml:space="preserve">באתי לכלל מסקנה כי דין הערעור </w:t>
      </w:r>
      <w:r>
        <w:rPr>
          <w:rFonts w:ascii="Miriam" w:hAnsi="Miriam" w:cs="Miriam"/>
          <w:sz w:val="20"/>
          <w:sz w:val="20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כי נעשה</w:t>
      </w:r>
      <w:r>
        <w:rPr>
          <w:rtl w:val="true"/>
        </w:rPr>
        <w:t xml:space="preserve">. 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הערעור על הכרעת הדין</w:t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הלכה ידועה היא</w:t>
      </w:r>
      <w:r>
        <w:rPr>
          <w:rtl w:val="true"/>
        </w:rPr>
        <w:t xml:space="preserve">, </w:t>
      </w:r>
      <w:r>
        <w:rPr>
          <w:rtl w:val="true"/>
        </w:rPr>
        <w:t>כי ערכאת ערעור לא תתערב</w:t>
      </w:r>
      <w:r>
        <w:rPr>
          <w:rtl w:val="true"/>
        </w:rPr>
        <w:t xml:space="preserve">, </w:t>
      </w:r>
      <w:r>
        <w:rPr>
          <w:rtl w:val="true"/>
        </w:rPr>
        <w:t>דרך כלל</w:t>
      </w:r>
      <w:r>
        <w:rPr>
          <w:rtl w:val="true"/>
        </w:rPr>
        <w:t xml:space="preserve">, </w:t>
      </w:r>
      <w:r>
        <w:rPr>
          <w:rtl w:val="true"/>
        </w:rPr>
        <w:t>בממצאי עובדה של ערכאה דיונית שנקבעו על יסוד הערכת מהימנות ומשקל של ראיות שהובאו לפניה</w:t>
      </w:r>
      <w:r>
        <w:rPr>
          <w:rtl w:val="true"/>
        </w:rPr>
        <w:t xml:space="preserve">. </w:t>
      </w:r>
      <w:r>
        <w:rPr>
          <w:rtl w:val="true"/>
        </w:rPr>
        <w:t>הטעם העיקרי לכך נעוץ בכך שלערכאה הדיונית יתרון מובנה על פני ערכאת הערעור</w:t>
      </w:r>
      <w:r>
        <w:rPr>
          <w:rtl w:val="true"/>
        </w:rPr>
        <w:t xml:space="preserve">, </w:t>
      </w:r>
      <w:r>
        <w:rPr>
          <w:rtl w:val="true"/>
        </w:rPr>
        <w:t>כמי ששמעה והתרשמה ישירות מהעדים ומהמומחים</w:t>
      </w:r>
      <w:r>
        <w:rPr>
          <w:rtl w:val="true"/>
        </w:rPr>
        <w:t xml:space="preserve">, </w:t>
      </w:r>
      <w:r>
        <w:rPr>
          <w:rtl w:val="true"/>
        </w:rPr>
        <w:t xml:space="preserve">וכמי שצללה לנבכי הראיות והמסמכים שהובאו לפניה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9352/99</w:t>
        </w:r>
      </w:hyperlink>
      <w:r>
        <w:rPr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יומטוביאן נ</w:t>
      </w:r>
      <w:r>
        <w:rPr>
          <w:rFonts w:cs="Miriam" w:ascii="Miriam" w:hAnsi="Miriam"/>
          <w:color w:val="000000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מדינת 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פד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נד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632</w:t>
      </w:r>
      <w:r>
        <w:rPr>
          <w:rtl w:val="true"/>
        </w:rPr>
        <w:t xml:space="preserve">, </w:t>
      </w:r>
      <w:r>
        <w:rPr/>
        <w:t>644-643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); 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2202/08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07.03.2012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פסקו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sz w:val="28"/>
          <w:sz w:val="28"/>
          <w:rtl w:val="true"/>
        </w:rPr>
        <w:t xml:space="preserve">הלכה זו מקבלת משנה תוקף כאשר מדובר בעדויות הנוגעות לעבירות מין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 למשל</w:t>
      </w:r>
      <w:r>
        <w:rPr>
          <w:sz w:val="28"/>
          <w:rtl w:val="true"/>
        </w:rPr>
        <w:t xml:space="preserve">: </w:t>
      </w:r>
      <w:hyperlink r:id="rId32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6375/02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בבקוב נ</w:t>
      </w:r>
      <w:r>
        <w:rPr>
          <w:rFonts w:cs="Miriam" w:ascii="Miriam" w:hAnsi="Miriam"/>
          <w:color w:val="00000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rtl w:val="true"/>
        </w:rPr>
        <w:t>מדינת ישראל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פ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ד נח</w:t>
      </w:r>
      <w:r>
        <w:rPr>
          <w:sz w:val="28"/>
          <w:rtl w:val="true"/>
        </w:rPr>
        <w:t>(</w:t>
      </w:r>
      <w:r>
        <w:rPr>
          <w:sz w:val="28"/>
        </w:rPr>
        <w:t>2</w:t>
      </w:r>
      <w:r>
        <w:rPr>
          <w:sz w:val="28"/>
          <w:rtl w:val="true"/>
        </w:rPr>
        <w:t xml:space="preserve">) </w:t>
      </w:r>
      <w:r>
        <w:rPr>
          <w:sz w:val="28"/>
        </w:rPr>
        <w:t>419</w:t>
      </w:r>
      <w:r>
        <w:rPr>
          <w:sz w:val="28"/>
          <w:rtl w:val="true"/>
        </w:rPr>
        <w:t xml:space="preserve">, </w:t>
      </w:r>
      <w:r>
        <w:rPr>
          <w:sz w:val="28"/>
        </w:rPr>
        <w:t>425</w:t>
      </w:r>
      <w:r>
        <w:rPr>
          <w:sz w:val="28"/>
          <w:rtl w:val="true"/>
        </w:rPr>
        <w:t xml:space="preserve"> (</w:t>
      </w:r>
      <w:r>
        <w:rPr>
          <w:sz w:val="28"/>
        </w:rPr>
        <w:t>2004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בבקוב</w:t>
      </w:r>
      <w:r>
        <w:rPr>
          <w:sz w:val="28"/>
          <w:rtl w:val="true"/>
        </w:rPr>
        <w:t xml:space="preserve">); </w:t>
      </w:r>
      <w:hyperlink r:id="rId33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5229/07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07.08.2008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במקרים מסוג 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הכרעת הדין של הערכאה הדיונית מבוססת בעיקר על התרשמותה ממהימנות העדים שהעידו לפניה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ובפרט מעדותה של המתלוננת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יפים לענייננו דבריה של השופטת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כתוארה אז</w:t>
      </w:r>
      <w:r>
        <w:rPr>
          <w:sz w:val="28"/>
          <w:rtl w:val="true"/>
        </w:rPr>
        <w:t xml:space="preserve">)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חיות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בבקוב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426-425</w:t>
      </w:r>
      <w:r>
        <w:rPr>
          <w:sz w:val="28"/>
          <w:rtl w:val="true"/>
        </w:rPr>
        <w:t>):</w:t>
      </w:r>
    </w:p>
    <w:p>
      <w:pPr>
        <w:pStyle w:val="Ruller51"/>
        <w:spacing w:before="240" w:after="240"/>
        <w:ind w:end="1282"/>
        <w:jc w:val="both"/>
        <w:rPr/>
      </w:pPr>
      <w:bookmarkStart w:id="14" w:name="_Hlk109058298"/>
      <w:bookmarkEnd w:id="14"/>
      <w:r>
        <w:rPr>
          <w:rtl w:val="true"/>
        </w:rPr>
        <w:t>"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טיבו</w:t>
      </w:r>
      <w:r>
        <w:rPr>
          <w:rtl w:val="true"/>
        </w:rPr>
        <w:t xml:space="preserve">, </w:t>
      </w:r>
      <w:r>
        <w:rPr>
          <w:rtl w:val="true"/>
        </w:rPr>
        <w:t>עוסקת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ורהוטה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הטון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, </w:t>
      </w:r>
      <w:r>
        <w:rPr>
          <w:rtl w:val="true"/>
        </w:rPr>
        <w:t>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bookmarkStart w:id="15" w:name="_Hlk109058298"/>
      <w:bookmarkEnd w:id="15"/>
      <w:r>
        <w:rPr>
          <w:rtl w:val="true"/>
        </w:rPr>
        <w:t>כפי שצוין בעבר</w:t>
      </w:r>
      <w:r>
        <w:rPr>
          <w:rtl w:val="true"/>
        </w:rPr>
        <w:t xml:space="preserve">, </w:t>
      </w:r>
      <w:r>
        <w:rPr>
          <w:rtl w:val="true"/>
        </w:rPr>
        <w:t>להלכה זו שלושה חריגים</w:t>
      </w:r>
      <w:r>
        <w:rPr>
          <w:rtl w:val="true"/>
        </w:rPr>
        <w:t xml:space="preserve">, </w:t>
      </w:r>
      <w:r>
        <w:rPr>
          <w:rtl w:val="true"/>
        </w:rPr>
        <w:t xml:space="preserve">המאפשרים לערכאת הערעור להתערב בקביעותיה העובדתיות של הערכאה הדיונית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  <w:r>
        <w:rPr>
          <w:rtl w:val="true"/>
        </w:rPr>
        <w:t xml:space="preserve">החריג </w:t>
      </w:r>
      <w:r>
        <w:rPr>
          <w:rFonts w:ascii="Times New Roman" w:hAnsi="Times New Roman" w:cs="Miriam"/>
          <w:spacing w:val="0"/>
          <w:szCs w:val="24"/>
          <w:rtl w:val="true"/>
        </w:rPr>
        <w:t>הראשון</w:t>
      </w:r>
      <w:r>
        <w:rPr>
          <w:rFonts w:ascii="Times New Roman" w:hAnsi="Times New Roman" w:cs="Times New Roman"/>
          <w:rtl w:val="true"/>
        </w:rPr>
        <w:t xml:space="preserve"> מתייחס למקרים שבהם הממצאים מתבססים על ראיות בכתב ולא על הופעת העדים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שהרי במקרים אלו אין לערכאה הדיונית יתרון כלשהו על פני ערכאת הערעור </w:t>
      </w:r>
      <w:r>
        <w:rPr>
          <w:rtl w:val="true"/>
        </w:rPr>
        <w:t>(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398/89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מנצור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בך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19.01.1994</w:t>
      </w:r>
      <w:r>
        <w:rPr>
          <w:rFonts w:cs="Century" w:ascii="Century" w:hAnsi="Century"/>
          <w:rtl w:val="true"/>
        </w:rPr>
        <w:t>))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tl w:val="true"/>
        </w:rPr>
        <w:t xml:space="preserve">החריג </w:t>
      </w:r>
      <w:r>
        <w:rPr>
          <w:rFonts w:ascii="Times New Roman" w:hAnsi="Times New Roman" w:cs="Miriam"/>
          <w:spacing w:val="0"/>
          <w:szCs w:val="24"/>
          <w:rtl w:val="true"/>
        </w:rPr>
        <w:t>השני</w:t>
      </w:r>
      <w:r>
        <w:rPr>
          <w:rFonts w:ascii="Times New Roman" w:hAnsi="Times New Roman" w:cs="Times New Roman"/>
          <w:rtl w:val="true"/>
        </w:rPr>
        <w:t xml:space="preserve"> מתייחס למקרים שבהם ממצאי הערכאה הדיונית מתבססים על שיקולים שבהגיון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35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5937/94</w:t>
        </w:r>
      </w:hyperlink>
      <w:r>
        <w:rPr>
          <w:rFonts w:cs="Times New Roman" w:ascii="Times New Roman" w:hAnsi="Times New Roman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שאבי נ</w:t>
      </w:r>
      <w:r>
        <w:rPr>
          <w:rFonts w:cs="Miriam" w:ascii="Miriam" w:hAnsi="Miriam"/>
          <w:color w:val="000000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מדינת ישראל</w:t>
      </w:r>
      <w:r>
        <w:rPr>
          <w:rFonts w:cs="Times New Roman" w:ascii="Times New Roman" w:hAnsi="Times New Roman"/>
          <w:color w:val="000000"/>
          <w:rtl w:val="true"/>
        </w:rPr>
        <w:t xml:space="preserve">, </w:t>
      </w:r>
      <w:r>
        <w:rPr>
          <w:rFonts w:ascii="Times New Roman" w:hAnsi="Times New Roman" w:cs="Times New Roman"/>
          <w:color w:val="000000"/>
          <w:rtl w:val="true"/>
        </w:rPr>
        <w:t>פ</w:t>
      </w:r>
      <w:r>
        <w:rPr>
          <w:rFonts w:cs="Times New Roman" w:ascii="Times New Roman" w:hAnsi="Times New Roman"/>
          <w:color w:val="000000"/>
          <w:rtl w:val="true"/>
        </w:rPr>
        <w:t>"</w:t>
      </w:r>
      <w:r>
        <w:rPr>
          <w:rFonts w:ascii="Times New Roman" w:hAnsi="Times New Roman" w:cs="Times New Roman"/>
          <w:color w:val="000000"/>
          <w:rtl w:val="true"/>
        </w:rPr>
        <w:t>ד מט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832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835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1995</w:t>
      </w:r>
      <w:r>
        <w:rPr>
          <w:rFonts w:cs="Times New Roman" w:ascii="Times New Roman" w:hAnsi="Times New Roman"/>
          <w:rtl w:val="true"/>
        </w:rPr>
        <w:t xml:space="preserve">)); </w:t>
      </w:r>
      <w:r>
        <w:rPr>
          <w:rFonts w:ascii="Times New Roman" w:hAnsi="Times New Roman" w:cs="Times New Roman"/>
          <w:rtl w:val="true"/>
        </w:rPr>
        <w:t>והחריג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Times New Roman" w:hAnsi="Times New Roman" w:cs="Miriam"/>
          <w:spacing w:val="0"/>
          <w:szCs w:val="24"/>
          <w:rtl w:val="true"/>
        </w:rPr>
        <w:t>שלישי</w:t>
      </w:r>
      <w:r>
        <w:rPr>
          <w:rFonts w:ascii="Times New Roman" w:hAnsi="Times New Roman" w:cs="Times New Roman"/>
          <w:rtl w:val="true"/>
        </w:rPr>
        <w:t xml:space="preserve"> עניינו במצבים בהם נפלו טעויות מהותיות בהערכת המהימנות של העדויות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הערכאה הדיונית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כגון התעלמות מסתירות בעדות היורדות לשורשו של עניין או התעלמות מגורמים רלבנטיים להערכה של משקל העדות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4977/92</w:t>
        </w:r>
      </w:hyperlink>
      <w:r>
        <w:rPr>
          <w:rFonts w:cs="Times New Roman" w:ascii="Times New Roman" w:hAnsi="Times New Roman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ג</w:t>
      </w:r>
      <w:r>
        <w:rPr>
          <w:rFonts w:cs="Miriam" w:ascii="Miriam" w:hAnsi="Miriam"/>
          <w:color w:val="000000"/>
          <w:sz w:val="20"/>
          <w:szCs w:val="24"/>
          <w:rtl w:val="true"/>
        </w:rPr>
        <w:t>'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ברין נ</w:t>
      </w:r>
      <w:r>
        <w:rPr>
          <w:rFonts w:cs="Miriam" w:ascii="Miriam" w:hAnsi="Miriam"/>
          <w:color w:val="000000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מדינת ישראל</w:t>
      </w:r>
      <w:r>
        <w:rPr>
          <w:rFonts w:cs="Times New Roman" w:ascii="Times New Roman" w:hAnsi="Times New Roman"/>
          <w:color w:val="000000"/>
          <w:rtl w:val="true"/>
        </w:rPr>
        <w:t xml:space="preserve">, </w:t>
      </w:r>
      <w:r>
        <w:rPr>
          <w:rFonts w:ascii="Times New Roman" w:hAnsi="Times New Roman" w:cs="Times New Roman"/>
          <w:color w:val="000000"/>
          <w:rtl w:val="true"/>
        </w:rPr>
        <w:t>פ</w:t>
      </w:r>
      <w:r>
        <w:rPr>
          <w:rFonts w:cs="Times New Roman" w:ascii="Times New Roman" w:hAnsi="Times New Roman"/>
          <w:color w:val="000000"/>
          <w:rtl w:val="true"/>
        </w:rPr>
        <w:t>"</w:t>
      </w:r>
      <w:r>
        <w:rPr>
          <w:rFonts w:ascii="Times New Roman" w:hAnsi="Times New Roman" w:cs="Times New Roman"/>
          <w:color w:val="000000"/>
          <w:rtl w:val="true"/>
        </w:rPr>
        <w:t>ד</w:t>
      </w:r>
      <w:r>
        <w:rPr>
          <w:rFonts w:ascii="Times New Roman" w:hAnsi="Times New Roman" w:cs="Times New Roman"/>
          <w:color w:val="000000"/>
          <w:rtl w:val="true"/>
        </w:rPr>
        <w:t xml:space="preserve"> </w:t>
      </w:r>
      <w:r>
        <w:rPr>
          <w:rFonts w:ascii="Times New Roman" w:hAnsi="Times New Roman" w:cs="Times New Roman"/>
          <w:color w:val="000000"/>
          <w:rtl w:val="true"/>
        </w:rPr>
        <w:t>מז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690</w:t>
      </w:r>
      <w:r>
        <w:rPr>
          <w:rtl w:val="true"/>
        </w:rPr>
        <w:t xml:space="preserve">, </w:t>
      </w:r>
      <w:r>
        <w:rPr/>
        <w:t>696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)).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עיקר טענותיו של המערער מופנות נגד התרשמותו של בית המשפט המחוזי מעדותה של המתלוננת</w:t>
      </w:r>
      <w:r>
        <w:rPr>
          <w:rtl w:val="true"/>
        </w:rPr>
        <w:t xml:space="preserve">, </w:t>
      </w:r>
      <w:r>
        <w:rPr>
          <w:rtl w:val="true"/>
        </w:rPr>
        <w:t>כמו גם מן הראיות שהוצגו כתימוכין לעדות זו</w:t>
      </w:r>
      <w:r>
        <w:rPr>
          <w:rtl w:val="true"/>
        </w:rPr>
        <w:t xml:space="preserve">. </w:t>
      </w:r>
      <w:r>
        <w:rPr>
          <w:rtl w:val="true"/>
        </w:rPr>
        <w:t>בכך למעשה</w:t>
      </w:r>
      <w:r>
        <w:rPr>
          <w:rtl w:val="true"/>
        </w:rPr>
        <w:t xml:space="preserve">, </w:t>
      </w:r>
      <w:r>
        <w:rPr>
          <w:rtl w:val="true"/>
        </w:rPr>
        <w:t>מבקש המערער מבית המשפט זה להפעיל את החריג השלישי שנקבע ביחס להלכת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לאחר שבחנתי את התרשמותו של בית המשפט המחוזי מן העדויות והראיות שהוצגו לפניו</w:t>
      </w:r>
      <w:r>
        <w:rPr>
          <w:rtl w:val="true"/>
        </w:rPr>
        <w:t xml:space="preserve">, </w:t>
      </w:r>
      <w:r>
        <w:rPr>
          <w:rtl w:val="true"/>
        </w:rPr>
        <w:t>וכן את טענות המערער בגדרי הערעור</w:t>
      </w:r>
      <w:r>
        <w:rPr>
          <w:rtl w:val="true"/>
        </w:rPr>
        <w:t xml:space="preserve">, </w:t>
      </w:r>
      <w:r>
        <w:rPr>
          <w:rtl w:val="true"/>
        </w:rPr>
        <w:t>באתי לכלל מסקנה כי אין בקביעותיו של בית המשפט המחוזי משום פגם היורד לשורשו של עניין או התעלמות מגורמים רלבנטיים להערכת משקל העדויות השונות</w:t>
      </w:r>
      <w:r>
        <w:rPr>
          <w:rtl w:val="true"/>
        </w:rPr>
        <w:t xml:space="preserve">, </w:t>
      </w:r>
      <w:r>
        <w:rPr>
          <w:rtl w:val="true"/>
        </w:rPr>
        <w:t>המצדיקים את התערבותנו</w:t>
      </w:r>
      <w:r>
        <w:rPr>
          <w:rtl w:val="true"/>
        </w:rPr>
        <w:t xml:space="preserve">. </w:t>
      </w:r>
      <w:r>
        <w:rPr>
          <w:rtl w:val="true"/>
        </w:rPr>
        <w:t>אעמוד עתה על הטעמים שהביאוני למסקנתי זו</w:t>
      </w:r>
      <w:r>
        <w:rPr>
          <w:rtl w:val="true"/>
        </w:rPr>
        <w:t>.</w:t>
      </w:r>
    </w:p>
    <w:p>
      <w:pPr>
        <w:pStyle w:val="Heading3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</w:rPr>
      </w:pPr>
      <w:r>
        <w:rPr>
          <w:rFonts w:ascii="Miriam" w:hAnsi="Miriam" w:cs="Miriam"/>
          <w:color w:val="000000"/>
          <w:rtl w:val="true"/>
        </w:rPr>
        <w:t>מהימנותה של המתלוננת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בית המשפט המחוזי מצא כי עדות המתלוננת הייתה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משכנעת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אמיתית וקורעת לב</w:t>
      </w:r>
      <w:r>
        <w:rPr>
          <w:rtl w:val="true"/>
        </w:rPr>
        <w:t xml:space="preserve">", </w:t>
      </w:r>
      <w:r>
        <w:rPr>
          <w:rtl w:val="true"/>
        </w:rPr>
        <w:t>ובהתאם אימץ את גרסתה במלואה</w:t>
      </w:r>
      <w:r>
        <w:rPr>
          <w:rtl w:val="true"/>
        </w:rPr>
        <w:t xml:space="preserve">. </w:t>
      </w:r>
      <w:r>
        <w:rPr>
          <w:rtl w:val="true"/>
        </w:rPr>
        <w:t>קביעה זו התקבלה לאחר סקירה רחבה של עדות המתלוננת ובחינתה אל מול מארג הראיות בתיק</w:t>
      </w:r>
      <w:r>
        <w:rPr>
          <w:rtl w:val="true"/>
        </w:rPr>
        <w:t xml:space="preserve">, </w:t>
      </w:r>
      <w:r>
        <w:rPr>
          <w:rtl w:val="true"/>
        </w:rPr>
        <w:t>תוך מתן דגש לקושי הכרוך בחשיפת האירועים</w:t>
      </w:r>
      <w:r>
        <w:rPr>
          <w:rtl w:val="true"/>
        </w:rPr>
        <w:t xml:space="preserve">. </w:t>
      </w:r>
      <w:r>
        <w:rPr>
          <w:rtl w:val="true"/>
        </w:rPr>
        <w:t>במסגרת קביעתו זו</w:t>
      </w:r>
      <w:r>
        <w:rPr>
          <w:rtl w:val="true"/>
        </w:rPr>
        <w:t xml:space="preserve">, </w:t>
      </w:r>
      <w:r>
        <w:rPr>
          <w:rtl w:val="true"/>
        </w:rPr>
        <w:t>הסתמך בית המשפט המחוזי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על התרשמותו האישית והישירה מעדותה ומהתנהגותה של המתלוננת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 xml:space="preserve">על עדויות מקורבי המתלוננת ביחס למצבה הנפשי ולמידע שמסרה להם ביחס למסכת האירועים המתוארים </w:t>
      </w:r>
      <w:r>
        <w:rPr>
          <w:rtl w:val="true"/>
        </w:rPr>
        <w:t>–</w:t>
      </w:r>
      <w:r>
        <w:rPr>
          <w:rtl w:val="true"/>
        </w:rPr>
        <w:t xml:space="preserve"> אשר השתלבו כולם היטב עם עדות המתלוננת</w:t>
      </w:r>
      <w:r>
        <w:rPr>
          <w:rtl w:val="true"/>
        </w:rPr>
        <w:t xml:space="preserve">.  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בתוך כך נטען</w:t>
      </w:r>
      <w:r>
        <w:rPr>
          <w:rtl w:val="true"/>
        </w:rPr>
        <w:t xml:space="preserve">, </w:t>
      </w:r>
      <w:r>
        <w:rPr>
          <w:rtl w:val="true"/>
        </w:rPr>
        <w:t>כי בהינתן הסתירות המתעוררות בגרסת המתלוננת</w:t>
      </w:r>
      <w:r>
        <w:rPr>
          <w:rtl w:val="true"/>
        </w:rPr>
        <w:t xml:space="preserve">, </w:t>
      </w:r>
      <w:r>
        <w:rPr>
          <w:rtl w:val="true"/>
        </w:rPr>
        <w:t>הפנימיות והחיצוניות כאחד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שעה שביכר את גרסת המתלוננת על פני גרסאותיהם של המערער ושל יתר בני המשפחה</w:t>
      </w:r>
      <w:r>
        <w:rPr>
          <w:rtl w:val="true"/>
        </w:rPr>
        <w:t xml:space="preserve">. </w:t>
      </w:r>
      <w:r>
        <w:rPr>
          <w:rtl w:val="true"/>
        </w:rPr>
        <w:t xml:space="preserve">דין טענה זו של המערער </w:t>
      </w:r>
      <w:r>
        <w:rPr>
          <w:rFonts w:ascii="Miriam" w:hAnsi="Miriam" w:cs="Miriam"/>
          <w:sz w:val="20"/>
          <w:sz w:val="20"/>
          <w:szCs w:val="24"/>
          <w:rtl w:val="true"/>
        </w:rPr>
        <w:t>להידחות</w:t>
      </w:r>
      <w:r>
        <w:rPr>
          <w:rtl w:val="true"/>
        </w:rPr>
        <w:t xml:space="preserve">. 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פקודת הראיות</w:t>
      </w:r>
      <w:r>
        <w:rPr>
          <w:rtl w:val="true"/>
        </w:rPr>
        <w:t xml:space="preserve">) </w:t>
      </w:r>
      <w:r>
        <w:rPr>
          <w:rtl w:val="true"/>
        </w:rPr>
        <w:t>קובע מפורשות כי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הסתירות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כלל זה חל במשנה תוקף ביחס למהימנותם של נפגעי תקיפות מיניות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לעיתים רבות דבריו של קורבן תקיפה מינית מאופיינים באלמנטים של בלבול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חוסר בהירות או חוסר אחידות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אולם אין בסתירות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בגפן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כדי לפגוע בהכרח במהימנות העדות או כדי להטיל ספק בגרסה המתוארת </w:t>
      </w:r>
      <w:r>
        <w:rPr>
          <w:rFonts w:cs="Century" w:ascii="Century" w:hAnsi="Century"/>
          <w:sz w:val="22"/>
          <w:rtl w:val="true"/>
        </w:rPr>
        <w:t>(</w:t>
      </w:r>
      <w:hyperlink r:id="rId3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6643/05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ascii="Miriam" w:hAnsi="Miriam" w:cs="Miriam"/>
          <w:sz w:val="18"/>
          <w:sz w:val="18"/>
          <w:szCs w:val="24"/>
          <w:rtl w:val="true"/>
        </w:rPr>
        <w:t>ע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ארבל</w:t>
      </w:r>
      <w:r>
        <w:rPr>
          <w:rFonts w:ascii="Century" w:hAnsi="Century" w:cs="Century"/>
          <w:sz w:val="22"/>
          <w:sz w:val="22"/>
          <w:rtl w:val="true"/>
        </w:rPr>
        <w:t xml:space="preserve"> 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03.07.2007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בהתאם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בפסיקת בית משפט זה נקבע כי בחינת מהימנות גרסת המתלוננת תיעשה בהתייחס לליבתה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ובהינתן מכלול הנסיבות האופפות את המעשה </w:t>
      </w:r>
      <w:r>
        <w:rPr>
          <w:rFonts w:cs="Century" w:ascii="Century" w:hAnsi="Century"/>
          <w:sz w:val="22"/>
          <w:rtl w:val="true"/>
        </w:rPr>
        <w:t>(</w:t>
      </w:r>
      <w:hyperlink r:id="rId4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8120/19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וייספיש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02.12.2021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וכך הובעו הדברים בעניין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טבעיות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האינהרנטי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מושלמת</w:t>
      </w:r>
      <w:r>
        <w:rPr>
          <w:rtl w:val="true"/>
        </w:rPr>
        <w:t xml:space="preserve">',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כרונולוגית</w:t>
      </w:r>
      <w:r>
        <w:rPr>
          <w:rtl w:val="true"/>
        </w:rPr>
        <w:t xml:space="preserve">, </w:t>
      </w:r>
      <w:r>
        <w:rPr>
          <w:rtl w:val="true"/>
        </w:rPr>
        <w:t>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Miriam" w:hAnsi="Miriam" w:cs="Miriam"/>
          <w:sz w:val="18"/>
          <w:sz w:val="18"/>
          <w:szCs w:val="24"/>
          <w:rtl w:val="true"/>
        </w:rPr>
        <w:t>כך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בבואו של בית המשפט לבחון את מהימנות עדותם של מתלונן או מתלוננת הוא יכול להסתפק ב</w:t>
      </w:r>
      <w:r>
        <w:rPr>
          <w:rFonts w:cs="Miriam" w:ascii="Miriam" w:hAnsi="Miriam"/>
          <w:sz w:val="18"/>
          <w:szCs w:val="24"/>
          <w:rtl w:val="true"/>
        </w:rPr>
        <w:t>'</w:t>
      </w:r>
      <w:r>
        <w:rPr>
          <w:rFonts w:ascii="Miriam" w:hAnsi="Miriam" w:cs="Miriam"/>
          <w:sz w:val="18"/>
          <w:sz w:val="18"/>
          <w:szCs w:val="24"/>
          <w:rtl w:val="true"/>
        </w:rPr>
        <w:t>גרעין האמת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שבה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ולעתים אף ב</w:t>
      </w:r>
      <w:r>
        <w:rPr>
          <w:rFonts w:cs="Miriam" w:ascii="Miriam" w:hAnsi="Miriam"/>
          <w:sz w:val="18"/>
          <w:szCs w:val="24"/>
          <w:rtl w:val="true"/>
        </w:rPr>
        <w:t>'</w:t>
      </w:r>
      <w:r>
        <w:rPr>
          <w:rFonts w:ascii="Miriam" w:hAnsi="Miriam" w:cs="Miriam"/>
          <w:sz w:val="18"/>
          <w:sz w:val="18"/>
          <w:szCs w:val="24"/>
          <w:rtl w:val="true"/>
        </w:rPr>
        <w:t>גרעין הקשה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של 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במיוחד כאשר הקרבנות או העדים הם קטינים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אין לייחס משקל משמעותי לסתירות המתגלות בגרסאותיהם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כל עוד הערכאה הדיונית בחנה בקפדנות את עדותם ואיתרה בה גרעין מבוסס ואמין של אמת</w:t>
      </w:r>
      <w:r>
        <w:rPr>
          <w:rtl w:val="true"/>
        </w:rPr>
        <w:t>" [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26.03.2020</w:t>
      </w:r>
      <w:r>
        <w:rPr>
          <w:rtl w:val="true"/>
        </w:rPr>
        <w:t>) (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</w:t>
      </w:r>
      <w:r>
        <w:rPr>
          <w:rtl w:val="true"/>
        </w:rPr>
        <w:t xml:space="preserve">);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].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עמדה זו מתחזקת עשרות מונים שעה שמדובר בקורבנות שהיו קטינים בעת ביצוע העבירות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כאשר חלף זמן רב מעת ביצוען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יותר מקום בו פגיעתם נעשתה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בן משפחה </w:t>
      </w:r>
      <w:r>
        <w:rPr>
          <w:rFonts w:cs="Century" w:ascii="Century" w:hAnsi="Century"/>
          <w:sz w:val="22"/>
          <w:rtl w:val="true"/>
        </w:rPr>
        <w:t>(</w:t>
      </w:r>
      <w:hyperlink r:id="rId4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4776/10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22.10.2012</w:t>
      </w:r>
      <w:r>
        <w:rPr>
          <w:rFonts w:cs="Century" w:ascii="Century" w:hAnsi="Century"/>
          <w:sz w:val="22"/>
          <w:rtl w:val="true"/>
        </w:rPr>
        <w:t xml:space="preserve">)); </w:t>
      </w:r>
      <w:r>
        <w:rPr>
          <w:rFonts w:ascii="Century" w:hAnsi="Century" w:cs="Century"/>
          <w:sz w:val="22"/>
          <w:sz w:val="22"/>
          <w:rtl w:val="true"/>
        </w:rPr>
        <w:t xml:space="preserve">וכפי שהיטיב לתאר זאת השופט </w:t>
      </w:r>
      <w:r>
        <w:rPr>
          <w:rFonts w:ascii="Miriam" w:hAnsi="Miriam" w:cs="Miriam"/>
          <w:sz w:val="18"/>
          <w:sz w:val="18"/>
          <w:szCs w:val="24"/>
          <w:rtl w:val="true"/>
        </w:rPr>
        <w:t>י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עמית</w:t>
      </w:r>
      <w:r>
        <w:rPr>
          <w:rFonts w:cs="Century" w:ascii="Century" w:hAnsi="Century"/>
          <w:sz w:val="22"/>
          <w:rtl w:val="true"/>
        </w:rPr>
        <w:t xml:space="preserve">:  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הטראומטיים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ומדוייקת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>" [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20.10.2010</w:t>
      </w:r>
      <w:r>
        <w:rPr>
          <w:rtl w:val="true"/>
        </w:rPr>
        <w:t>)].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מעדות המתלוננת מתקבלת תמונה ברורה ורציפה בדבר האירועים הקשים שחוותה</w:t>
      </w:r>
      <w:r>
        <w:rPr>
          <w:rtl w:val="true"/>
        </w:rPr>
        <w:t xml:space="preserve">. </w:t>
      </w:r>
      <w:r>
        <w:rPr>
          <w:rtl w:val="true"/>
        </w:rPr>
        <w:t>בית המשפט המחוזי נימק בצורה יסודית ומפורטת מדוע ביכר את גרסת המתלוננת חלף גרסאות המערער ויתר בני המשפחה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הפניה להתנהלותה בזמן אמת ובהתבסס על הסימפטומים הפיזיים והנפשיים מהם סובלת המתלוננת כיום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הדגיש בית המשפט המחוזי את מאמצי המתלוננת לשמור על קשרים עם בני משפחתה</w:t>
      </w:r>
      <w:r>
        <w:rPr>
          <w:rtl w:val="true"/>
        </w:rPr>
        <w:t xml:space="preserve">, </w:t>
      </w:r>
      <w:r>
        <w:rPr>
          <w:rtl w:val="true"/>
        </w:rPr>
        <w:t>למעט המערער</w:t>
      </w:r>
      <w:r>
        <w:rPr>
          <w:rtl w:val="true"/>
        </w:rPr>
        <w:t xml:space="preserve">, </w:t>
      </w:r>
      <w:r>
        <w:rPr>
          <w:rtl w:val="true"/>
        </w:rPr>
        <w:t>לאחר עזיבת בית הוריה</w:t>
      </w:r>
      <w:r>
        <w:rPr>
          <w:rtl w:val="true"/>
        </w:rPr>
        <w:t xml:space="preserve">. </w:t>
      </w:r>
      <w:r>
        <w:rPr>
          <w:rtl w:val="true"/>
        </w:rPr>
        <w:t>במסגרת זאת</w:t>
      </w:r>
      <w:r>
        <w:rPr>
          <w:rtl w:val="true"/>
        </w:rPr>
        <w:t xml:space="preserve">, </w:t>
      </w:r>
      <w:r>
        <w:rPr>
          <w:rtl w:val="true"/>
        </w:rPr>
        <w:t>נהגה המתלוננת להיפגש עם אחיה ואימה בבית המשפחה</w:t>
      </w:r>
      <w:r>
        <w:rPr>
          <w:rtl w:val="true"/>
        </w:rPr>
        <w:t xml:space="preserve">, </w:t>
      </w:r>
      <w:r>
        <w:rPr>
          <w:rtl w:val="true"/>
        </w:rPr>
        <w:t xml:space="preserve">אך לאחר שווידאה כי המערער אינו נמצא </w:t>
      </w:r>
      <w:r>
        <w:rPr>
          <w:rtl w:val="true"/>
        </w:rPr>
        <w:t>–</w:t>
      </w:r>
      <w:r>
        <w:rPr>
          <w:rtl w:val="true"/>
        </w:rPr>
        <w:t xml:space="preserve"> כפי שאושר גם בעדויותיהם של המערער ורעייתו</w:t>
      </w:r>
      <w:r>
        <w:rPr>
          <w:rtl w:val="true"/>
        </w:rPr>
        <w:t xml:space="preserve">. </w:t>
      </w:r>
      <w:r>
        <w:rPr>
          <w:rtl w:val="true"/>
        </w:rPr>
        <w:t>החיזוק שמהווה התנהלותה זו של המתלוננת למהימנות גרסתה מקבל משנה תוקף נוכח האלימות שהופגנה כלפיה על</w:t>
      </w:r>
      <w:r>
        <w:rPr>
          <w:rtl w:val="true"/>
        </w:rPr>
        <w:t>-</w:t>
      </w:r>
      <w:r>
        <w:rPr>
          <w:rtl w:val="true"/>
        </w:rPr>
        <w:t>ידי אימה</w:t>
      </w:r>
      <w:r>
        <w:rPr>
          <w:rtl w:val="true"/>
        </w:rPr>
        <w:t xml:space="preserve">, </w:t>
      </w:r>
      <w:r>
        <w:rPr>
          <w:rtl w:val="true"/>
        </w:rPr>
        <w:t>כאשר הדעת נותנת כי המתלוננת תהא מעוניינת בהגנת המערער בפגישות המשפחתיות</w:t>
      </w:r>
      <w:r>
        <w:rPr>
          <w:rtl w:val="true"/>
        </w:rPr>
        <w:t xml:space="preserve">, </w:t>
      </w:r>
      <w:r>
        <w:rPr>
          <w:rtl w:val="true"/>
        </w:rPr>
        <w:t>אלא אם חששה מפני מהמערער עולה על חששה מפני מאימה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חשוב לומר</w:t>
      </w:r>
      <w:r>
        <w:rPr>
          <w:rtl w:val="true"/>
        </w:rPr>
        <w:t xml:space="preserve">, </w:t>
      </w:r>
      <w:r>
        <w:rPr>
          <w:rtl w:val="true"/>
        </w:rPr>
        <w:t xml:space="preserve">כי חשיפת מסכת האירועים מושא הליך זה החלה אך לאחר הפגיעה במתלוננת בפעם האחרונה </w:t>
      </w:r>
      <w:r>
        <w:rPr>
          <w:rtl w:val="true"/>
        </w:rPr>
        <w:t>–</w:t>
      </w:r>
      <w:r>
        <w:rPr>
          <w:rtl w:val="true"/>
        </w:rPr>
        <w:t xml:space="preserve"> שהתרחשה כשנה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לאחר עזיבתה של המתלוננת את בית המשפחה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ניכר כי עם מעברה לפנימייה קיוותה המתלוננת כי תוכל להתנתק מן המערער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tl w:val="true"/>
        </w:rPr>
        <w:t>-</w:t>
      </w:r>
      <w:r>
        <w:rPr>
          <w:rtl w:val="true"/>
        </w:rPr>
        <w:t xml:space="preserve">בבד לשמור על מערכות יחסים פעילות עם יתר בני המשפחה </w:t>
      </w:r>
      <w:r>
        <w:rPr>
          <w:rtl w:val="true"/>
        </w:rPr>
        <w:t>–</w:t>
      </w:r>
      <w:r>
        <w:rPr>
          <w:rtl w:val="true"/>
        </w:rPr>
        <w:t xml:space="preserve"> והכל מבלי שתיאלץ לחשוף את שעברה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משהמערער ניצל מפגש רגעי ובודד על מנת לפגוע בה פעם נוספת</w:t>
      </w:r>
      <w:r>
        <w:rPr>
          <w:rtl w:val="true"/>
        </w:rPr>
        <w:t xml:space="preserve">, </w:t>
      </w:r>
      <w:r>
        <w:rPr>
          <w:rtl w:val="true"/>
        </w:rPr>
        <w:t>התנפצה תקוות המתלוננת</w:t>
      </w:r>
      <w:r>
        <w:rPr>
          <w:rtl w:val="true"/>
        </w:rPr>
        <w:t xml:space="preserve">;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נוכח קשיי התפקוד המשמעותיים שחוותה</w:t>
      </w:r>
      <w:r>
        <w:rPr>
          <w:rtl w:val="true"/>
        </w:rPr>
        <w:t xml:space="preserve">, </w:t>
      </w:r>
      <w:r>
        <w:rPr>
          <w:rtl w:val="true"/>
        </w:rPr>
        <w:t xml:space="preserve">גמלה בלב המתלוננת ההחלטה על הגשת תלונה </w:t>
      </w:r>
      <w:r>
        <w:rPr>
          <w:rtl w:val="true"/>
        </w:rPr>
        <w:t>–</w:t>
      </w:r>
      <w:r>
        <w:rPr>
          <w:rtl w:val="true"/>
        </w:rPr>
        <w:t xml:space="preserve"> וזאת על מנת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להציל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את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נפשה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לעניין זה יודגש</w:t>
      </w:r>
      <w:r>
        <w:rPr>
          <w:rtl w:val="true"/>
        </w:rPr>
        <w:t xml:space="preserve">, </w:t>
      </w:r>
      <w:r>
        <w:rPr>
          <w:rtl w:val="true"/>
        </w:rPr>
        <w:t>כי אין בעצם כבישת עדות מצד נפגעי תקיפה מינית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כדי לפגוע במהימנות העדות</w:t>
      </w:r>
      <w:r>
        <w:rPr>
          <w:rtl w:val="true"/>
        </w:rPr>
        <w:t xml:space="preserve">, </w:t>
      </w:r>
      <w:r>
        <w:rPr>
          <w:rtl w:val="true"/>
        </w:rPr>
        <w:t xml:space="preserve">מקום בו ניתן הסבר המניח את הדעת לכבישת העדות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5874/00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לזרובסקי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נה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249</w:t>
      </w:r>
      <w:r>
        <w:rPr>
          <w:rtl w:val="true"/>
        </w:rPr>
        <w:t xml:space="preserve">, </w:t>
      </w:r>
      <w:r>
        <w:rPr/>
        <w:t>260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)).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סבורני כי ניסיונה של המתלוננת להתרחק מן המערער</w:t>
      </w:r>
      <w:r>
        <w:rPr>
          <w:rtl w:val="true"/>
        </w:rPr>
        <w:t xml:space="preserve">, </w:t>
      </w:r>
      <w:r>
        <w:rPr>
          <w:rtl w:val="true"/>
        </w:rPr>
        <w:t>בין היתר נוכח חששה מן המערער ומפני ההשלכות הצפויות של חשיפת מעשיו על יתר בני המשפחה ועל קשריה עמם</w:t>
      </w:r>
      <w:r>
        <w:rPr>
          <w:rtl w:val="true"/>
        </w:rPr>
        <w:t xml:space="preserve">, </w:t>
      </w:r>
      <w:r>
        <w:rPr>
          <w:rtl w:val="true"/>
        </w:rPr>
        <w:t>מהווה הסבר המניח את הדעת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בהינתן שהחלטת המתלוננת לחשוף את שאירע התקבלה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לאחר שניסיונה זה עלה בתוהו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חיזוק נוסף מתקבל מעדויות המטפלות של המתלוננת במרוצת השנים</w:t>
      </w:r>
      <w:r>
        <w:rPr>
          <w:rtl w:val="true"/>
        </w:rPr>
        <w:t xml:space="preserve">. </w:t>
      </w:r>
      <w:r>
        <w:rPr>
          <w:rtl w:val="true"/>
        </w:rPr>
        <w:t>בעדות הפסיכולוגית הכהן גרין</w:t>
      </w:r>
      <w:r>
        <w:rPr>
          <w:rtl w:val="true"/>
        </w:rPr>
        <w:t xml:space="preserve">, </w:t>
      </w:r>
      <w:r>
        <w:rPr>
          <w:rtl w:val="true"/>
        </w:rPr>
        <w:t>אשר מלווה מקרוב את תהליך שיקומה של המתלוננת</w:t>
      </w:r>
      <w:r>
        <w:rPr>
          <w:rtl w:val="true"/>
        </w:rPr>
        <w:t xml:space="preserve">, </w:t>
      </w:r>
      <w:r>
        <w:rPr>
          <w:rtl w:val="true"/>
        </w:rPr>
        <w:t>בואר כי הסממנים שנצפו בקרבה תואמים את הסממנים המוכרים ביחס לקורבנות עבירות מין</w:t>
      </w:r>
      <w:r>
        <w:rPr>
          <w:rtl w:val="true"/>
        </w:rPr>
        <w:t xml:space="preserve">; </w:t>
      </w:r>
      <w:r>
        <w:rPr>
          <w:rtl w:val="true"/>
        </w:rPr>
        <w:t>ובעדות המטפלת הקלינית ויקטוריה רייכר</w:t>
      </w:r>
      <w:r>
        <w:rPr>
          <w:rtl w:val="true"/>
        </w:rPr>
        <w:t xml:space="preserve">, </w:t>
      </w:r>
      <w:r>
        <w:rPr>
          <w:rtl w:val="true"/>
        </w:rPr>
        <w:t>אצלה טופלה המתלוננת במשך כשנה וחצי לאחר הפגיעה בפעם האחרונה</w:t>
      </w:r>
      <w:r>
        <w:rPr>
          <w:rtl w:val="true"/>
        </w:rPr>
        <w:t xml:space="preserve">, </w:t>
      </w:r>
      <w:r>
        <w:rPr>
          <w:rtl w:val="true"/>
        </w:rPr>
        <w:t>נשללה האפשרות שמא המתלוננת בדתה את מסכת האירועים המתוארת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עמדה הגב</w:t>
      </w:r>
      <w:r>
        <w:rPr>
          <w:rtl w:val="true"/>
        </w:rPr>
        <w:t xml:space="preserve">' </w:t>
      </w:r>
      <w:r>
        <w:rPr>
          <w:rtl w:val="true"/>
        </w:rPr>
        <w:t>רייכר</w:t>
      </w:r>
      <w:r>
        <w:rPr>
          <w:rtl w:val="true"/>
        </w:rPr>
        <w:t xml:space="preserve">, </w:t>
      </w:r>
      <w:r>
        <w:rPr>
          <w:rtl w:val="true"/>
        </w:rPr>
        <w:t>המתמחה בטיפול בילדים שחוו פגיעה מינית</w:t>
      </w:r>
      <w:r>
        <w:rPr>
          <w:rtl w:val="true"/>
        </w:rPr>
        <w:t xml:space="preserve">, </w:t>
      </w:r>
      <w:r>
        <w:rPr>
          <w:rtl w:val="true"/>
        </w:rPr>
        <w:t xml:space="preserve">על הכאב הנפשי והאטימות שהביעה המתלוננת </w:t>
      </w:r>
      <w:r>
        <w:rPr>
          <w:rtl w:val="true"/>
        </w:rPr>
        <w:t>–</w:t>
      </w:r>
      <w:r>
        <w:rPr>
          <w:rtl w:val="true"/>
        </w:rPr>
        <w:t xml:space="preserve"> המאפיינים קורבנות עבירות מין</w:t>
      </w:r>
      <w:r>
        <w:rPr>
          <w:rtl w:val="true"/>
        </w:rPr>
        <w:t xml:space="preserve">. 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>בגרסתה הארוכה והמפורטת של המתלוננת אכן קיימות נקודות שאינן חופפות במדויק את כתב האישום ועדויות אחרות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בהרחבה</w:t>
      </w:r>
      <w:r>
        <w:rPr>
          <w:rtl w:val="true"/>
        </w:rPr>
        <w:t xml:space="preserve">, </w:t>
      </w:r>
      <w:r>
        <w:rPr>
          <w:rtl w:val="true"/>
        </w:rPr>
        <w:t>ובזהירות יתרה</w:t>
      </w:r>
      <w:r>
        <w:rPr>
          <w:rtl w:val="true"/>
        </w:rPr>
        <w:t xml:space="preserve">, </w:t>
      </w:r>
      <w:r>
        <w:rPr>
          <w:rtl w:val="true"/>
        </w:rPr>
        <w:t xml:space="preserve">על אותן סתירות בין עדות המתלוננת לבין עדויות וראיות אחרות </w:t>
      </w:r>
      <w:r>
        <w:rPr>
          <w:rtl w:val="true"/>
        </w:rPr>
        <w:t>(</w:t>
      </w:r>
      <w:r>
        <w:rPr>
          <w:rtl w:val="true"/>
        </w:rPr>
        <w:t>סתירות חיצוניות</w:t>
      </w:r>
      <w:r>
        <w:rPr>
          <w:rtl w:val="true"/>
        </w:rPr>
        <w:t xml:space="preserve">), </w:t>
      </w:r>
      <w:r>
        <w:rPr>
          <w:rtl w:val="true"/>
        </w:rPr>
        <w:t xml:space="preserve">ובין גרסאות שונות של המתלוננת ביחס לאירוע מסוים </w:t>
      </w:r>
      <w:r>
        <w:rPr>
          <w:rtl w:val="true"/>
        </w:rPr>
        <w:t>(</w:t>
      </w:r>
      <w:r>
        <w:rPr>
          <w:rtl w:val="true"/>
        </w:rPr>
        <w:t>סתירות פנימיות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ומצא כי </w:t>
      </w:r>
      <w:r>
        <w:rPr>
          <w:rFonts w:ascii="Miriam" w:hAnsi="Miriam" w:cs="Miriam"/>
          <w:szCs w:val="24"/>
          <w:rtl w:val="true"/>
        </w:rPr>
        <w:t>אין</w:t>
      </w:r>
      <w:r>
        <w:rPr>
          <w:rtl w:val="true"/>
        </w:rPr>
        <w:t xml:space="preserve"> בהן כדי לגרוע ממהימנות גרסתה</w:t>
      </w:r>
      <w:r>
        <w:rPr>
          <w:rtl w:val="true"/>
        </w:rPr>
        <w:t xml:space="preserve">. </w:t>
      </w:r>
      <w:r>
        <w:rPr>
          <w:rtl w:val="true"/>
        </w:rPr>
        <w:t>אביא את עיקרי הדברים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הסתירה העיקרית עליה הצביע המערער היא זו שבין גרסת המתלוננת לגרסתו</w:t>
      </w:r>
      <w:r>
        <w:rPr>
          <w:rtl w:val="true"/>
        </w:rPr>
        <w:t xml:space="preserve">, </w:t>
      </w:r>
      <w:r>
        <w:rPr>
          <w:rtl w:val="true"/>
        </w:rPr>
        <w:t>גרסת רעייתו ובנו ד</w:t>
      </w:r>
      <w:r>
        <w:rPr>
          <w:rtl w:val="true"/>
        </w:rPr>
        <w:t xml:space="preserve">' </w:t>
      </w:r>
      <w:r>
        <w:rPr>
          <w:rtl w:val="true"/>
        </w:rPr>
        <w:t>בנוגע לפגיעה בפעם האחרונה</w:t>
      </w:r>
      <w:r>
        <w:rPr>
          <w:rtl w:val="true"/>
        </w:rPr>
        <w:t xml:space="preserve">. </w:t>
      </w:r>
      <w:r>
        <w:rPr>
          <w:rtl w:val="true"/>
        </w:rPr>
        <w:t>בית המשפט המחוזי התעמק בקושי הטמון בגרסת המתלוננת</w:t>
      </w:r>
      <w:r>
        <w:rPr>
          <w:rtl w:val="true"/>
        </w:rPr>
        <w:t xml:space="preserve">, </w:t>
      </w:r>
      <w:r>
        <w:rPr>
          <w:rtl w:val="true"/>
        </w:rPr>
        <w:t>לפיה חרף העובדה כי השלושה נסעו משדה התעופה במונית יחדיו</w:t>
      </w:r>
      <w:r>
        <w:rPr>
          <w:rtl w:val="true"/>
        </w:rPr>
        <w:t xml:space="preserve">, </w:t>
      </w:r>
      <w:r>
        <w:rPr>
          <w:rtl w:val="true"/>
        </w:rPr>
        <w:t xml:space="preserve">המערער שב הביתה וביצע במתלוננת את זממו </w:t>
      </w:r>
      <w:r>
        <w:rPr>
          <w:rtl w:val="true"/>
        </w:rPr>
        <w:t>–</w:t>
      </w:r>
      <w:r>
        <w:rPr>
          <w:rtl w:val="true"/>
        </w:rPr>
        <w:t xml:space="preserve"> וזאת טרם הגעת רעייתו ובנו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בית המשפט המחוזי מצא לנכון לאמץ את גרסת המתלוננת בנדון בגין מספר טעמים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נקבע כי פעולה מעין זו מצד המערער עולה בקנה אחד עם התנהלותו לאורך השנים</w:t>
      </w:r>
      <w:r>
        <w:rPr>
          <w:rtl w:val="true"/>
        </w:rPr>
        <w:t xml:space="preserve">, </w:t>
      </w:r>
      <w:r>
        <w:rPr>
          <w:rtl w:val="true"/>
        </w:rPr>
        <w:t>במסגרתה לא נמנע מנטילת סיכונים העשויים להביא לגילוי מעשיו הפסולים על</w:t>
      </w:r>
      <w:r>
        <w:rPr>
          <w:rtl w:val="true"/>
        </w:rPr>
        <w:t>-</w:t>
      </w:r>
      <w:r>
        <w:rPr>
          <w:rtl w:val="true"/>
        </w:rPr>
        <w:t xml:space="preserve">ידי בני המשפחה </w:t>
      </w:r>
      <w:r>
        <w:rPr>
          <w:rtl w:val="true"/>
        </w:rPr>
        <w:t>–</w:t>
      </w:r>
      <w:r>
        <w:rPr>
          <w:rtl w:val="true"/>
        </w:rPr>
        <w:t xml:space="preserve"> כפי שעולה מעצם ביצוען של עבירות רבות בחדר השינה</w:t>
      </w:r>
      <w:r>
        <w:rPr>
          <w:rtl w:val="true"/>
        </w:rPr>
        <w:t xml:space="preserve">, </w:t>
      </w:r>
      <w:r>
        <w:rPr>
          <w:rtl w:val="true"/>
        </w:rPr>
        <w:t>בעוד ילדיו האחרים ישנים בקרבם</w:t>
      </w:r>
      <w:r>
        <w:rPr>
          <w:rtl w:val="true"/>
        </w:rPr>
        <w:t xml:space="preserve">; </w:t>
      </w:r>
      <w:r>
        <w:rPr>
          <w:rtl w:val="true"/>
        </w:rPr>
        <w:t>כן הודגש</w:t>
      </w:r>
      <w:r>
        <w:rPr>
          <w:rtl w:val="true"/>
        </w:rPr>
        <w:t xml:space="preserve">, </w:t>
      </w:r>
      <w:r>
        <w:rPr>
          <w:rtl w:val="true"/>
        </w:rPr>
        <w:t>כי את פערי הזמנים בין הגעת המערער להגעת רעייתו ובנו ניתן להסביר באמצעות קשיי אימה של המתלוננת</w:t>
      </w:r>
      <w:r>
        <w:rPr>
          <w:rtl w:val="true"/>
        </w:rPr>
        <w:t xml:space="preserve">, </w:t>
      </w:r>
      <w:r>
        <w:rPr>
          <w:rtl w:val="true"/>
        </w:rPr>
        <w:t>הסובלת כאמור מנכות ברגלה</w:t>
      </w:r>
      <w:r>
        <w:rPr>
          <w:rtl w:val="true"/>
        </w:rPr>
        <w:t xml:space="preserve">, </w:t>
      </w:r>
      <w:r>
        <w:rPr>
          <w:rtl w:val="true"/>
        </w:rPr>
        <w:t>לעלות את כ</w:t>
      </w:r>
      <w:r>
        <w:rPr>
          <w:rtl w:val="true"/>
        </w:rPr>
        <w:t>-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המדרגות בכניסה לביתם או בעצם הליכתם של האם והאח ד</w:t>
      </w:r>
      <w:r>
        <w:rPr>
          <w:rtl w:val="true"/>
        </w:rPr>
        <w:t xml:space="preserve">' </w:t>
      </w:r>
      <w:r>
        <w:rPr>
          <w:rtl w:val="true"/>
        </w:rPr>
        <w:t>למכולת לשם רכישת מצרכים עובר לחזרתם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קביעותיו של בית המשפט המחוזי בעניין מקובלות עליי</w:t>
      </w:r>
      <w:r>
        <w:rPr>
          <w:rtl w:val="true"/>
        </w:rPr>
        <w:t xml:space="preserve">.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מצאתי כי גרסת המתלוננת נתמכת גם בעדותה של המחנכת שלנגר</w:t>
      </w:r>
      <w:r>
        <w:rPr>
          <w:rtl w:val="true"/>
        </w:rPr>
        <w:t xml:space="preserve">, </w:t>
      </w:r>
      <w:r>
        <w:rPr>
          <w:rtl w:val="true"/>
        </w:rPr>
        <w:t>ובשינויים שנצפו בעדויות המערער</w:t>
      </w:r>
      <w:r>
        <w:rPr>
          <w:rtl w:val="true"/>
        </w:rPr>
        <w:t xml:space="preserve">, </w:t>
      </w:r>
      <w:r>
        <w:rPr>
          <w:rtl w:val="true"/>
        </w:rPr>
        <w:t>רעייתו ובנו ד</w:t>
      </w:r>
      <w:r>
        <w:rPr>
          <w:rtl w:val="true"/>
        </w:rPr>
        <w:t xml:space="preserve">' </w:t>
      </w:r>
      <w:r>
        <w:rPr>
          <w:rtl w:val="true"/>
        </w:rPr>
        <w:t>ביחס לאירוע 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עמדה המחנכת שלנגר</w:t>
      </w:r>
      <w:r>
        <w:rPr>
          <w:rtl w:val="true"/>
        </w:rPr>
        <w:t xml:space="preserve">, </w:t>
      </w:r>
      <w:r>
        <w:rPr>
          <w:rtl w:val="true"/>
        </w:rPr>
        <w:t>אשר בביתה שהתה המתלוננת לפרקי זמן ממושכים</w:t>
      </w:r>
      <w:r>
        <w:rPr>
          <w:rtl w:val="true"/>
        </w:rPr>
        <w:t xml:space="preserve">, </w:t>
      </w:r>
      <w:r>
        <w:rPr>
          <w:rtl w:val="true"/>
        </w:rPr>
        <w:t xml:space="preserve">כי בסמוך לאחר הפגיעה בפעם האחרונה הייתה המתלוננת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ממש מפורקת</w:t>
      </w:r>
      <w:r>
        <w:rPr>
          <w:rtl w:val="true"/>
        </w:rPr>
        <w:t xml:space="preserve">" </w:t>
      </w:r>
      <w:r>
        <w:rPr>
          <w:rtl w:val="true"/>
        </w:rPr>
        <w:t>וסבלה ממצוקה נפשית משמעותית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הגם שבחקירתם במשטרה טענו בני המשפחה כי הם אינם זוכרים כמעט דבר ביחס ליום בו אירעה הפעם האחרונה</w:t>
      </w:r>
      <w:r>
        <w:rPr>
          <w:rtl w:val="true"/>
        </w:rPr>
        <w:t xml:space="preserve">, </w:t>
      </w:r>
      <w:r>
        <w:rPr>
          <w:rtl w:val="true"/>
        </w:rPr>
        <w:t xml:space="preserve">בעדותם בבית המשפט הפגינו </w:t>
      </w:r>
      <w:r>
        <w:rPr>
          <w:rtl w:val="true"/>
        </w:rPr>
        <w:t>"</w:t>
      </w:r>
      <w:r>
        <w:rPr>
          <w:rtl w:val="true"/>
        </w:rPr>
        <w:t>זיכרון מרשים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 אף עורר חששו של בית המשפט המחוזי לתיאום גרסאות בין העדים</w:t>
      </w:r>
      <w:r>
        <w:rPr>
          <w:rtl w:val="true"/>
        </w:rPr>
        <w:t xml:space="preserve">. </w:t>
      </w:r>
      <w:r>
        <w:rPr>
          <w:rtl w:val="true"/>
        </w:rPr>
        <w:t>בדומה לבית המשפט המחוזי</w:t>
      </w:r>
      <w:r>
        <w:rPr>
          <w:rtl w:val="true"/>
        </w:rPr>
        <w:t xml:space="preserve">, </w:t>
      </w:r>
      <w:r>
        <w:rPr>
          <w:rtl w:val="true"/>
        </w:rPr>
        <w:t>סבור גם אני כי תיאוריהם המאוחרים המפורטים של בני המשפחה פוגעים באמינותם</w:t>
      </w:r>
      <w:r>
        <w:rPr>
          <w:rtl w:val="true"/>
        </w:rPr>
        <w:t xml:space="preserve">, </w:t>
      </w:r>
      <w:r>
        <w:rPr>
          <w:rtl w:val="true"/>
        </w:rPr>
        <w:t>בפרט נוכח היעדר המודעות המיוחסת לאימה של המתלוננת ולאחיה בדבר מעשי המתלונן באותו יום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>מצאתי כי הסתירה עליה הצביע המערער בין גרסת המתלוננת לגרסתו</w:t>
      </w:r>
      <w:r>
        <w:rPr>
          <w:rtl w:val="true"/>
        </w:rPr>
        <w:t xml:space="preserve">, </w:t>
      </w:r>
      <w:r>
        <w:rPr>
          <w:rtl w:val="true"/>
        </w:rPr>
        <w:t>גרסת רעייתו ובנו בנוגע לפגיעה בפעם האחרונה</w:t>
      </w:r>
      <w:r>
        <w:rPr>
          <w:rtl w:val="true"/>
        </w:rPr>
        <w:t xml:space="preserve">, </w:t>
      </w:r>
      <w:r>
        <w:rPr>
          <w:rtl w:val="true"/>
        </w:rPr>
        <w:t>אינה פוגמת במהימנותה של המתלוננת ולפיכך לטעמי דין טענתו זו להידחות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סתירות פוטנציאליות נוספות עליהן עמד בית המשפט המחוזי נוגעות למועדים ולשעות המדויקים בהם אירעו מקרים שונים</w:t>
      </w:r>
      <w:r>
        <w:rPr>
          <w:rtl w:val="true"/>
        </w:rPr>
        <w:t xml:space="preserve">, </w:t>
      </w:r>
      <w:r>
        <w:rPr>
          <w:rtl w:val="true"/>
        </w:rPr>
        <w:t>וכן להזנחה ממנה סבלה המתלוננת</w:t>
      </w:r>
      <w:r>
        <w:rPr>
          <w:rtl w:val="true"/>
        </w:rPr>
        <w:t xml:space="preserve">. </w:t>
      </w:r>
      <w:r>
        <w:rPr>
          <w:rtl w:val="true"/>
        </w:rPr>
        <w:t>לפי דברי המתלוננת בחקירתה בבית המשפט</w:t>
      </w:r>
      <w:r>
        <w:rPr>
          <w:rtl w:val="true"/>
        </w:rPr>
        <w:t xml:space="preserve">, </w:t>
      </w:r>
      <w:r>
        <w:rPr>
          <w:rtl w:val="true"/>
        </w:rPr>
        <w:t>היא הוכרחה על</w:t>
      </w:r>
      <w:r>
        <w:rPr>
          <w:rtl w:val="true"/>
        </w:rPr>
        <w:t>-</w:t>
      </w:r>
      <w:r>
        <w:rPr>
          <w:rtl w:val="true"/>
        </w:rPr>
        <w:t>ידי הוריה ללבוש באופן קבוע את אותם הבגדים לבית הספר</w:t>
      </w:r>
      <w:r>
        <w:rPr>
          <w:rtl w:val="true"/>
        </w:rPr>
        <w:t xml:space="preserve">, </w:t>
      </w:r>
      <w:r>
        <w:rPr>
          <w:rtl w:val="true"/>
        </w:rPr>
        <w:t>ונמנעה ממנה גישה למקלחת לפרקי זמן ממושכים</w:t>
      </w:r>
      <w:r>
        <w:rPr>
          <w:rtl w:val="true"/>
        </w:rPr>
        <w:t xml:space="preserve">. </w:t>
      </w:r>
      <w:r>
        <w:rPr>
          <w:rtl w:val="true"/>
        </w:rPr>
        <w:t>כך פורט</w:t>
      </w:r>
      <w:r>
        <w:rPr>
          <w:rtl w:val="true"/>
        </w:rPr>
        <w:t xml:space="preserve">, </w:t>
      </w:r>
      <w:r>
        <w:rPr>
          <w:rtl w:val="true"/>
        </w:rPr>
        <w:t xml:space="preserve">כי המתלוננת נהגה להסתיר את הזנחתה באמצעות שימוש במגבונים ושטיפת גופה בכיור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דברים אחרים עלו מעדויות יתר בני המשפחה ושלוש השכנות</w:t>
      </w:r>
      <w:r>
        <w:rPr>
          <w:rtl w:val="true"/>
        </w:rPr>
        <w:t xml:space="preserve">, </w:t>
      </w:r>
      <w:r>
        <w:rPr>
          <w:rtl w:val="true"/>
        </w:rPr>
        <w:t>אשר עמדו על נורמטיביות המשפחה ועל העובדה כי לילדים סופקו בגדים נקיים ומזון בריא באופן סדיר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אין בפערים בין גרסת המתלוננת לגרסאות יתר העדים כדי להטיל דופי במהימנותה</w:t>
      </w:r>
      <w:r>
        <w:rPr>
          <w:rtl w:val="true"/>
        </w:rPr>
        <w:t xml:space="preserve">, </w:t>
      </w:r>
      <w:r>
        <w:rPr>
          <w:rtl w:val="true"/>
        </w:rPr>
        <w:t>ולא מן הנמנע כי הפערים כאמור נובעים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מן העובדה כי גישתן של השכנות למתרחש במשפחה הייתה שטחית ומוגבלת </w:t>
      </w:r>
      <w:r>
        <w:rPr>
          <w:rtl w:val="true"/>
        </w:rPr>
        <w:t>–</w:t>
      </w:r>
      <w:r>
        <w:rPr>
          <w:rtl w:val="true"/>
        </w:rPr>
        <w:t xml:space="preserve"> כפי שפורט על</w:t>
      </w:r>
      <w:r>
        <w:rPr>
          <w:rtl w:val="true"/>
        </w:rPr>
        <w:t>-</w:t>
      </w:r>
      <w:r>
        <w:rPr>
          <w:rtl w:val="true"/>
        </w:rPr>
        <w:t xml:space="preserve">ידי בית המשפט המחוזי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בדומה לערכאה הדיונית</w:t>
      </w:r>
      <w:r>
        <w:rPr>
          <w:rtl w:val="true"/>
        </w:rPr>
        <w:t xml:space="preserve">, </w:t>
      </w:r>
      <w:r>
        <w:rPr>
          <w:rtl w:val="true"/>
        </w:rPr>
        <w:t>סבורני כי לא ניתן לשלול כי תיאורי המתלוננת על אודות מסכת ההזנחה מופרזים במידה מסוימת</w:t>
      </w:r>
      <w:r>
        <w:rPr>
          <w:rtl w:val="true"/>
        </w:rPr>
        <w:t xml:space="preserve">, </w:t>
      </w:r>
      <w:r>
        <w:rPr>
          <w:rtl w:val="true"/>
        </w:rPr>
        <w:t>אולם אין בכך כדי ללמד כי מדובר בבדיה או לגרוע מהאמינות הכללית של גרסתה</w:t>
      </w:r>
      <w:r>
        <w:rPr>
          <w:rtl w:val="true"/>
        </w:rPr>
        <w:t xml:space="preserve">, </w:t>
      </w:r>
      <w:r>
        <w:rPr>
          <w:rtl w:val="true"/>
        </w:rPr>
        <w:t xml:space="preserve">לרבות בקשר עם רכיב זה </w:t>
      </w:r>
      <w:r>
        <w:rPr>
          <w:rtl w:val="true"/>
        </w:rPr>
        <w:t>–</w:t>
      </w:r>
      <w:r>
        <w:rPr>
          <w:rtl w:val="true"/>
        </w:rPr>
        <w:t xml:space="preserve"> אשר אינו ניצב בליבת כתב האישום</w:t>
      </w:r>
      <w:r>
        <w:rPr>
          <w:rtl w:val="true"/>
        </w:rPr>
        <w:t xml:space="preserve">. </w:t>
      </w:r>
      <w:r>
        <w:rPr>
          <w:rtl w:val="true"/>
        </w:rPr>
        <w:t>מסקנתי זו מתחזקת על רקע ממצאי בית המשפט המחוזי ביחס לעדויות בני המשפחה</w:t>
      </w:r>
      <w:r>
        <w:rPr>
          <w:rtl w:val="true"/>
        </w:rPr>
        <w:t xml:space="preserve">, </w:t>
      </w:r>
      <w:r>
        <w:rPr>
          <w:rtl w:val="true"/>
        </w:rPr>
        <w:t>אשר נמצאו על</w:t>
      </w:r>
      <w:r>
        <w:rPr>
          <w:rtl w:val="true"/>
        </w:rPr>
        <w:t>-</w:t>
      </w:r>
      <w:r>
        <w:rPr>
          <w:rtl w:val="true"/>
        </w:rPr>
        <w:t>ידו כבלתי</w:t>
      </w:r>
      <w:r>
        <w:rPr>
          <w:rtl w:val="true"/>
        </w:rPr>
        <w:t>-</w:t>
      </w:r>
      <w:r>
        <w:rPr>
          <w:rtl w:val="true"/>
        </w:rPr>
        <w:t>מהימנות ואף התעורר בעניינן החשד שמא אלו הושפעו על</w:t>
      </w:r>
      <w:r>
        <w:rPr>
          <w:rtl w:val="true"/>
        </w:rPr>
        <w:t>-</w:t>
      </w:r>
      <w:r>
        <w:rPr>
          <w:rtl w:val="true"/>
        </w:rPr>
        <w:t xml:space="preserve">ידי המערער ורעייתו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  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נמנע מלהתמודד עם הסתירות עליהן הצביע המערער</w:t>
      </w:r>
      <w:r>
        <w:rPr>
          <w:rtl w:val="true"/>
        </w:rPr>
        <w:t xml:space="preserve">, </w:t>
      </w:r>
      <w:r>
        <w:rPr>
          <w:rtl w:val="true"/>
        </w:rPr>
        <w:t>אלא קבע כי אין בהן כדי לפגוע במהימנות ואמינות גרסת המתלוננת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בהינתן שאותן סתירות מצויות בשולי המעשים המיוחסים למערער וחלקן</w:t>
      </w:r>
      <w:r>
        <w:rPr>
          <w:rtl w:val="true"/>
        </w:rPr>
        <w:t xml:space="preserve">, </w:t>
      </w:r>
      <w:r>
        <w:rPr>
          <w:rtl w:val="true"/>
        </w:rPr>
        <w:t>כגון סתירות בין גרסאות המתלוננת לגרסאות עדים אחרים בדבר ההזנחה ההורית</w:t>
      </w:r>
      <w:r>
        <w:rPr>
          <w:rtl w:val="true"/>
        </w:rPr>
        <w:t xml:space="preserve">, </w:t>
      </w:r>
      <w:r>
        <w:rPr>
          <w:rtl w:val="true"/>
        </w:rPr>
        <w:t>אף לא באו לידי ביטוי בכתב האישום</w:t>
      </w:r>
      <w:r>
        <w:rPr>
          <w:rtl w:val="true"/>
        </w:rPr>
        <w:t xml:space="preserve">. </w:t>
      </w:r>
      <w:r>
        <w:rPr>
          <w:rtl w:val="true"/>
        </w:rPr>
        <w:t>קביעה זו מקובלת עליי ולא מצאתי כי נפל בה פגם</w:t>
      </w:r>
      <w:r>
        <w:rPr>
          <w:rtl w:val="true"/>
        </w:rPr>
        <w:t xml:space="preserve">. </w:t>
      </w:r>
      <w:r>
        <w:rPr>
          <w:rtl w:val="true"/>
        </w:rPr>
        <w:t>לא רק שמדובר בסתירות שוליות בכל הנוגע למעשים המיוחסים למערער</w:t>
      </w:r>
      <w:r>
        <w:rPr>
          <w:rtl w:val="true"/>
        </w:rPr>
        <w:t xml:space="preserve">, </w:t>
      </w:r>
      <w:r>
        <w:rPr>
          <w:rtl w:val="true"/>
        </w:rPr>
        <w:t>אלא שסתירות אלה</w:t>
      </w:r>
      <w:r>
        <w:rPr>
          <w:rtl w:val="true"/>
        </w:rPr>
        <w:t xml:space="preserve">, </w:t>
      </w:r>
      <w:r>
        <w:rPr>
          <w:rtl w:val="true"/>
        </w:rPr>
        <w:t>בעיקר אלו שעניינן בשעות המדויקות בהן התרחשו האירועים</w:t>
      </w:r>
      <w:r>
        <w:rPr>
          <w:rtl w:val="true"/>
        </w:rPr>
        <w:t xml:space="preserve">, </w:t>
      </w:r>
      <w:r>
        <w:rPr>
          <w:rtl w:val="true"/>
        </w:rPr>
        <w:t>עולות בקנה אחד עם ההתנהגות המאפיינת קורבנות לעבירות מין כמצוין לעיל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בנסיבות המקרה דנן לא נמצאו סתירות מהותיות בעדות המתלוננת שנותרו ללא מענה</w:t>
      </w:r>
      <w:r>
        <w:rPr>
          <w:rtl w:val="true"/>
        </w:rPr>
        <w:t xml:space="preserve">, </w:t>
      </w:r>
      <w:r>
        <w:rPr>
          <w:rtl w:val="true"/>
        </w:rPr>
        <w:t>ובית המשפט המחוזי התמודד בצורה מקיפה ומשכנעת עם אותן סתירות שוליות</w:t>
      </w:r>
      <w:r>
        <w:rPr>
          <w:rtl w:val="true"/>
        </w:rPr>
        <w:t xml:space="preserve">. </w:t>
      </w:r>
      <w:r>
        <w:rPr>
          <w:rtl w:val="true"/>
        </w:rPr>
        <w:t>כך מצאתי</w:t>
      </w:r>
      <w:r>
        <w:rPr>
          <w:rtl w:val="true"/>
        </w:rPr>
        <w:t xml:space="preserve">, </w:t>
      </w:r>
      <w:r>
        <w:rPr>
          <w:rtl w:val="true"/>
        </w:rPr>
        <w:t>כי אי</w:t>
      </w:r>
      <w:r>
        <w:rPr>
          <w:rtl w:val="true"/>
        </w:rPr>
        <w:t>-</w:t>
      </w:r>
      <w:r>
        <w:rPr>
          <w:rtl w:val="true"/>
        </w:rPr>
        <w:t>ההתאמות בעדות המתלוננת אינן מלמדות כי קיים ספק בדבר התקיימות האירועים נשוא כתב האישום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למעלה מן הצורך מצאתי לציין גם</w:t>
      </w:r>
      <w:r>
        <w:rPr>
          <w:rtl w:val="true"/>
        </w:rPr>
        <w:t xml:space="preserve">, </w:t>
      </w:r>
      <w:r>
        <w:rPr>
          <w:rtl w:val="true"/>
        </w:rPr>
        <w:t xml:space="preserve">כי הלכה היא שניתן להשתית הרשעה בעבירות מין בהתבסס על עדותה היחידה של נפגעת העבירה מבלי להידרש לתוספת ראייתית </w:t>
      </w:r>
      <w:r>
        <w:rPr>
          <w:rtl w:val="true"/>
        </w:rPr>
        <w:t>–</w:t>
      </w:r>
      <w:r>
        <w:rPr>
          <w:rtl w:val="true"/>
        </w:rPr>
        <w:t xml:space="preserve"> ובלבד שבית המשפט יפרט את הטעמים שהביאו אותו למסקנה כי גרסת קורבן העבירה עדיפה על פני גרסת הנאשם</w:t>
      </w:r>
      <w:r>
        <w:rPr>
          <w:rtl w:val="true"/>
        </w:rPr>
        <w:t xml:space="preserve">, </w:t>
      </w:r>
      <w:r>
        <w:rPr>
          <w:rtl w:val="true"/>
        </w:rPr>
        <w:t xml:space="preserve">כאשר שיעורה הראוי של ההנמקה הדרושה נקבע בכל מקרה בהתאם לנסיבותיו הפרטניות </w:t>
      </w:r>
      <w:r>
        <w:rPr>
          <w:rtl w:val="true"/>
        </w:rPr>
        <w:t>(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23.05.2017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10711/07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04.09.2008</w:t>
      </w:r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מצאתי כי בית המשפט המחוזי נימק בהרחבה את הכרעתו בהתאם לדרישת ההנמקה הקבועה </w:t>
      </w:r>
      <w:hyperlink r:id="rId4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והכרעתו כאמור אך מתחזקת נוכח אופן חשיפת המעשים </w:t>
      </w:r>
      <w:r>
        <w:rPr>
          <w:rtl w:val="true"/>
        </w:rPr>
        <w:t>(</w:t>
      </w:r>
      <w:r>
        <w:rPr>
          <w:rtl w:val="true"/>
        </w:rPr>
        <w:t>לאחר הפגיעה בפעם האחרונה</w:t>
      </w:r>
      <w:r>
        <w:rPr>
          <w:rtl w:val="true"/>
        </w:rPr>
        <w:t xml:space="preserve">), </w:t>
      </w:r>
      <w:r>
        <w:rPr>
          <w:rtl w:val="true"/>
        </w:rPr>
        <w:t>הסימפטומים מהם סובלת המתלוננת והימנעותה האקטיבית של האחרונה ממפגש עם המערער לאחר עזיבתה את בית המשפחה</w:t>
      </w:r>
      <w:r>
        <w:rPr>
          <w:rtl w:val="true"/>
        </w:rPr>
        <w:t>.</w:t>
      </w:r>
    </w:p>
    <w:p>
      <w:pPr>
        <w:pStyle w:val="Heading3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</w:rPr>
      </w:pPr>
      <w:r>
        <w:rPr>
          <w:rFonts w:ascii="Miriam" w:hAnsi="Miriam" w:cs="Miriam"/>
          <w:color w:val="000000"/>
          <w:rtl w:val="true"/>
        </w:rPr>
        <w:t>חוות הדעת הרפואית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המערער טוען כי שגה בית המשפט המחוזי עת שדחה את ממצאי חוות דעתו הרפואית של ד</w:t>
      </w:r>
      <w:r>
        <w:rPr>
          <w:rtl w:val="true"/>
        </w:rPr>
        <w:t>"</w:t>
      </w:r>
      <w:r>
        <w:rPr>
          <w:rtl w:val="true"/>
        </w:rPr>
        <w:t xml:space="preserve">ר שפייכלר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המומחה</w:t>
      </w:r>
      <w:r>
        <w:rPr>
          <w:rtl w:val="true"/>
        </w:rPr>
        <w:t xml:space="preserve">), </w:t>
      </w:r>
      <w:r>
        <w:rPr>
          <w:rtl w:val="true"/>
        </w:rPr>
        <w:t>לפיהם האירועים שתוארו על</w:t>
      </w:r>
      <w:r>
        <w:rPr>
          <w:rtl w:val="true"/>
        </w:rPr>
        <w:t>-</w:t>
      </w:r>
      <w:r>
        <w:rPr>
          <w:rtl w:val="true"/>
        </w:rPr>
        <w:t>ידי המתלוננת הותירו נזקים שניתן לאתרם בנקל בבדיקה</w:t>
      </w:r>
      <w:r>
        <w:rPr>
          <w:rtl w:val="true"/>
        </w:rPr>
        <w:t xml:space="preserve">. </w:t>
      </w:r>
      <w:r>
        <w:rPr>
          <w:rtl w:val="true"/>
        </w:rPr>
        <w:t>אין בידי לקבל טענה זו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חרף העמדה הנחרצת שהובעה על</w:t>
      </w:r>
      <w:r>
        <w:rPr>
          <w:rtl w:val="true"/>
        </w:rPr>
        <w:t>-</w:t>
      </w:r>
      <w:r>
        <w:rPr>
          <w:rtl w:val="true"/>
        </w:rPr>
        <w:t>ידי המומחה בחוות דעתו</w:t>
      </w:r>
      <w:r>
        <w:rPr>
          <w:rtl w:val="true"/>
        </w:rPr>
        <w:t xml:space="preserve">, </w:t>
      </w:r>
      <w:r>
        <w:rPr>
          <w:rtl w:val="true"/>
        </w:rPr>
        <w:t xml:space="preserve">במהלך חקירתו הנגדית נאלץ האחרון להודות מפורשות כי היעדרם של נזקים בבדיקה גופנית אינם שוללים </w:t>
      </w:r>
      <w:r>
        <w:rPr>
          <w:rtl w:val="true"/>
        </w:rPr>
        <w:t>מניה</w:t>
      </w:r>
      <w:r>
        <w:rPr>
          <w:rtl w:val="true"/>
        </w:rPr>
        <w:t xml:space="preserve"> וביה כי מדובר בקורבן עבירה מינית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המומחה ציין כי בהתאם למאמר הרפואי עליו התבסס בחוות דעתו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16%</w:t>
      </w:r>
      <w:r>
        <w:rPr>
          <w:rtl w:val="true"/>
        </w:rPr>
        <w:t xml:space="preserve"> </w:t>
      </w:r>
      <w:r>
        <w:rPr>
          <w:rtl w:val="true"/>
        </w:rPr>
        <w:t>ממקרי האונס אינם מתבטאים בחבלות גופניות</w:t>
      </w:r>
      <w:r>
        <w:rPr>
          <w:rtl w:val="true"/>
        </w:rPr>
        <w:t xml:space="preserve">, </w:t>
      </w:r>
      <w:r>
        <w:rPr>
          <w:rtl w:val="true"/>
        </w:rPr>
        <w:t xml:space="preserve">ולצד זאת אף הודה כי בחלוף הזמן ממועד האירוע חלה ירידה משמעותית בכמות המקרים בהם יישארו סימנים וחבלות על גוף נפגעת העבירה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593-592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הווה אומר</w:t>
      </w:r>
      <w:r>
        <w:rPr>
          <w:rtl w:val="true"/>
        </w:rPr>
        <w:t xml:space="preserve">, </w:t>
      </w:r>
      <w:r>
        <w:rPr>
          <w:rtl w:val="true"/>
        </w:rPr>
        <w:t>כי איתורן של חבלות במסגרת בדיקה רפואית היה מביא לכדי מסקנה מובהקת כי המתלוננת אכן סבלה מפגיעות מיניות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 xml:space="preserve">היעדרן של חבלות כלל לא הייתה מביאה למסקנה הפוכה </w:t>
      </w:r>
      <w:r>
        <w:rPr>
          <w:rtl w:val="true"/>
        </w:rPr>
        <w:t>–</w:t>
      </w:r>
      <w:r>
        <w:rPr>
          <w:rtl w:val="true"/>
        </w:rPr>
        <w:t xml:space="preserve"> בשים לב לפרק הזמן המשמעותי שחלף מאז הפגיעה בפעם האחרונה </w:t>
      </w:r>
      <w:r>
        <w:rPr>
          <w:rtl w:val="true"/>
        </w:rPr>
        <w:t>(</w:t>
      </w:r>
      <w:r>
        <w:rPr>
          <w:rtl w:val="true"/>
        </w:rPr>
        <w:t xml:space="preserve">שאירעה בשנת </w:t>
      </w:r>
      <w:r>
        <w:rPr/>
        <w:t>2014</w:t>
      </w:r>
      <w:r>
        <w:rPr>
          <w:rtl w:val="true"/>
        </w:rPr>
        <w:t xml:space="preserve">), </w:t>
      </w:r>
      <w:r>
        <w:rPr>
          <w:rtl w:val="true"/>
        </w:rPr>
        <w:t>ולאפשרות כי למתלוננת לא נגרמו חבלות כלל כתוצאה מן האירועים השונים</w:t>
      </w:r>
      <w:r>
        <w:rPr>
          <w:rtl w:val="true"/>
        </w:rPr>
        <w:t xml:space="preserve">. </w:t>
      </w:r>
      <w:r>
        <w:rPr>
          <w:rtl w:val="true"/>
        </w:rPr>
        <w:t>וכך ציין המומחה בחקירתו הנגדית</w:t>
      </w:r>
      <w:r>
        <w:rPr>
          <w:rtl w:val="true"/>
        </w:rPr>
        <w:t>:</w:t>
      </w:r>
    </w:p>
    <w:p>
      <w:pPr>
        <w:pStyle w:val="Ruller51"/>
        <w:spacing w:before="120" w:after="12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היית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אנאליים</w:t>
      </w:r>
      <w:r>
        <w:rPr>
          <w:rtl w:val="true"/>
        </w:rPr>
        <w:t xml:space="preserve">?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?</w:t>
      </w:r>
    </w:p>
    <w:p>
      <w:pPr>
        <w:pStyle w:val="Ruller51"/>
        <w:spacing w:before="120" w:after="120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Miriam" w:hAnsi="Miriam" w:cs="Miriam"/>
          <w:sz w:val="18"/>
          <w:sz w:val="18"/>
          <w:szCs w:val="24"/>
          <w:rtl w:val="true"/>
        </w:rPr>
        <w:t>לא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אני לא יכול לכתוב את זה</w:t>
      </w:r>
      <w:r>
        <w:rPr>
          <w:rtl w:val="true"/>
        </w:rPr>
        <w:t>.</w:t>
      </w:r>
    </w:p>
    <w:p>
      <w:pPr>
        <w:pStyle w:val="Ruller51"/>
        <w:spacing w:before="120" w:after="120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כותב</w:t>
      </w:r>
      <w:r>
        <w:rPr>
          <w:rtl w:val="true"/>
        </w:rPr>
        <w:t>?</w:t>
      </w:r>
    </w:p>
    <w:p>
      <w:pPr>
        <w:pStyle w:val="Ruller51"/>
        <w:spacing w:before="120" w:after="120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בלי שום יחס למה שהיה להיסטוריה שאני לא מכיר אותה</w:t>
      </w:r>
      <w:r>
        <w:rPr>
          <w:rtl w:val="true"/>
        </w:rPr>
        <w:t>.</w:t>
      </w:r>
    </w:p>
    <w:p>
      <w:pPr>
        <w:pStyle w:val="Ruller51"/>
        <w:spacing w:before="120" w:after="120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51"/>
        <w:spacing w:before="120" w:after="120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>.</w:t>
      </w:r>
    </w:p>
    <w:p>
      <w:pPr>
        <w:pStyle w:val="Ruller51"/>
        <w:spacing w:before="120" w:after="120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?</w:t>
      </w:r>
    </w:p>
    <w:p>
      <w:pPr>
        <w:pStyle w:val="Ruller51"/>
        <w:spacing w:before="120" w:after="120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כן ואלה שלא נפגעים זה </w:t>
      </w:r>
      <w:r>
        <w:rPr>
          <w:rFonts w:cs="Miriam" w:ascii="Miriam" w:hAnsi="Miriam"/>
          <w:sz w:val="18"/>
          <w:szCs w:val="24"/>
        </w:rPr>
        <w:t>16%</w:t>
      </w:r>
      <w:r>
        <w:rPr>
          <w:rtl w:val="true"/>
        </w:rPr>
        <w:t>.</w:t>
      </w:r>
    </w:p>
    <w:p>
      <w:pPr>
        <w:pStyle w:val="Ruller51"/>
        <w:spacing w:before="120" w:after="120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tl w:val="true"/>
        </w:rPr>
        <w:t>.</w:t>
      </w:r>
    </w:p>
    <w:p>
      <w:pPr>
        <w:pStyle w:val="Ruller51"/>
        <w:spacing w:before="120" w:after="120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Miriam" w:hAnsi="Miriam" w:cs="Miriam"/>
          <w:sz w:val="18"/>
          <w:sz w:val="18"/>
          <w:szCs w:val="24"/>
          <w:rtl w:val="true"/>
        </w:rPr>
        <w:t>אני לא שולל שום דבר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>.)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בהינתן האמור לעיל והיעדרה של זיקה כלשהי בין חוות הדעת לבין נסיבות המקרה דנן</w:t>
      </w:r>
      <w:r>
        <w:rPr>
          <w:rtl w:val="true"/>
        </w:rPr>
        <w:t xml:space="preserve">, </w:t>
      </w:r>
      <w:r>
        <w:rPr>
          <w:rtl w:val="true"/>
        </w:rPr>
        <w:t>מצאתי כי לא נפל כל פגם בקביעת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לפיה אין בחוות הדעת כאמור כדי לאיין את מסקנותיו אשר לפגיעות המיניות שחוותה המתלוננת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בשולי הדברים יצוין</w:t>
      </w:r>
      <w:r>
        <w:rPr>
          <w:rtl w:val="true"/>
        </w:rPr>
        <w:t xml:space="preserve">, </w:t>
      </w:r>
      <w:r>
        <w:rPr>
          <w:rtl w:val="true"/>
        </w:rPr>
        <w:t>כי לא מצאתי ממש גם בטענות המערער אשר לקיומם של מחדלי חקירה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מקובלת עליי עמדת המשיבה</w:t>
      </w:r>
      <w:r>
        <w:rPr>
          <w:rtl w:val="true"/>
        </w:rPr>
        <w:t xml:space="preserve">, </w:t>
      </w:r>
      <w:r>
        <w:rPr>
          <w:rtl w:val="true"/>
        </w:rPr>
        <w:t>לפיה בהינתן הזמן שחלף בין הפגיעה בפעם האחרונה לבין מועד פתיחת החקירה</w:t>
      </w:r>
      <w:r>
        <w:rPr>
          <w:rtl w:val="true"/>
        </w:rPr>
        <w:t xml:space="preserve">, </w:t>
      </w:r>
      <w:r>
        <w:rPr>
          <w:rtl w:val="true"/>
        </w:rPr>
        <w:t>אין באי</w:t>
      </w:r>
      <w:r>
        <w:rPr>
          <w:rtl w:val="true"/>
        </w:rPr>
        <w:t>-</w:t>
      </w:r>
      <w:r>
        <w:rPr>
          <w:rtl w:val="true"/>
        </w:rPr>
        <w:t>בדיקתם של כתמי דם או סימני זרע במוצרי הטקסטיל בבית המשפחה משום פגם בהתנהלות גורמי החקירה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כך גם בכל הנוגע לטענות המערער בקשר עם המפגש שנערך בין המתלוננת לבין עו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Fonts w:ascii="Miriam" w:hAnsi="Miriam" w:cs="Miriam"/>
          <w:sz w:val="20"/>
          <w:sz w:val="20"/>
          <w:szCs w:val="24"/>
          <w:rtl w:val="true"/>
        </w:rPr>
        <w:t>ח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טרם מינויו לשפיטה ובעודו פרקליט בפרקליטות המחוז</w:t>
      </w:r>
      <w:r>
        <w:rPr>
          <w:rtl w:val="true"/>
        </w:rPr>
        <w:t xml:space="preserve">. </w:t>
      </w:r>
      <w:r>
        <w:rPr>
          <w:rtl w:val="true"/>
        </w:rPr>
        <w:t xml:space="preserve">הגם שבהודעת הערעור צוין מפורשות כי המידע בדבר המפגש כאמור הובא למערער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בפתח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ההליך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בבית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המשפט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קמא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להודעת הערעור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טענת המערער בנדון הועלתה לראשונה רק בגדרי הערעור</w:t>
      </w:r>
      <w:r>
        <w:rPr>
          <w:rtl w:val="true"/>
        </w:rPr>
        <w:t xml:space="preserve">. </w:t>
      </w:r>
      <w:r>
        <w:rPr>
          <w:rtl w:val="true"/>
        </w:rPr>
        <w:t>משסוגיה זו לא הובאה בפני הערכאה הדיונית</w:t>
      </w:r>
      <w:r>
        <w:rPr>
          <w:rtl w:val="true"/>
        </w:rPr>
        <w:t xml:space="preserve">, </w:t>
      </w:r>
      <w:r>
        <w:rPr>
          <w:rtl w:val="true"/>
        </w:rPr>
        <w:t>לא מצאתי מקום להידרש לסוגיה זו</w:t>
      </w:r>
      <w:r>
        <w:rPr>
          <w:rtl w:val="true"/>
        </w:rPr>
        <w:t xml:space="preserve">, </w:t>
      </w:r>
      <w:r>
        <w:rPr>
          <w:rtl w:val="true"/>
        </w:rPr>
        <w:t xml:space="preserve">ובכך להתיר למערער לערוך </w:t>
      </w:r>
      <w:r>
        <w:rPr>
          <w:rtl w:val="true"/>
        </w:rPr>
        <w:t>"</w:t>
      </w:r>
      <w:r>
        <w:rPr>
          <w:rtl w:val="true"/>
        </w:rPr>
        <w:t>מקצה שיפורים</w:t>
      </w:r>
      <w:r>
        <w:rPr>
          <w:rtl w:val="true"/>
        </w:rPr>
        <w:t xml:space="preserve">"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בשלב הערעור</w:t>
      </w:r>
      <w:r>
        <w:rPr>
          <w:rtl w:val="true"/>
        </w:rPr>
        <w:t>.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הערעור על גזר הדין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tl w:val="true"/>
        </w:rPr>
        <w:t>הלכה פסוקה היא כי אין זה מדרכה של ערכאת הערעור להתערב בעונש שנגזר על</w:t>
      </w:r>
      <w:r>
        <w:rPr>
          <w:rtl w:val="true"/>
        </w:rPr>
        <w:t>-</w:t>
      </w:r>
      <w:r>
        <w:rPr>
          <w:rtl w:val="true"/>
        </w:rPr>
        <w:t>ידי הערכאה הדיונית אלא בנסיבות חריגות</w:t>
      </w:r>
      <w:r>
        <w:rPr>
          <w:rtl w:val="true"/>
        </w:rPr>
        <w:t xml:space="preserve">, </w:t>
      </w:r>
      <w:r>
        <w:rPr>
          <w:rtl w:val="true"/>
        </w:rPr>
        <w:t>כאשר נפלה בגזר הדין טעות מהותית בולטת או שעה שהעונש שנגזר על</w:t>
      </w:r>
      <w:r>
        <w:rPr>
          <w:rtl w:val="true"/>
        </w:rPr>
        <w:t>-</w:t>
      </w:r>
      <w:r>
        <w:rPr>
          <w:rtl w:val="true"/>
        </w:rPr>
        <w:t xml:space="preserve">ידה חורג באופן קיצוני מרמת הענישה המקובלת בנסיבות דומות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5883/15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אבו ציאם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24.11.2016</w:t>
      </w:r>
      <w:r>
        <w:rPr>
          <w:rtl w:val="true"/>
        </w:rPr>
        <w:t xml:space="preserve">); </w:t>
      </w:r>
      <w:hyperlink r:id="rId5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טרייגר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29.01.2009</w:t>
      </w:r>
      <w:r>
        <w:rPr>
          <w:rtl w:val="true"/>
        </w:rPr>
        <w:t>)).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איני סבור כי המקרה דנן נופל בגדר אותם מקרים חריגים 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המצדיקים התערבות בגזר דינו של בית המשפט המחוזי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בית משפט זה עמד לא אחת על חומרתן הרבה של עבירות מין במשפחה ועל החובה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8"/>
          <w:sz w:val="18"/>
          <w:szCs w:val="24"/>
          <w:rtl w:val="true"/>
        </w:rPr>
        <w:t>להשיב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על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עבירות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אלו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בענישה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משמעותית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כגמול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על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מעשיו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של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העבריין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וכביטוי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לסלידתה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של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החברה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ממעשים</w:t>
      </w:r>
      <w:r>
        <w:rPr>
          <w:rFonts w:ascii="Miriam" w:hAnsi="Miriam" w:cs="Miriam"/>
          <w:sz w:val="18"/>
          <w:sz w:val="18"/>
          <w:szCs w:val="24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אלו</w:t>
      </w:r>
      <w:r>
        <w:rPr>
          <w:rFonts w:cs="Century" w:ascii="Century" w:hAnsi="Century"/>
          <w:sz w:val="22"/>
          <w:rtl w:val="true"/>
        </w:rPr>
        <w:t>" (</w:t>
      </w:r>
      <w:hyperlink r:id="rId5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677/09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25.10.2009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7461/05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דדוש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23-22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03.04.2006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8290/16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28.11.2017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עוד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לא רק שאין להשלים עם פגיעה חמורה בגופן ובנפשן של נפגעות עבירות מין ואלימות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שיש להוקיע מעשים אלו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בין היתר באמצעות השתת עונשים חמורים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 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יש ליתן משקל משמעותי במעמד גזירת העונש לנזק שנגרם לקורבן העבירה ולצלקות שנותרו בנפשו </w:t>
      </w:r>
      <w:r>
        <w:rPr>
          <w:rFonts w:cs="Century" w:ascii="Century" w:hAnsi="Century"/>
          <w:sz w:val="22"/>
          <w:rtl w:val="true"/>
        </w:rPr>
        <w:t>(</w:t>
      </w:r>
      <w:hyperlink r:id="rId5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8233/05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14.08.2008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אין חולק כי העונש שהושת על המערער הוא חמור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אולם חמורים לא פחות הם 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שפורט בגזר דינו של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מדובר במסכת תקיפות מיניות שבוצעו בבית המשפחה לאורך תקופה ממושכת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תוך שהמערער מנצל את תמימות המתלוננת ואת יחסי המרות שביניהם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והכל בהתעלם מן הנזק הקשה שגרם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במישור הגופני והן במישור הנפשי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החלטתו של בית המשפט המחוזי לקבוע מתחם ענישה יחיד לכלל העבירות מפורטת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מנומקת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נתונה לסמכותו המלאה כערכאה הדיונית ועולה בקנה אחד עם הדין הנוהג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בנסיבות המקרה דנן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נכון בעיניי הדגש שניתן בגזר הדין לנזק המשמעותי שנגרם למתלוננת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בואר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מעשי המערער בוצעו בכוח ותוך התעלמות מטרוניות המתלוננת על כאבה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המתלוננת סובלת כיום מפחדים וביעותים בלילות המקשים על שנתה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נפגעה יכולת המתלוננת לבטוח באחר וליצור מערכות יחסים וקשרים חברתיים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ועוצמת הכאב הנפשי ממנה סובלת המתלוננת אף הביאה אותה לפגוע בעצמה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מצאתי כי יש לתת משקל מיוחד לפגיע</w:t>
      </w:r>
      <w:r>
        <w:rPr>
          <w:rtl w:val="true"/>
        </w:rPr>
        <w:t>וּ</w:t>
      </w:r>
      <w:r>
        <w:rPr>
          <w:rFonts w:ascii="Century" w:hAnsi="Century" w:cs="Century"/>
          <w:sz w:val="22"/>
          <w:sz w:val="22"/>
          <w:rtl w:val="true"/>
        </w:rPr>
        <w:t xml:space="preserve">ת המתלוננת ולניצול החמור של חולשתה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כפי שנעשה בגזר דינו של בית המשפט המחוזי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לעובדה כי המעשים המתוארים בוצעו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אבי המתלוננת בעודה קטינה חסרת הבנה הנתונה למרותו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היינו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תלותה של המתלוננת במערער הייתה בשיאה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בדומה לבית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 גם אני כי הפגיעה בערכים המוגנים בנסיבות המקרה היא רבה ומחייבת ענישה משמעותית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בהקשר זה יצוין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יש לדחות את טענות המערער בדבר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התחשבותו של בית המשפט המחוזי בנסיבותיו האישיות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עיון בגזר הדין מלמד כי הערכאה הדיונית נתנה דעתה בהרחבה לכלל השיקולים הרלבנטיים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לרבות אלו שפורטו במסגרת הודעת הערעור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ומצאה כי השיקולים לחומרא עולים עשרות מונים על כל שיקול לקולא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המערער נמנע מליטול אחריות בגין המעשים המיוחסים 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ותחת זאת התמקד בהטחת האשמות חמורות כלפי המתלוננת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הן לאורך דיוני ההוכחות שנערכו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בדבריו האחרונים במעמד גזירת הדין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סיכומו של דבר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איני סבור כי העונש שנגזר על המערער חורג מרף הענישה המקובל והראוי באופן המצדיק את התערבותנו</w:t>
      </w:r>
      <w:r>
        <w:rPr>
          <w:rFonts w:cs="Century" w:ascii="Century" w:hAnsi="Century"/>
          <w:sz w:val="22"/>
          <w:rtl w:val="true"/>
        </w:rPr>
        <w:t xml:space="preserve">.   </w:t>
      </w:r>
      <w:r>
        <w:rPr>
          <w:rFonts w:cs="Century" w:ascii="Century" w:hAnsi="Century"/>
          <w:color w:val="FF0000"/>
          <w:rtl w:val="true"/>
        </w:rPr>
        <w:t xml:space="preserve"> 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 xml:space="preserve">הדיון שהתקיים לפנינו ביום </w:t>
      </w:r>
      <w:r>
        <w:rPr>
          <w:rFonts w:cs="Miriam" w:ascii="Miriam" w:hAnsi="Miriam"/>
          <w:color w:val="000000"/>
          <w:sz w:val="24"/>
          <w:szCs w:val="24"/>
        </w:rPr>
        <w:t>18.05.2022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בתום הדיון שהתקיים לפנינו שיקפנו למערער ולב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 הצדדים עמדתנו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הכרעת הדין מנומקת היטב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וכי חרף קשיים כאלו ואחרים עליהם הצביע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מהכרעת הדין עולה כי בית משפט קמא התמודד כדבעי גם עם אלו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לצד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עמדנו על החשיבות הרבה שבנטילת אחריות על המעשים מצד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ובפרט על המשמעות הרבה הטמונה בכך עבור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בראי כך הבהרנו למערער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מוכנים אנו לשקול הקלה בעונשו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כנגד קבלת אחריות ברורה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המערער למעשיו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שנועץ עם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ומשפחתו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הודיע המערער ביום </w:t>
      </w:r>
      <w:r>
        <w:rPr>
          <w:rFonts w:cs="Century" w:ascii="Century" w:hAnsi="Century"/>
          <w:sz w:val="22"/>
        </w:rPr>
        <w:t>24.05.2022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 הוא עומד על זכותו למתן פסק דין מנומק 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עוד בטרם נשקלה הצעתנו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המשיבה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ודוק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מצאתי לנכון להבהיר כי הצעתנו זו באה לעולם נוכח מצבה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שהתברר לפנינו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שהבהרנו בפני המערער ובא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קיימת חשיבות לכך שהמתלוננת רואה עצמה כחלק מהמשפחה והיא רוצה את הכרתם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יש לה אחים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והיא הביעה רצונה להיות עימם בקשר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במובן זה סברנו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קבלת אחריות מלאה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הודאה וחרטה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יצמצמו את הנזק שנגרם או ייגרם למתלוננת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לא תהא עוד מוקצית ממשפחתה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כמי שנושאת על גבה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לשווא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האחריות לפירוקה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Fonts w:ascii="Century" w:hAnsi="Century" w:cs="Century"/>
          <w:sz w:val="22"/>
          <w:sz w:val="22"/>
          <w:rtl w:val="true"/>
        </w:rPr>
        <w:t xml:space="preserve">הודאה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ובכלל זאת חרטה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היכן שגם זו ניתנת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עשויה במקרים מסוימים להפחית במידה ניכרת מחומרת העבירה ומן הנזק הנלווה לה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וראו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5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יא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4</w:t>
        </w:r>
        <w:r>
          <w:rPr>
            <w:rStyle w:val="Hyperlink"/>
            <w:rFonts w:cs="Century" w:ascii="Century" w:hAnsi="Century"/>
            <w:sz w:val="22"/>
            <w:rtl w:val="true"/>
          </w:rPr>
          <w:t>)-(</w:t>
        </w:r>
        <w:r>
          <w:rPr>
            <w:rStyle w:val="Hyperlink"/>
            <w:rFonts w:cs="Century" w:ascii="Century" w:hAnsi="Century"/>
            <w:sz w:val="22"/>
          </w:rPr>
          <w:t>5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לא 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חלק גדול מהנזק של 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 מקום בו מדובר בעבירות מין המבוצעות במשפחה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אב המשפחה כלפי בתו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נוגע לבושה הנלווית לקורבן העבירה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ובכך עצם החרטה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עשויה להפחית ממנה במידה מה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על משמעות ההודאה וחשיבותה מנקודת מבטו של נפגע העבירה</w:t>
      </w:r>
      <w:r>
        <w:rPr>
          <w:rtl w:val="true"/>
        </w:rPr>
        <w:t xml:space="preserve">, </w:t>
      </w:r>
      <w:r>
        <w:rPr>
          <w:rtl w:val="true"/>
        </w:rPr>
        <w:t>יפים דברי השופט</w:t>
      </w:r>
      <w:r>
        <w:rPr>
          <w:rFonts w:ascii="Miriam" w:hAnsi="Miriam" w:cs="Miriam"/>
          <w:spacing w:val="0"/>
          <w:szCs w:val="24"/>
          <w:rtl w:val="true"/>
        </w:rPr>
        <w:t xml:space="preserve">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 xml:space="preserve">סולברג 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4095/18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פלוני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06.01.2021</w:t>
      </w:r>
      <w:r>
        <w:rPr>
          <w:rtl w:val="true"/>
        </w:rPr>
        <w:t>):</w:t>
      </w:r>
      <w:r>
        <w:rPr>
          <w:rtl w:val="true"/>
        </w:rPr>
        <w:br/>
      </w:r>
    </w:p>
    <w:p>
      <w:pPr>
        <w:pStyle w:val="Ruller51"/>
        <w:spacing w:before="240" w:after="240"/>
        <w:ind w:end="1282"/>
        <w:jc w:val="both"/>
        <w:rPr/>
      </w:pP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לצד הכרחיות ההודאה לתהליך התשובה של החוטא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הרי שההכרה באחריות לנזק שגרם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נושאת עמה חשיבות רבה גם לתהליך שיקומו של הנפגע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כך בכלל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וכך כאשר בעבירות</w:t>
      </w:r>
      <w:r>
        <w:rPr>
          <w:rFonts w:cs="Century" w:ascii="Century" w:hAnsi="Century"/>
          <w:sz w:val="20"/>
          <w:rtl w:val="true"/>
        </w:rPr>
        <w:t>-</w:t>
      </w:r>
      <w:r>
        <w:rPr>
          <w:rFonts w:ascii="Century" w:hAnsi="Century" w:cs="Century"/>
          <w:sz w:val="20"/>
          <w:sz w:val="20"/>
          <w:rtl w:val="true"/>
        </w:rPr>
        <w:t>מין עסקינן בפרט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כשלא פעם עומדת מהימנותו של זה מול מהימנותה של זו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בכגון דא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 xml:space="preserve">אף אם כבר </w:t>
      </w:r>
      <w:r>
        <w:rPr>
          <w:rtl w:val="true"/>
        </w:rPr>
        <w:t>הורשע</w:t>
      </w:r>
      <w:r>
        <w:rPr>
          <w:rFonts w:ascii="Century" w:hAnsi="Century" w:cs="Century"/>
          <w:sz w:val="20"/>
          <w:sz w:val="20"/>
          <w:rtl w:val="true"/>
        </w:rPr>
        <w:t xml:space="preserve"> הנאשם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חרף הכחשתו את המיוחס לו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אין להקל ראש בהצהרה מאוחרת מצדו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קבל עם ועדה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כי מלכתחילה היו דבריה של המתלוננת – אמת</w:t>
      </w:r>
      <w:r>
        <w:rPr>
          <w:rFonts w:cs="Century" w:ascii="Century" w:hAnsi="Century"/>
          <w:sz w:val="20"/>
          <w:rtl w:val="true"/>
        </w:rPr>
        <w:t xml:space="preserve">; </w:t>
      </w:r>
      <w:r>
        <w:rPr>
          <w:rFonts w:ascii="Century" w:hAnsi="Century" w:cs="Century"/>
          <w:sz w:val="20"/>
          <w:sz w:val="20"/>
          <w:rtl w:val="true"/>
        </w:rPr>
        <w:t>כי לא העלילה עלילות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לא בדתה בדיות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ומעשיו שלו הם שהביאו בדין להרשעתו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אנחת רווחה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גם אם מדודה ומתוחמת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יוצאת אז מלבה של נפגעת עבירת</w:t>
      </w:r>
      <w:r>
        <w:rPr>
          <w:rFonts w:cs="Century" w:ascii="Century" w:hAnsi="Century"/>
          <w:sz w:val="20"/>
          <w:rtl w:val="true"/>
        </w:rPr>
        <w:t>-</w:t>
      </w:r>
      <w:r>
        <w:rPr>
          <w:rFonts w:ascii="Century" w:hAnsi="Century" w:cs="Century"/>
          <w:sz w:val="20"/>
          <w:sz w:val="20"/>
          <w:rtl w:val="true"/>
        </w:rPr>
        <w:t>המין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כשהפוגע אינו מכחיש עוד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מודה בפה מלא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 xml:space="preserve">הנפגעת משתחררת מן העול הכבד המוטל עליה כביכול </w:t>
      </w:r>
      <w:r>
        <w:rPr>
          <w:rFonts w:cs="Century" w:ascii="Century" w:hAnsi="Century"/>
          <w:sz w:val="20"/>
          <w:rtl w:val="true"/>
        </w:rPr>
        <w:t>'</w:t>
      </w:r>
      <w:r>
        <w:rPr>
          <w:rFonts w:ascii="Century" w:hAnsi="Century" w:cs="Century"/>
          <w:sz w:val="20"/>
          <w:sz w:val="20"/>
          <w:rtl w:val="true"/>
        </w:rPr>
        <w:t>להוכיח</w:t>
      </w:r>
      <w:r>
        <w:rPr>
          <w:rFonts w:cs="Century" w:ascii="Century" w:hAnsi="Century"/>
          <w:sz w:val="20"/>
          <w:rtl w:val="true"/>
        </w:rPr>
        <w:t xml:space="preserve">' </w:t>
      </w:r>
      <w:r>
        <w:rPr>
          <w:rFonts w:ascii="Century" w:hAnsi="Century" w:cs="Century"/>
          <w:sz w:val="20"/>
          <w:sz w:val="20"/>
          <w:rtl w:val="true"/>
        </w:rPr>
        <w:t>לסביבתה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כי אמת דיברה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ויכולה להפנות את כוחותיה ואת שאריות המרץ שנותרו בה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לעיקר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לשיקום חייה בעקבות המעשים הנוראיים שנעשו בה</w:t>
      </w:r>
      <w:r>
        <w:rPr>
          <w:rFonts w:cs="Century" w:ascii="Century" w:hAnsi="Century"/>
          <w:sz w:val="20"/>
          <w:rtl w:val="true"/>
        </w:rPr>
        <w:t>"</w:t>
      </w:r>
      <w:r>
        <w:rPr>
          <w:rtl w:val="true"/>
        </w:rPr>
        <w:t xml:space="preserve"> [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>]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על יסוד האמור ומכל הנימוקים עליהם עמדתי בהרחבה לעיל סבורני כי דין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, </w:t>
      </w:r>
      <w:r>
        <w:rPr>
          <w:rtl w:val="true"/>
        </w:rPr>
        <w:t xml:space="preserve">להידחות </w:t>
      </w:r>
      <w:r>
        <w:rPr>
          <w:rtl w:val="true"/>
        </w:rPr>
        <w:t>–</w:t>
      </w:r>
      <w:r>
        <w:rPr>
          <w:rtl w:val="true"/>
        </w:rPr>
        <w:t xml:space="preserve"> וכך אציע גם לחבריי לעשות</w:t>
      </w:r>
      <w:r>
        <w:rPr>
          <w:rtl w:val="true"/>
        </w:rPr>
        <w:t>.</w:t>
      </w:r>
      <w:r>
        <w:rPr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end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end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end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2.8.2022</w:t>
      </w:r>
      <w:r>
        <w:rPr>
          <w:rtl w:val="true"/>
        </w:rPr>
        <w:t xml:space="preserve">). </w:t>
      </w:r>
      <w:bookmarkEnd w:id="16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19078800</w:t>
      </w:r>
      <w:r>
        <w:rPr>
          <w:sz w:val="16"/>
          <w:rtl w:val="true"/>
        </w:rPr>
        <w:t>_</w:t>
      </w:r>
      <w:r>
        <w:rPr>
          <w:sz w:val="16"/>
        </w:rPr>
        <w:t>C14.docx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54678313-7880/19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7880/19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textAlignment w:val="auto"/>
      <w:outlineLvl w:val="0"/>
    </w:pPr>
    <w:rPr>
      <w:rFonts w:ascii="Calibri Light" w:hAnsi="Calibri Light" w:eastAsia="Times New Roman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overflowPunct w:val="true"/>
      <w:autoSpaceDE w:val="true"/>
      <w:spacing w:lineRule="auto" w:line="257" w:before="40" w:after="0"/>
      <w:textAlignment w:val="auto"/>
      <w:outlineLvl w:val="1"/>
    </w:pPr>
    <w:rPr>
      <w:rFonts w:ascii="Calibri Light" w:hAnsi="Calibri Light" w:eastAsia="Times New Roman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overflowPunct w:val="true"/>
      <w:autoSpaceDE w:val="true"/>
      <w:spacing w:lineRule="auto" w:line="257" w:before="40" w:after="0"/>
      <w:textAlignment w:val="auto"/>
      <w:outlineLvl w:val="2"/>
    </w:pPr>
    <w:rPr>
      <w:rFonts w:ascii="Calibri Light" w:hAnsi="Calibri Light" w:eastAsia="Times New Roman" w:cs="Times New Roman"/>
      <w:color w:val="1F4D78"/>
      <w:sz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FrankRuehl" w:hAnsi="FrankRuehl" w:cs="FrankRuehl"/>
      <w:sz w:val="28"/>
      <w:szCs w:val="28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8">
    <w:name w:val=" Char Char8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harChar7">
    <w:name w:val=" Char Char7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CharChar6">
    <w:name w:val=" Char Char6"/>
    <w:qFormat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CharChar5">
    <w:name w:val=" Char Char5"/>
    <w:qFormat/>
    <w:rPr>
      <w:rFonts w:cs="David"/>
      <w:szCs w:val="24"/>
    </w:rPr>
  </w:style>
  <w:style w:type="character" w:styleId="CharChar4">
    <w:name w:val=" Char Char4"/>
    <w:qFormat/>
    <w:rPr>
      <w:rFonts w:cs="David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CharChar">
    <w:name w:val=" Char Char"/>
    <w:qFormat/>
    <w:rPr>
      <w:rFonts w:ascii="Century" w:hAnsi="Century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20"/>
    </w:pPr>
    <w:rPr>
      <w:rFonts w:ascii="Century" w:hAnsi="Century" w:cs="FrankRuehl"/>
      <w:spacing w:val="10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</w:pPr>
    <w:rPr/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62615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8.a" TargetMode="External"/><Relationship Id="rId6" Type="http://schemas.openxmlformats.org/officeDocument/2006/relationships/hyperlink" Target="http://www.nevo.co.il/law/70301/351.a" TargetMode="External"/><Relationship Id="rId7" Type="http://schemas.openxmlformats.org/officeDocument/2006/relationships/hyperlink" Target="http://www.nevo.co.il/law/70301/351.b" TargetMode="External"/><Relationship Id="rId8" Type="http://schemas.openxmlformats.org/officeDocument/2006/relationships/hyperlink" Target="http://www.nevo.co.il/law/70301/351.c.1" TargetMode="External"/><Relationship Id="rId9" Type="http://schemas.openxmlformats.org/officeDocument/2006/relationships/hyperlink" Target="http://www.nevo.co.il/law/70301/351.c.3" TargetMode="External"/><Relationship Id="rId10" Type="http://schemas.openxmlformats.org/officeDocument/2006/relationships/hyperlink" Target="http://www.nevo.co.il/law/70301/40ja.4." TargetMode="External"/><Relationship Id="rId11" Type="http://schemas.openxmlformats.org/officeDocument/2006/relationships/hyperlink" Target="http://www.nevo.co.il/law/70301/40ja.5" TargetMode="External"/><Relationship Id="rId12" Type="http://schemas.openxmlformats.org/officeDocument/2006/relationships/hyperlink" Target="http://www.nevo.co.il/law/98569" TargetMode="External"/><Relationship Id="rId13" Type="http://schemas.openxmlformats.org/officeDocument/2006/relationships/hyperlink" Target="http://www.nevo.co.il/law/98569/54a.b" TargetMode="External"/><Relationship Id="rId14" Type="http://schemas.openxmlformats.org/officeDocument/2006/relationships/hyperlink" Target="http://www.nevo.co.il/law/98569/57" TargetMode="External"/><Relationship Id="rId15" Type="http://schemas.openxmlformats.org/officeDocument/2006/relationships/hyperlink" Target="http://www.nevo.co.il/case/22626156" TargetMode="External"/><Relationship Id="rId16" Type="http://schemas.openxmlformats.org/officeDocument/2006/relationships/hyperlink" Target="http://www.nevo.co.il/law/70301/351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51.b" TargetMode="External"/><Relationship Id="rId19" Type="http://schemas.openxmlformats.org/officeDocument/2006/relationships/hyperlink" Target="http://www.nevo.co.il/law/70301/351.c.1" TargetMode="External"/><Relationship Id="rId20" Type="http://schemas.openxmlformats.org/officeDocument/2006/relationships/hyperlink" Target="http://www.nevo.co.il/law/70301/348.a" TargetMode="External"/><Relationship Id="rId21" Type="http://schemas.openxmlformats.org/officeDocument/2006/relationships/hyperlink" Target="http://www.nevo.co.il/law/70301/345.a.3" TargetMode="External"/><Relationship Id="rId22" Type="http://schemas.openxmlformats.org/officeDocument/2006/relationships/hyperlink" Target="http://www.nevo.co.il/law/70301/351.c.3" TargetMode="External"/><Relationship Id="rId23" Type="http://schemas.openxmlformats.org/officeDocument/2006/relationships/hyperlink" Target="http://www.nevo.co.il/law/70301/351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51.b" TargetMode="External"/><Relationship Id="rId26" Type="http://schemas.openxmlformats.org/officeDocument/2006/relationships/hyperlink" Target="http://www.nevo.co.il/law/70301/351.c.1" TargetMode="External"/><Relationship Id="rId27" Type="http://schemas.openxmlformats.org/officeDocument/2006/relationships/hyperlink" Target="http://www.nevo.co.il/law/70301/348.a" TargetMode="External"/><Relationship Id="rId28" Type="http://schemas.openxmlformats.org/officeDocument/2006/relationships/hyperlink" Target="http://www.nevo.co.il/law/70301/345.a.3" TargetMode="External"/><Relationship Id="rId29" Type="http://schemas.openxmlformats.org/officeDocument/2006/relationships/hyperlink" Target="http://www.nevo.co.il/law/70301/351.c.3" TargetMode="External"/><Relationship Id="rId30" Type="http://schemas.openxmlformats.org/officeDocument/2006/relationships/hyperlink" Target="http://www.nevo.co.il/case/6151033" TargetMode="External"/><Relationship Id="rId31" Type="http://schemas.openxmlformats.org/officeDocument/2006/relationships/hyperlink" Target="http://www.nevo.co.il/case/5580529" TargetMode="External"/><Relationship Id="rId32" Type="http://schemas.openxmlformats.org/officeDocument/2006/relationships/hyperlink" Target="http://www.nevo.co.il/case/5758600" TargetMode="External"/><Relationship Id="rId33" Type="http://schemas.openxmlformats.org/officeDocument/2006/relationships/hyperlink" Target="http://www.nevo.co.il/case/5946947" TargetMode="External"/><Relationship Id="rId34" Type="http://schemas.openxmlformats.org/officeDocument/2006/relationships/hyperlink" Target="http://www.nevo.co.il/case/17943761" TargetMode="External"/><Relationship Id="rId35" Type="http://schemas.openxmlformats.org/officeDocument/2006/relationships/hyperlink" Target="http://www.nevo.co.il/case/17928318" TargetMode="External"/><Relationship Id="rId36" Type="http://schemas.openxmlformats.org/officeDocument/2006/relationships/hyperlink" Target="http://www.nevo.co.il/case/17925108" TargetMode="External"/><Relationship Id="rId37" Type="http://schemas.openxmlformats.org/officeDocument/2006/relationships/hyperlink" Target="http://www.nevo.co.il/law/98569/57" TargetMode="External"/><Relationship Id="rId38" Type="http://schemas.openxmlformats.org/officeDocument/2006/relationships/hyperlink" Target="http://www.nevo.co.il/law/98569" TargetMode="External"/><Relationship Id="rId39" Type="http://schemas.openxmlformats.org/officeDocument/2006/relationships/hyperlink" Target="http://www.nevo.co.il/case/6129410" TargetMode="External"/><Relationship Id="rId40" Type="http://schemas.openxmlformats.org/officeDocument/2006/relationships/hyperlink" Target="http://www.nevo.co.il/case/26255935" TargetMode="External"/><Relationship Id="rId41" Type="http://schemas.openxmlformats.org/officeDocument/2006/relationships/hyperlink" Target="http://www.nevo.co.il/case/24156665" TargetMode="External"/><Relationship Id="rId42" Type="http://schemas.openxmlformats.org/officeDocument/2006/relationships/hyperlink" Target="http://www.nevo.co.il/case/5832812" TargetMode="External"/><Relationship Id="rId43" Type="http://schemas.openxmlformats.org/officeDocument/2006/relationships/hyperlink" Target="http://www.nevo.co.il/case/6246452" TargetMode="External"/><Relationship Id="rId44" Type="http://schemas.openxmlformats.org/officeDocument/2006/relationships/hyperlink" Target="http://www.nevo.co.il/case/6037102" TargetMode="External"/><Relationship Id="rId45" Type="http://schemas.openxmlformats.org/officeDocument/2006/relationships/hyperlink" Target="http://www.nevo.co.il/law/98569/54a.b" TargetMode="External"/><Relationship Id="rId46" Type="http://schemas.openxmlformats.org/officeDocument/2006/relationships/hyperlink" Target="http://www.nevo.co.il/law/98569" TargetMode="External"/><Relationship Id="rId47" Type="http://schemas.openxmlformats.org/officeDocument/2006/relationships/hyperlink" Target="http://www.nevo.co.il/case/20937932" TargetMode="External"/><Relationship Id="rId48" Type="http://schemas.openxmlformats.org/officeDocument/2006/relationships/hyperlink" Target="http://www.nevo.co.il/case/6241285" TargetMode="External"/><Relationship Id="rId49" Type="http://schemas.openxmlformats.org/officeDocument/2006/relationships/hyperlink" Target="http://www.nevo.co.il/law/98569/54a.b" TargetMode="External"/><Relationship Id="rId50" Type="http://schemas.openxmlformats.org/officeDocument/2006/relationships/hyperlink" Target="http://www.nevo.co.il/law/98569" TargetMode="External"/><Relationship Id="rId51" Type="http://schemas.openxmlformats.org/officeDocument/2006/relationships/hyperlink" Target="http://www.nevo.co.il/case/21472953" TargetMode="External"/><Relationship Id="rId52" Type="http://schemas.openxmlformats.org/officeDocument/2006/relationships/hyperlink" Target="http://www.nevo.co.il/case/5875466" TargetMode="External"/><Relationship Id="rId53" Type="http://schemas.openxmlformats.org/officeDocument/2006/relationships/hyperlink" Target="http://www.nevo.co.il/case/6247343" TargetMode="External"/><Relationship Id="rId54" Type="http://schemas.openxmlformats.org/officeDocument/2006/relationships/hyperlink" Target="http://www.nevo.co.il/case/6104378" TargetMode="External"/><Relationship Id="rId55" Type="http://schemas.openxmlformats.org/officeDocument/2006/relationships/hyperlink" Target="http://www.nevo.co.il/case/22302916" TargetMode="External"/><Relationship Id="rId56" Type="http://schemas.openxmlformats.org/officeDocument/2006/relationships/hyperlink" Target="http://www.nevo.co.il/case/6239118" TargetMode="External"/><Relationship Id="rId57" Type="http://schemas.openxmlformats.org/officeDocument/2006/relationships/hyperlink" Target="http://www.nevo.co.il/law/70301/40ja.4.;40ja.5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4263397" TargetMode="External"/><Relationship Id="rId60" Type="http://schemas.openxmlformats.org/officeDocument/2006/relationships/hyperlink" Target="https://supreme.court.gov.il/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2022-08-03T09:56:00Z</dcterms:created>
  <dc:creator>h4</dc:creator>
  <dc:description/>
  <cp:keywords/>
  <dc:language>en-IL</dc:language>
  <cp:lastModifiedBy>hofit</cp:lastModifiedBy>
  <cp:lastPrinted>2022-08-02T09:01:00Z</cp:lastPrinted>
  <dcterms:modified xsi:type="dcterms:W3CDTF">2022-08-03T09:56:00Z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22626156:2;6151033;5580529;5758600;5946947;17943761;17928318;17925108;6129410;26255935;24156665;5832812;6246452;6037102;20937932;6241285;21472953;5875466;6247343;6104378;22302916;6239118;24263397</vt:lpwstr>
  </property>
  <property fmtid="{D5CDD505-2E9C-101B-9397-08002B2CF9AE}" pid="9" name="CITY">
    <vt:lpwstr/>
  </property>
  <property fmtid="{D5CDD505-2E9C-101B-9397-08002B2CF9AE}" pid="10" name="DATE">
    <vt:lpwstr>20220802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אלרון;ע' גרוסקופף;ח' כבוב</vt:lpwstr>
  </property>
  <property fmtid="{D5CDD505-2E9C-101B-9397-08002B2CF9AE}" pid="14" name="LAWLISTTMP1">
    <vt:lpwstr>70301/351.a:2;351.b:2;351.c.1:2;348.a:2;345.a.3:2;351.c.3:2;40ja.4;40ja.5</vt:lpwstr>
  </property>
  <property fmtid="{D5CDD505-2E9C-101B-9397-08002B2CF9AE}" pid="15" name="LAWLISTTMP2">
    <vt:lpwstr>98569/057;054a.b:2</vt:lpwstr>
  </property>
  <property fmtid="{D5CDD505-2E9C-101B-9397-08002B2CF9AE}" pid="16" name="LAWYER">
    <vt:lpwstr>יאיר חמודות;ציון אמיר;ענבר רוזנבאום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ראיות</vt:lpwstr>
  </property>
  <property fmtid="{D5CDD505-2E9C-101B-9397-08002B2CF9AE}" pid="31" name="NOSE14">
    <vt:lpwstr>ראיות</vt:lpwstr>
  </property>
  <property fmtid="{D5CDD505-2E9C-101B-9397-08002B2CF9AE}" pid="32" name="NOSE15">
    <vt:lpwstr>ראיות</vt:lpwstr>
  </property>
  <property fmtid="{D5CDD505-2E9C-101B-9397-08002B2CF9AE}" pid="33" name="NOSE16">
    <vt:lpwstr>ראיות</vt:lpwstr>
  </property>
  <property fmtid="{D5CDD505-2E9C-101B-9397-08002B2CF9AE}" pid="34" name="NOSE17">
    <vt:lpwstr>בתי-משפט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77;18;89;89;89;89;14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מימצאים</vt:lpwstr>
  </property>
  <property fmtid="{D5CDD505-2E9C-101B-9397-08002B2CF9AE}" pid="42" name="NOSE24">
    <vt:lpwstr>עדות</vt:lpwstr>
  </property>
  <property fmtid="{D5CDD505-2E9C-101B-9397-08002B2CF9AE}" pid="43" name="NOSE25">
    <vt:lpwstr>עדות</vt:lpwstr>
  </property>
  <property fmtid="{D5CDD505-2E9C-101B-9397-08002B2CF9AE}" pid="44" name="NOSE26">
    <vt:lpwstr>עדות</vt:lpwstr>
  </property>
  <property fmtid="{D5CDD505-2E9C-101B-9397-08002B2CF9AE}" pid="45" name="NOSE27">
    <vt:lpwstr>ערעור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1446;504;1639;1654;1654;1654;333</vt:lpwstr>
  </property>
  <property fmtid="{D5CDD505-2E9C-101B-9397-08002B2CF9AE}" pid="49" name="NOSE31">
    <vt:lpwstr>מדיניות ענישה: עבירות מין במשפחה</vt:lpwstr>
  </property>
  <property fmtid="{D5CDD505-2E9C-101B-9397-08002B2CF9AE}" pid="50" name="NOSE310">
    <vt:lpwstr/>
  </property>
  <property fmtid="{D5CDD505-2E9C-101B-9397-08002B2CF9AE}" pid="51" name="NOSE32">
    <vt:lpwstr>אי-התערבות בממצאים עובדתיים</vt:lpwstr>
  </property>
  <property fmtid="{D5CDD505-2E9C-101B-9397-08002B2CF9AE}" pid="52" name="NOSE33">
    <vt:lpwstr>התערבות ערכאת הערעור</vt:lpwstr>
  </property>
  <property fmtid="{D5CDD505-2E9C-101B-9397-08002B2CF9AE}" pid="53" name="NOSE34">
    <vt:lpwstr>סתירות</vt:lpwstr>
  </property>
  <property fmtid="{D5CDD505-2E9C-101B-9397-08002B2CF9AE}" pid="54" name="NOSE35">
    <vt:lpwstr>עדות יחידה</vt:lpwstr>
  </property>
  <property fmtid="{D5CDD505-2E9C-101B-9397-08002B2CF9AE}" pid="55" name="NOSE36">
    <vt:lpwstr>קורבן עבירת מין</vt:lpwstr>
  </property>
  <property fmtid="{D5CDD505-2E9C-101B-9397-08002B2CF9AE}" pid="56" name="NOSE37">
    <vt:lpwstr>התערבות במהימנות עדים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16241;3849;10234;10405;10409;12270;13579</vt:lpwstr>
  </property>
  <property fmtid="{D5CDD505-2E9C-101B-9397-08002B2CF9AE}" pid="60" name="PADIDATE">
    <vt:lpwstr>20220803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7880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410120220802</vt:lpwstr>
  </property>
  <property fmtid="{D5CDD505-2E9C-101B-9397-08002B2CF9AE}" pid="70" name="TYPE_N_DATE">
    <vt:lpwstr>41020220802</vt:lpwstr>
  </property>
  <property fmtid="{D5CDD505-2E9C-101B-9397-08002B2CF9AE}" pid="71" name="VOLUME">
    <vt:lpwstr/>
  </property>
  <property fmtid="{D5CDD505-2E9C-101B-9397-08002B2CF9AE}" pid="72" name="WORDNUMPAGES">
    <vt:lpwstr>38</vt:lpwstr>
  </property>
</Properties>
</file>