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7881/20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. (</w:t>
            </w:r>
            <w:r>
              <w:rPr>
                <w:rtl w:val="true"/>
              </w:rPr>
              <w:t>אלמנת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10493-08-18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17.02.2021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מסייע מושפע מהעבירה העיקרית ותוצאותיה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בעיקר נקבע לפי פעולותיו ונסיבותיהן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כשבכך נכללים הן מאפייני הסיוע והן מידת תרומתו למימוש התוכנית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מאפייני הסיוע במקרה דנא וחשיבות תרומתו של המערער לתוכנית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הובילה לדחיית הערעור 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סיוע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בו הושת על המערער עונש של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בהסדר טיעון בעבירות סיוע להריגה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 לחבלה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וגניבת 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הטיעון כלל הסכמות חלקיות לעניין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לפיהן המשיבה תעתור לקביעת מתחם עונש הולם של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הוא יהיה חופשי בטיעוניו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התבקש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מספר אנשים שזהותם אינה ידועה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לסייע להם לפגוע באדם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שיפעל לגנוב רכב שישמש את האחרים לביצוע העבירה ולמניעת גילויים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יקבע להיפגש עם המנוח במקום ובזמן המתאים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הסכים לעשות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ביודעו כי בכוונת האחרים לגרום למנוח חבלה חמורה באמצעות 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פעל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ובהמשך לכך ירו האחרים במנוח ובאדם נוסף שהגיע עם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בכוונה להמיתם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שתכננו מראש לעשות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נהרג מהירי והאדם הנוסף נפצע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האחרים נמלטו מהמקום ברכב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לא תתערב בעונש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של סטייה קיצונית ממדיניות הענישה הנוהגת או טעות מהותית בגזר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רק בהתקיים נסיבות מיוחדות תתערב ערכאת הערעור בעונש שנגזר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עניינו של המערער אינו נמנה על המקרים בהם נדרש או נכון להתערב בעונש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ודאי שלא לקולה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בפרט כזה שנגזר מתחת לגבול התחתון של המתחם לו עתרה המשיבה בהסכמתו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טוען כי 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שוגה בהערכת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יתר של חומרת מעשיו ומידת אשמו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ניתן בו די משקל לשלושה היבטים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ריחוקו מאירוע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בזמן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הסתיים לפני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במקום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נעדר מהזירה בעת שבוצע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ובמעשים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לא גנב את הרכב או מסר אותו לידי האחרים בעצמו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מעמדו הזוטר כמסייע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כלי בידי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חסר השפעה על תוכניתם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כזה שאת חלקו בה כל אחד יכול היה למלא במקומו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שינוי התוכנית העבריינית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לכאורה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ביחס למקום המפגש עם המנוח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ללא ידיעתו או מעורבותו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יש לדחות על הסף את הנטען בהיבט האחרון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החורג מהותית מעובדות כתב האישום המתוקן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בהן הודה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פיהן נגזר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ומהן אינו יכול לסטות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בנטען ביחס לשני ההיבטים הראשונים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הריחוק מאירוע הירי והמעמד הזוטר כמסייע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אין כדי להועיל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מסייע מושפע מהעבירה העיקרית ותוצאותיה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בעיקר נקבע לפי פעולותיו ונסיבותיהן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כשבכך נכללים הן מאפייני הסיוע והן מידת תרומתו למימוש התוכנית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מאפייני הסיוע מתייחסים לדרך ביצוע העבירה הנגזרת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במעשה או במחדל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בתמיכה אופרטיבית או רוחנית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בהיערכות או בהוצאה לפועל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וכן לטיב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ועומק מעורבותו של המסייע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התרומה עניינה בחשיבות חלקו של המסייע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מילויו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ובמידה בה ביצוע התוכנית אכן התבסס על הסיוע שניתן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כשלאור זאת ייקבע האם היה בסיוע כדי לאפשר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לאבטח או להבטיח את מימוש התוכנית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לשיטת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מאפייני הסיוע מלמדים על חומרת מעשיו של המסייע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ומידת התרומה על מידת האשם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ברור כי סיוע בהיערכות יסתיים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זמן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לפני ביצוע התוכנית ולא יצריך את נוכחות או השתתפות המסייע בכך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וזאת מבלי לגרוע מנחיצות תרומתו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מסייע שהשלים בהצלחה את חלקו בתוכנית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להשיג 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כבמקרה שלפנינו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תרם באותה מידה למימושה בין אם פעל לבדו ובין אם הפעיל אחרים לשם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מאפייני הסיוע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חומרת מעשיו של המערער אמנם פחותה יחסית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אולם בגזר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ניתן לכך ביטוי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בנטען ביחס לריחוקו מאירוע הירי כדי להוסיף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חשיבות תרומתו לתוכנית העבריינית משמעותית במידה רבה ביותר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וזוהי אף השאלה המכרעת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תפקידו הכפול של המערער בתוכנית העבריינית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לתאם פגישה עם המנוח ולפעול לגניבת רכב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היה חיוני להגשמתה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אפשר היה לבצעה כפי שבוצעה אם היה נכשל ולו באופן חלקי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שהמערער מילא את משימותיו במלואן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ואין חולק שהרכב ששימש לביצוע העבירה נגנב לבקשתו והגיע לאחרים בזכותו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לרבות בכך שבדק את הרכב פעם אחת לפחות בין המועד בו נמסר לו מידי הגנבים לבין המועד בו ניטל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ידי האחרים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וכשמצא שהרכב אינו מתניע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דאג להחליף לו מצבר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בניגוד לנטען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אפילו אם חלקו של המערער היה מתמצה בתיאום וקישור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האחרים למנוח ובינם לבין הגנבים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ניתן היה לראות בכך סיוע ב</w:t>
      </w:r>
      <w:r>
        <w:rPr>
          <w:rFonts w:cs="Times New Roman" w:ascii="Times New Roman" w:hAnsi="Times New Roman"/>
          <w:spacing w:val="0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שלישי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ללמוד מכך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ריחוקו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מהתוכנית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נהפוך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החלטתו לשלם לגורמים נוספים כדי שיגנבו את הרכב נועדה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הסתם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להרחיקו מאחריות למעשה והשלכותיו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בדיוק כשם שהוא מבקש לעשות כעת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וזאת אין להתיר 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נדמה כי פרטיה העיקריים של התוכנית היו ידועים למערער לכל משך מעורבותו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העיתוי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האמצעים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והמשתתפים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ועל כך הושם דגש גם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ביחס למעמדו הזוטר כמסייע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בטעות יסודן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מסייע מוגדר כשותף עקיף ומשני שאינו חבר ב</w:t>
      </w:r>
      <w:r>
        <w:rPr>
          <w:rFonts w:cs="Times New Roman" w:ascii="Times New Roman" w:hAnsi="Times New Roman"/>
          <w:spacing w:val="0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rtl w:val="true"/>
        </w:rPr>
        <w:t>מעגל הפנימי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המבצעים העיקריים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 אין סיבה לצפות שתהיה לו שליטה כלשהי על מימוש התוכנית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 המערער להסתייע בגורמים נוספים בגניבת הרכב דווקא מלמדת כי הייתה לו מידה מסוימת של שליטה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לפחות על אופן ביצוע החלק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טענתו לפיה כל אחד יכול היה להחליף אותו כמסייע אינה מתיישבת עם הצורך לרכוש את אמונו של המנוח כדי לשכנעו להגיע למקום מבודד בשעת לילה מאוחרת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או עם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הערך הרב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בלהכיר את האנשים הנכונים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גנבי מכוניות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האמור לעיל אף אין כדי לאבחן את ענייננו מהפסיקה שנסקרה בגזר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המשליך על יישומה של 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יש לזכור כי טענות מסוג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ריחוק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rtl w:val="true"/>
        </w:rPr>
        <w:t>זוטרות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מועלות באופן תדיר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מורשעים בסיוע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מוכנותן של הערכאות השונות לקבל או לדחות טענות אלה רלוונטית להערכת מדיניות הענישה הנוהגת ביחס לעבירה הנגזרת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ולא יהיה נכון לצמצם הערכה זו לפן המספרי בלבד או לבססה רק על סיוע לאותה עבירה בדיוק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למרות שגם לעניין זה יש דוגמאות בפסיקה שנסקרה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הקל עם המערער בקביעת מתחם 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 מאחר שקבע ובצדק כי לא הייתה מניעה לחרוג מהעונש המרבי לעבירת הסיוע להריגה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ההרשעה בעבירות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שמדובר באירוע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חומרת העבירות העיקריות והיותן חלק מתופעה רחבה של יישוב סכסוכים תוך שימוש בנשק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שהמערער ידע הן על הכוונה לעשות שימוש בנשק חם והן על הימצאותו של אדם נוסף במקום המפגש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ולאור הסכמתו לחריגה כאמור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אם לא די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הוסיף והקל עם המערער בהצבת העונש באמצע המתחם שקבע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חולק שהודאת המערער חסכה זמן שיפוטי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ספק אם נכון היה לזקוף לזכותו שיתוף פעולה עם רשויות האכיפה לאור סירובו למסור פרטים כלשהם אודות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עדיין מהלכים חופשי ולא נתנו את הדין על חלקם בפרשה וזאת בדומה למקרים אחרים שנדונו בפסיקה בעניינם של מסייעים שנמנעו מזיהוי שותפים או הסגרת אמצעים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בקשר לעבירות אלימות תוך שימוש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גם לייחס משקל משמעותי להיות המערער אב צעיר וטרי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שסייע להריגתו של מי שבאותה עת היה אב לארבעה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וכבר ציפה להולדת בנו החמישי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אף לא טרח לשלם את הפיצוי הכספי אשר נפסק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ושעליו היה לשלם לאלמנת המנוח וילדיו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זה נדחתה גם טענת המערער ביחס לעינוי הדין שנגרם לו והשלכותיו לעניין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על גזר</w:t>
      </w:r>
      <w:r>
        <w:rPr>
          <w:rtl w:val="true"/>
        </w:rPr>
        <w:t>-</w:t>
      </w:r>
      <w:r>
        <w:rPr>
          <w:rtl w:val="true"/>
        </w:rPr>
        <w:t xml:space="preserve">דינו של בית המשפט המחוזי חיפה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10493-08-18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29.9.2020</w:t>
      </w:r>
      <w:r>
        <w:rPr>
          <w:rtl w:val="true"/>
        </w:rPr>
        <w:t xml:space="preserve">, </w:t>
      </w:r>
      <w:r>
        <w:rPr>
          <w:rtl w:val="true"/>
        </w:rPr>
        <w:t>בו הושת על המערער עונש של שבע שנים וחצי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 בהסדר טיעון בעבירות סיוע להריגה</w:t>
      </w:r>
      <w:r>
        <w:rPr>
          <w:rtl w:val="true"/>
        </w:rPr>
        <w:t xml:space="preserve">, </w:t>
      </w:r>
      <w:r>
        <w:rPr>
          <w:rtl w:val="true"/>
        </w:rPr>
        <w:t>סיוע לחבלה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וגניבת רכב </w:t>
      </w:r>
      <w:r>
        <w:rPr>
          <w:rtl w:val="true"/>
        </w:rPr>
        <w:t>(</w:t>
      </w:r>
      <w:r>
        <w:rPr>
          <w:rtl w:val="true"/>
        </w:rPr>
        <w:t xml:space="preserve">עבירות לפי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</w:rPr>
          <w:t>31</w:t>
        </w:r>
      </w:hyperlink>
      <w:r>
        <w:rPr>
          <w:rtl w:val="true"/>
        </w:rPr>
        <w:t xml:space="preserve">, </w:t>
      </w:r>
      <w:hyperlink r:id="rId13">
        <w:r>
          <w:rPr>
            <w:rStyle w:val="Hyperlink"/>
          </w:rPr>
          <w:t>335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</w:rPr>
          <w:t>333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</w:rPr>
          <w:t>31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413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17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וגזר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התבקש על</w:t>
      </w:r>
      <w:r>
        <w:rPr>
          <w:rtl w:val="true"/>
        </w:rPr>
        <w:t>-</w:t>
      </w:r>
      <w:r>
        <w:rPr>
          <w:rtl w:val="true"/>
        </w:rPr>
        <w:t xml:space="preserve">ידי מספר אנשים שזהותם אינה ידועה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האחרים</w:t>
      </w:r>
      <w:r>
        <w:rPr>
          <w:rtl w:val="true"/>
        </w:rPr>
        <w:t xml:space="preserve">) </w:t>
      </w:r>
      <w:r>
        <w:rPr>
          <w:rtl w:val="true"/>
        </w:rPr>
        <w:t xml:space="preserve">לסייע להם לפגוע באליהו חיים דהן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בכך שיפעל לגנוב רכב שישמש את האחרים לביצוע העבירה ולמניעת גילויים</w:t>
      </w:r>
      <w:r>
        <w:rPr>
          <w:rtl w:val="true"/>
        </w:rPr>
        <w:t xml:space="preserve">, </w:t>
      </w:r>
      <w:r>
        <w:rPr>
          <w:rtl w:val="true"/>
        </w:rPr>
        <w:t>וכן יקבע להיפגש עם המנוח במקום ובזמן המתאים</w:t>
      </w:r>
      <w:r>
        <w:rPr>
          <w:rtl w:val="true"/>
        </w:rPr>
        <w:t xml:space="preserve">. </w:t>
      </w:r>
      <w:r>
        <w:rPr>
          <w:rtl w:val="true"/>
        </w:rPr>
        <w:t>המערער הסכים לעשות כן</w:t>
      </w:r>
      <w:r>
        <w:rPr>
          <w:rtl w:val="true"/>
        </w:rPr>
        <w:t xml:space="preserve">, </w:t>
      </w:r>
      <w:r>
        <w:rPr>
          <w:rtl w:val="true"/>
        </w:rPr>
        <w:t>ביודעו כי בכוונת האחרים לגרום למנוח חבלה חמורה באמצעות נשק חם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נגנב לבקשת המערער רכב ממגרש למכירת מכוניות בחיפה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 xml:space="preserve">תמורתו שילם לשני הגנבים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כיומיים לאחר מסירת הרכב</w:t>
      </w:r>
      <w:r>
        <w:rPr>
          <w:rtl w:val="true"/>
        </w:rPr>
        <w:t xml:space="preserve">, </w:t>
      </w:r>
      <w:r>
        <w:rPr>
          <w:rtl w:val="true"/>
        </w:rPr>
        <w:t>הסתבר למערער שלא ניתן להתניעו</w:t>
      </w:r>
      <w:r>
        <w:rPr>
          <w:rtl w:val="true"/>
        </w:rPr>
        <w:t xml:space="preserve">, </w:t>
      </w:r>
      <w:r>
        <w:rPr>
          <w:rtl w:val="true"/>
        </w:rPr>
        <w:t>ולפיכך ביקש וקיבל מאחד הגנבים מצבר חלופי עבורו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שוחח המערער עם המנוח וקבע לפוגשו בלילה שבין ה</w:t>
      </w:r>
      <w:r>
        <w:rPr>
          <w:rtl w:val="true"/>
        </w:rPr>
        <w:t>-</w:t>
      </w:r>
      <w:r>
        <w:rPr/>
        <w:t>2.6.2018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3.6.2018</w:t>
      </w:r>
      <w:r>
        <w:rPr>
          <w:rtl w:val="true"/>
        </w:rPr>
        <w:t xml:space="preserve">, </w:t>
      </w:r>
      <w:r>
        <w:rPr>
          <w:rtl w:val="true"/>
        </w:rPr>
        <w:t xml:space="preserve">באזור התעשייה הדרומי של עכו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המפגש</w:t>
      </w:r>
      <w:r>
        <w:rPr>
          <w:rtl w:val="true"/>
        </w:rPr>
        <w:t xml:space="preserve">). </w:t>
      </w:r>
      <w:r>
        <w:rPr>
          <w:rtl w:val="true"/>
        </w:rPr>
        <w:t xml:space="preserve">בשלב זה אף נודע למערער כי מתן יטח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יטח</w:t>
      </w:r>
      <w:r>
        <w:rPr>
          <w:rtl w:val="true"/>
        </w:rPr>
        <w:t xml:space="preserve">), </w:t>
      </w:r>
      <w:r>
        <w:rPr>
          <w:rtl w:val="true"/>
        </w:rPr>
        <w:t>יסיע את המנוח לפגישה שנקבעה להם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בליל ה</w:t>
      </w:r>
      <w:r>
        <w:rPr>
          <w:rtl w:val="true"/>
        </w:rPr>
        <w:t>-</w:t>
      </w:r>
      <w:r>
        <w:rPr/>
        <w:t>3.6.2018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1:23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 האחרים ברכב למקום המפגש</w:t>
      </w:r>
      <w:r>
        <w:rPr>
          <w:rtl w:val="true"/>
        </w:rPr>
        <w:t xml:space="preserve">, </w:t>
      </w:r>
      <w:r>
        <w:rPr>
          <w:rtl w:val="true"/>
        </w:rPr>
        <w:t>ושניים מהם התחבאו מאחורי משאית חונה</w:t>
      </w:r>
      <w:r>
        <w:rPr>
          <w:rtl w:val="true"/>
        </w:rPr>
        <w:t xml:space="preserve">, </w:t>
      </w:r>
      <w:r>
        <w:rPr>
          <w:rtl w:val="true"/>
        </w:rPr>
        <w:t>כשברשותם שני כלי נשק</w:t>
      </w:r>
      <w:r>
        <w:rPr>
          <w:rtl w:val="true"/>
        </w:rPr>
        <w:t xml:space="preserve">. </w:t>
      </w:r>
      <w:r>
        <w:rPr>
          <w:rtl w:val="true"/>
        </w:rPr>
        <w:t>באותו זמן</w:t>
      </w:r>
      <w:r>
        <w:rPr>
          <w:rtl w:val="true"/>
        </w:rPr>
        <w:t xml:space="preserve">, </w:t>
      </w:r>
      <w:r>
        <w:rPr>
          <w:rtl w:val="true"/>
        </w:rPr>
        <w:t>מי מהאחרים חברו למנוח וליטח בצומת עין המפרץ</w:t>
      </w:r>
      <w:r>
        <w:rPr>
          <w:rtl w:val="true"/>
        </w:rPr>
        <w:t xml:space="preserve">, </w:t>
      </w:r>
      <w:r>
        <w:rPr>
          <w:rtl w:val="true"/>
        </w:rPr>
        <w:t xml:space="preserve">והובילו אותם למקום המפגש </w:t>
      </w:r>
      <w:r>
        <w:rPr>
          <w:rtl w:val="true"/>
        </w:rPr>
        <w:t>–</w:t>
      </w:r>
      <w:r>
        <w:rPr>
          <w:rtl w:val="true"/>
        </w:rPr>
        <w:t xml:space="preserve"> אליו הגיעו שני כלי הרכב בשעה </w:t>
      </w:r>
      <w:r>
        <w:rPr/>
        <w:t>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ועצרו זה אחר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בשלב זה יצא המנוח מהרכב בו נסע </w:t>
      </w:r>
      <w:r>
        <w:rPr>
          <w:rtl w:val="true"/>
        </w:rPr>
        <w:t>–</w:t>
      </w:r>
      <w:r>
        <w:rPr>
          <w:rtl w:val="true"/>
        </w:rPr>
        <w:t xml:space="preserve"> יטח נותר במושב הנהג </w:t>
      </w:r>
      <w:r>
        <w:rPr>
          <w:rtl w:val="true"/>
        </w:rPr>
        <w:t>–</w:t>
      </w:r>
      <w:r>
        <w:rPr>
          <w:rtl w:val="true"/>
        </w:rPr>
        <w:t xml:space="preserve"> וניגש לרכב בו היו האחרים</w:t>
      </w:r>
      <w:r>
        <w:rPr>
          <w:rtl w:val="true"/>
        </w:rPr>
        <w:t xml:space="preserve">. </w:t>
      </w:r>
      <w:r>
        <w:rPr>
          <w:rtl w:val="true"/>
        </w:rPr>
        <w:t>אז הגיחו שניים מהם שהתחבאו</w:t>
      </w:r>
      <w:r>
        <w:rPr>
          <w:rtl w:val="true"/>
        </w:rPr>
        <w:t xml:space="preserve">, </w:t>
      </w:r>
      <w:r>
        <w:rPr>
          <w:rtl w:val="true"/>
        </w:rPr>
        <w:t>וירו בו וביטח בכלי הנשק בכוונה להמיתם</w:t>
      </w:r>
      <w:r>
        <w:rPr>
          <w:rtl w:val="true"/>
        </w:rPr>
        <w:t xml:space="preserve">, </w:t>
      </w:r>
      <w:r>
        <w:rPr>
          <w:rtl w:val="true"/>
        </w:rPr>
        <w:t>כפי שתכננו מראש לעשות</w:t>
      </w:r>
      <w:r>
        <w:rPr>
          <w:rtl w:val="true"/>
        </w:rPr>
        <w:t xml:space="preserve">. </w:t>
      </w:r>
      <w:r>
        <w:rPr>
          <w:rtl w:val="true"/>
        </w:rPr>
        <w:t xml:space="preserve">המנוח נפגע משבעה קליעים </w:t>
      </w:r>
      <w:r>
        <w:rPr>
          <w:rtl w:val="true"/>
        </w:rPr>
        <w:t>–</w:t>
      </w:r>
      <w:r>
        <w:rPr>
          <w:rtl w:val="true"/>
        </w:rPr>
        <w:t xml:space="preserve"> בראשו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 xml:space="preserve">ובחזהו </w:t>
      </w:r>
      <w:r>
        <w:rPr>
          <w:rtl w:val="true"/>
        </w:rPr>
        <w:t>–</w:t>
      </w:r>
      <w:r>
        <w:rPr>
          <w:rtl w:val="true"/>
        </w:rPr>
        <w:t xml:space="preserve"> ונהרג מהירי</w:t>
      </w:r>
      <w:r>
        <w:rPr>
          <w:rtl w:val="true"/>
        </w:rPr>
        <w:t xml:space="preserve">; </w:t>
      </w:r>
      <w:r>
        <w:rPr>
          <w:rtl w:val="true"/>
        </w:rPr>
        <w:t>יטח נפצע קשה בפניו ובצווארו</w:t>
      </w:r>
      <w:r>
        <w:rPr>
          <w:rtl w:val="true"/>
        </w:rPr>
        <w:t xml:space="preserve">, </w:t>
      </w:r>
      <w:r>
        <w:rPr>
          <w:rtl w:val="true"/>
        </w:rPr>
        <w:t>ונגרמו לו קרעים בלשון ושברים בשיניים</w:t>
      </w:r>
      <w:r>
        <w:rPr>
          <w:rtl w:val="true"/>
        </w:rPr>
        <w:t xml:space="preserve">. </w:t>
      </w:r>
      <w:r>
        <w:rPr>
          <w:rtl w:val="true"/>
        </w:rPr>
        <w:t>כל האחרים נמלטו מהמקום ברכב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הודאת המערער הייתה במסגרת הסדר טיעון אשר כלל הסכמות חלקיות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לפיהן המשיבה תעתור לקביעת מתחם עונש הולם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בעוד הוא יהיה חופשי בטיעוניו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מתחם העונש קבע בית המשפט המחוזי כי ערכי קדושת החיים</w:t>
      </w:r>
      <w:r>
        <w:rPr>
          <w:rtl w:val="true"/>
        </w:rPr>
        <w:t xml:space="preserve">, </w:t>
      </w:r>
      <w:r>
        <w:rPr>
          <w:rtl w:val="true"/>
        </w:rPr>
        <w:t xml:space="preserve">שלמות הגוף וההגנה על הקניין הפרטי נפגעו בעוצמה </w:t>
      </w:r>
      <w:r>
        <w:rPr>
          <w:rtl w:val="true"/>
        </w:rPr>
        <w:t>"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", </w:t>
      </w:r>
      <w:r>
        <w:rPr>
          <w:rtl w:val="true"/>
        </w:rPr>
        <w:t>כלשון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והפנה לתוצאותיה הישירות והעקיפות של התוכנית לפגוע במנוח</w:t>
      </w:r>
      <w:r>
        <w:rPr>
          <w:rtl w:val="true"/>
        </w:rPr>
        <w:t xml:space="preserve">, </w:t>
      </w:r>
      <w:r>
        <w:rPr>
          <w:rtl w:val="true"/>
        </w:rPr>
        <w:t>בפרט השלכות מותו המפתיע על משפחתו</w:t>
      </w:r>
      <w:r>
        <w:rPr>
          <w:rtl w:val="true"/>
        </w:rPr>
        <w:t xml:space="preserve">, </w:t>
      </w:r>
      <w:r>
        <w:rPr>
          <w:rtl w:val="true"/>
        </w:rPr>
        <w:t>כפי שעולה מתסקיר נפגעי העבירה</w:t>
      </w:r>
      <w:r>
        <w:rPr>
          <w:rtl w:val="true"/>
        </w:rPr>
        <w:t xml:space="preserve">; </w:t>
      </w:r>
      <w:r>
        <w:rPr>
          <w:rtl w:val="true"/>
        </w:rPr>
        <w:t>וכן לתכנון והתחכום של מעשי המערער</w:t>
      </w:r>
      <w:r>
        <w:rPr>
          <w:rtl w:val="true"/>
        </w:rPr>
        <w:t xml:space="preserve">, </w:t>
      </w:r>
      <w:r>
        <w:rPr>
          <w:rtl w:val="true"/>
        </w:rPr>
        <w:t>שכללו מספר פעולות במשך חמישה ימים לפחות</w:t>
      </w:r>
      <w:r>
        <w:rPr>
          <w:rtl w:val="true"/>
        </w:rPr>
        <w:t xml:space="preserve">, </w:t>
      </w:r>
      <w:r>
        <w:rPr>
          <w:rtl w:val="true"/>
        </w:rPr>
        <w:t>ובכך היוו סיוע ממשי בקידום התוכנית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נדחתה טענת המערער לנסיבה מקלה בשל השוני בין מקום המפגש לבין המקום בו חברו מי מהאחרים למנוח וליטח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ניתן משקל לקולה לכך שלא היה נוכח פיזית במקום המפגש ולא ידע על הכוונה לגרום למותו של המנוח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צוינו הקשיים בהערכת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נוכח ייחודיותה של עבירת הסיוע להריגה ומיעוט הפסיקה בעניינה</w:t>
      </w:r>
      <w:r>
        <w:rPr>
          <w:rtl w:val="true"/>
        </w:rPr>
        <w:t xml:space="preserve">, </w:t>
      </w:r>
      <w:r>
        <w:rPr>
          <w:rtl w:val="true"/>
        </w:rPr>
        <w:t>שמרביתה אף ניתנה במסגרת הסדרי טיעון</w:t>
      </w:r>
      <w:r>
        <w:rPr>
          <w:rtl w:val="true"/>
        </w:rPr>
        <w:t xml:space="preserve">, </w:t>
      </w:r>
      <w:r>
        <w:rPr>
          <w:rtl w:val="true"/>
        </w:rPr>
        <w:t>אשר התקבלו בשל אילוצים ראייתיים ואחרים ומכאן שאינם משקפים בהכרח את רף הענישה הראוי</w:t>
      </w:r>
      <w:r>
        <w:rPr>
          <w:rtl w:val="true"/>
        </w:rPr>
        <w:t xml:space="preserve">. </w:t>
      </w:r>
      <w:r>
        <w:rPr>
          <w:rtl w:val="true"/>
        </w:rPr>
        <w:t xml:space="preserve">לפיכך נקבע במקרה דנן מתחם עונש הולם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ציין כשיקול לחומרה את עובדת קיומן של שתי הרשעות קודמות לחובת המערער </w:t>
      </w:r>
      <w:r>
        <w:rPr>
          <w:rtl w:val="true"/>
        </w:rPr>
        <w:t>–</w:t>
      </w:r>
      <w:r>
        <w:rPr>
          <w:rtl w:val="true"/>
        </w:rPr>
        <w:t xml:space="preserve"> ובפרט זו האחרונה</w:t>
      </w:r>
      <w:r>
        <w:rPr>
          <w:rtl w:val="true"/>
        </w:rPr>
        <w:t xml:space="preserve">, </w:t>
      </w:r>
      <w:r>
        <w:rPr>
          <w:rtl w:val="true"/>
        </w:rPr>
        <w:t>משנמצא כי לא ניתן להתעלם מדמיונה למקרה הנוכחי</w:t>
      </w:r>
      <w:r>
        <w:rPr>
          <w:rtl w:val="true"/>
        </w:rPr>
        <w:t xml:space="preserve">: </w:t>
      </w:r>
      <w:r>
        <w:rPr>
          <w:rtl w:val="true"/>
        </w:rPr>
        <w:t>גם אז טמן המערער מלכודת לקורבן על</w:t>
      </w:r>
      <w:r>
        <w:rPr>
          <w:rtl w:val="true"/>
        </w:rPr>
        <w:t>-</w:t>
      </w:r>
      <w:r>
        <w:rPr>
          <w:rtl w:val="true"/>
        </w:rPr>
        <w:t>ידי הזמנתו לפגישה פיקטיבית</w:t>
      </w:r>
      <w:r>
        <w:rPr>
          <w:rtl w:val="true"/>
        </w:rPr>
        <w:t xml:space="preserve">, </w:t>
      </w:r>
      <w:r>
        <w:rPr>
          <w:rtl w:val="true"/>
        </w:rPr>
        <w:t>במהלכה אף ביצע ירי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לאחר הפעלת מאסר מותנה</w:t>
      </w:r>
      <w:r>
        <w:rPr>
          <w:rtl w:val="true"/>
        </w:rPr>
        <w:t xml:space="preserve">), </w:t>
      </w:r>
      <w:r>
        <w:rPr>
          <w:rtl w:val="true"/>
        </w:rPr>
        <w:t>שהוחמרו בערעור 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479/09</w:t>
        </w:r>
      </w:hyperlink>
      <w:r>
        <w:rPr>
          <w:rtl w:val="true"/>
        </w:rPr>
        <w:t xml:space="preserve"> (</w:t>
      </w:r>
      <w:r>
        <w:rPr/>
        <w:t>1.12.2009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ועדיין המערער לא נרתע מלחזור על מעשיו במקרה שלפנינו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כנסיבות מקלות צוינו גילו הצעיר </w:t>
      </w:r>
      <w:r>
        <w:rPr>
          <w:rtl w:val="true"/>
        </w:rPr>
        <w:t>(</w:t>
      </w:r>
      <w:r>
        <w:rPr/>
        <w:t>33</w:t>
      </w:r>
      <w:r>
        <w:rPr>
          <w:rtl w:val="true"/>
        </w:rPr>
        <w:t xml:space="preserve">) </w:t>
      </w:r>
      <w:r>
        <w:rPr>
          <w:rtl w:val="true"/>
        </w:rPr>
        <w:t>והיותו נשוי ואב לילדה קטנה</w:t>
      </w:r>
      <w:r>
        <w:rPr>
          <w:rtl w:val="true"/>
        </w:rPr>
        <w:t xml:space="preserve">; </w:t>
      </w:r>
      <w:r>
        <w:rPr>
          <w:rtl w:val="true"/>
        </w:rPr>
        <w:t>הודאתו והבעת החרטה שהביאו לחיסכון ניכר בזמן שיפוטי</w:t>
      </w:r>
      <w:r>
        <w:rPr>
          <w:rtl w:val="true"/>
        </w:rPr>
        <w:t xml:space="preserve">; </w:t>
      </w:r>
      <w:r>
        <w:rPr>
          <w:rtl w:val="true"/>
        </w:rPr>
        <w:t>העדויות החיוביות ביחס לאופיו</w:t>
      </w:r>
      <w:r>
        <w:rPr>
          <w:rtl w:val="true"/>
        </w:rPr>
        <w:t xml:space="preserve">, </w:t>
      </w:r>
      <w:r>
        <w:rPr>
          <w:rtl w:val="true"/>
        </w:rPr>
        <w:t>הליכותיו</w:t>
      </w:r>
      <w:r>
        <w:rPr>
          <w:rtl w:val="true"/>
        </w:rPr>
        <w:t xml:space="preserve">, </w:t>
      </w:r>
      <w:r>
        <w:rPr>
          <w:rtl w:val="true"/>
        </w:rPr>
        <w:t>ותרומת משפחתו לעיר עכו ולתושביה</w:t>
      </w:r>
      <w:r>
        <w:rPr>
          <w:rtl w:val="true"/>
        </w:rPr>
        <w:t xml:space="preserve">; </w:t>
      </w:r>
      <w:r>
        <w:rPr>
          <w:rtl w:val="true"/>
        </w:rPr>
        <w:t xml:space="preserve">וכן להיותו עצור מאחורי סורג ובריח זה למעלה משנתיים </w:t>
      </w:r>
      <w:r>
        <w:rPr>
          <w:rtl w:val="true"/>
        </w:rPr>
        <w:t>–</w:t>
      </w:r>
      <w:r>
        <w:rPr>
          <w:rtl w:val="true"/>
        </w:rPr>
        <w:t xml:space="preserve"> תוך מתן משקל מסוים לעינוי הדין שנגרם לו בשל התנהלות רשויות התביעה</w:t>
      </w:r>
      <w:r>
        <w:rPr>
          <w:rtl w:val="true"/>
        </w:rPr>
        <w:t xml:space="preserve">, </w:t>
      </w:r>
      <w:r>
        <w:rPr>
          <w:rtl w:val="true"/>
        </w:rPr>
        <w:t>כמתואר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גזר כאמור</w:t>
      </w:r>
      <w:r>
        <w:rPr>
          <w:rtl w:val="true"/>
        </w:rPr>
        <w:t xml:space="preserve">, </w:t>
      </w:r>
      <w:r>
        <w:rPr>
          <w:rtl w:val="true"/>
        </w:rPr>
        <w:t>בסופו של דיון</w:t>
      </w:r>
      <w:r>
        <w:rPr>
          <w:rtl w:val="true"/>
        </w:rPr>
        <w:t xml:space="preserve">, </w:t>
      </w:r>
      <w:r>
        <w:rPr>
          <w:rtl w:val="true"/>
        </w:rPr>
        <w:t>את עונשו של המערער לשבע שנים וחצי מאסר בפועל</w:t>
      </w:r>
      <w:r>
        <w:rPr>
          <w:rtl w:val="true"/>
        </w:rPr>
        <w:t xml:space="preserve">, </w:t>
      </w:r>
      <w:r>
        <w:rPr>
          <w:rtl w:val="true"/>
        </w:rPr>
        <w:t>לצד לעונשים נלווים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בערעורו על חומרת עונש המאסר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שב וטוען כי מעשיו היוו סיוע </w:t>
      </w:r>
      <w:r>
        <w:rPr>
          <w:rtl w:val="true"/>
        </w:rPr>
        <w:t>"</w:t>
      </w:r>
      <w:r>
        <w:rPr>
          <w:rtl w:val="true"/>
        </w:rPr>
        <w:t>ברף הנמוך ביותר</w:t>
      </w:r>
      <w:r>
        <w:rPr>
          <w:rtl w:val="true"/>
        </w:rPr>
        <w:t xml:space="preserve">", </w:t>
      </w:r>
      <w:r>
        <w:rPr>
          <w:rtl w:val="true"/>
        </w:rPr>
        <w:t xml:space="preserve">שתרומתו לביצוע התוכנית העבריינית הייתה </w:t>
      </w:r>
      <w:r>
        <w:rPr>
          <w:rtl w:val="true"/>
        </w:rPr>
        <w:t>"</w:t>
      </w:r>
      <w:r>
        <w:rPr>
          <w:rtl w:val="true"/>
        </w:rPr>
        <w:t>שולית ומזערית ביותר</w:t>
      </w:r>
      <w:r>
        <w:rPr>
          <w:rtl w:val="true"/>
        </w:rPr>
        <w:t xml:space="preserve">", </w:t>
      </w:r>
      <w:r>
        <w:rPr>
          <w:rtl w:val="true"/>
        </w:rPr>
        <w:t xml:space="preserve">וכי למעשה היה </w:t>
      </w:r>
      <w:r>
        <w:rPr>
          <w:rtl w:val="true"/>
        </w:rPr>
        <w:t>"</w:t>
      </w:r>
      <w:r>
        <w:rPr>
          <w:rtl w:val="true"/>
        </w:rPr>
        <w:t>כלי בידי האחרים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וזאת לאור סיום תפקידו </w:t>
      </w:r>
      <w:r>
        <w:rPr>
          <w:rtl w:val="true"/>
        </w:rPr>
        <w:t>"</w:t>
      </w:r>
      <w:r>
        <w:rPr>
          <w:rtl w:val="true"/>
        </w:rPr>
        <w:t>זמן מה</w:t>
      </w:r>
      <w:r>
        <w:rPr>
          <w:rtl w:val="true"/>
        </w:rPr>
        <w:t xml:space="preserve">" </w:t>
      </w:r>
      <w:r>
        <w:rPr>
          <w:rtl w:val="true"/>
        </w:rPr>
        <w:t>לפני אירוע הירי</w:t>
      </w:r>
      <w:r>
        <w:rPr>
          <w:rtl w:val="true"/>
        </w:rPr>
        <w:t xml:space="preserve">; </w:t>
      </w:r>
      <w:r>
        <w:rPr>
          <w:rtl w:val="true"/>
        </w:rPr>
        <w:t>העדר נוכחות פיזית במקום המפגש או מעורבות פעילה מצדו בחלק זה של התוכנית העבריינית</w:t>
      </w:r>
      <w:r>
        <w:rPr>
          <w:rtl w:val="true"/>
        </w:rPr>
        <w:t xml:space="preserve">; </w:t>
      </w:r>
      <w:r>
        <w:rPr>
          <w:rtl w:val="true"/>
        </w:rPr>
        <w:t>וחוסר ההשפעה שלו על מימושה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 xml:space="preserve">הדין התקבלה טענתו כי מקום המפגש שנקבע בשיחתו עם המנוח השתנה ללא ידיעתו ושלא בשליטתו </w:t>
      </w:r>
      <w:r>
        <w:rPr>
          <w:rtl w:val="true"/>
        </w:rPr>
        <w:t>–</w:t>
      </w:r>
      <w:r>
        <w:rPr>
          <w:rtl w:val="true"/>
        </w:rPr>
        <w:t xml:space="preserve"> באופן המלמד כי גורם נוסף עמד בקשר המנוח</w:t>
      </w:r>
      <w:r>
        <w:rPr>
          <w:rtl w:val="true"/>
        </w:rPr>
        <w:t xml:space="preserve">, </w:t>
      </w:r>
      <w:r>
        <w:rPr>
          <w:rtl w:val="true"/>
        </w:rPr>
        <w:t>וכי חלקו בהיבט זה התמצה בקביעת מקום מפגש ראשוני שמלכתחילה לא תוכנן להיות מקום ביצוע העבירה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אין חשיבות לכך שמקום המפגש שסוכם ומקום החבירה בפועל אינם מרוחקים זה מזה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 xml:space="preserve">נטען גם כי המערער מצוי </w:t>
      </w:r>
      <w:r>
        <w:rPr>
          <w:rtl w:val="true"/>
        </w:rPr>
        <w:t>"</w:t>
      </w:r>
      <w:r>
        <w:rPr>
          <w:rtl w:val="true"/>
        </w:rPr>
        <w:t>במעגל השלישי</w:t>
      </w:r>
      <w:r>
        <w:rPr>
          <w:rtl w:val="true"/>
        </w:rPr>
        <w:t xml:space="preserve">" </w:t>
      </w:r>
      <w:r>
        <w:rPr>
          <w:rtl w:val="true"/>
        </w:rPr>
        <w:t xml:space="preserve">ביחס לגניבת הרכב </w:t>
      </w:r>
      <w:r>
        <w:rPr>
          <w:rtl w:val="true"/>
        </w:rPr>
        <w:t>–</w:t>
      </w:r>
      <w:r>
        <w:rPr>
          <w:rtl w:val="true"/>
        </w:rPr>
        <w:t xml:space="preserve"> שלא נגנב על</w:t>
      </w:r>
      <w:r>
        <w:rPr>
          <w:rtl w:val="true"/>
        </w:rPr>
        <w:t>-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 xml:space="preserve">ולא נטען שניטל מידיו או נמסר באמצעותו לאחרים </w:t>
      </w:r>
      <w:r>
        <w:rPr>
          <w:rtl w:val="true"/>
        </w:rPr>
        <w:t>–</w:t>
      </w:r>
      <w:r>
        <w:rPr>
          <w:rtl w:val="true"/>
        </w:rPr>
        <w:t xml:space="preserve"> כך שכל אחד היה יכול לבצע את חלקו בהיבט זה במקומו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 xml:space="preserve">האמור לעיל ממחיש את </w:t>
      </w:r>
      <w:r>
        <w:rPr>
          <w:rtl w:val="true"/>
        </w:rPr>
        <w:t>"</w:t>
      </w:r>
      <w:r>
        <w:rPr>
          <w:rtl w:val="true"/>
        </w:rPr>
        <w:t>ריחוקו הנפשי</w:t>
      </w:r>
      <w:r>
        <w:rPr>
          <w:rtl w:val="true"/>
        </w:rPr>
        <w:t xml:space="preserve">" </w:t>
      </w:r>
      <w:r>
        <w:rPr>
          <w:rtl w:val="true"/>
        </w:rPr>
        <w:t>מהתוכנית שנרקמה ואת אשמו הלא משמעותי</w:t>
      </w:r>
      <w:r>
        <w:rPr>
          <w:rtl w:val="true"/>
        </w:rPr>
        <w:t xml:space="preserve">, </w:t>
      </w:r>
      <w:r>
        <w:rPr>
          <w:rtl w:val="true"/>
        </w:rPr>
        <w:t>ומתחם העונש שנקבע בגזר</w:t>
      </w:r>
      <w:r>
        <w:rPr>
          <w:rtl w:val="true"/>
        </w:rPr>
        <w:t>-</w:t>
      </w:r>
      <w:r>
        <w:rPr>
          <w:rtl w:val="true"/>
        </w:rPr>
        <w:t xml:space="preserve">הדין חורג לחומרה מאחר שלא ניתן לכך די משקל </w:t>
      </w:r>
      <w:r>
        <w:rPr>
          <w:rtl w:val="true"/>
        </w:rPr>
        <w:t>–</w:t>
      </w:r>
      <w:r>
        <w:rPr>
          <w:rtl w:val="true"/>
        </w:rPr>
        <w:t xml:space="preserve"> בין כנסיבות מקלות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ובין כבסיס לאבחון עניינו ממקרים אחרים שנידונו בפסיקה שנסקרה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טענתו העיקרית השנייה של המערער היא כי חרף הביקורת על התנהלות רשויות התביעה</w:t>
      </w:r>
      <w:r>
        <w:rPr>
          <w:rtl w:val="true"/>
        </w:rPr>
        <w:t xml:space="preserve">, </w:t>
      </w:r>
      <w:r>
        <w:rPr>
          <w:rtl w:val="true"/>
        </w:rPr>
        <w:t>לא ניתן בגזר</w:t>
      </w:r>
      <w:r>
        <w:rPr>
          <w:rtl w:val="true"/>
        </w:rPr>
        <w:t>-</w:t>
      </w:r>
      <w:r>
        <w:rPr>
          <w:rtl w:val="true"/>
        </w:rPr>
        <w:t>הדין משקל מספיק לעינוי הדין שנגרם לו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וטוען כי התביעה התנהלה כך באופן </w:t>
      </w:r>
      <w:r>
        <w:rPr>
          <w:rtl w:val="true"/>
        </w:rPr>
        <w:t>"</w:t>
      </w:r>
      <w:r>
        <w:rPr>
          <w:rtl w:val="true"/>
        </w:rPr>
        <w:t>מכוון ומתוכנן</w:t>
      </w:r>
      <w:r>
        <w:rPr>
          <w:rtl w:val="true"/>
        </w:rPr>
        <w:t xml:space="preserve">", </w:t>
      </w:r>
      <w:r>
        <w:rPr>
          <w:rtl w:val="true"/>
        </w:rPr>
        <w:t xml:space="preserve">מאחר שידעה שלא תוכל להרשיעו בעבירות שיוחסו לו בכתב האישום המקורי </w:t>
      </w:r>
      <w:r>
        <w:rPr>
          <w:rtl w:val="true"/>
        </w:rPr>
        <w:t>(</w:t>
      </w:r>
      <w:r>
        <w:rPr>
          <w:rtl w:val="true"/>
        </w:rPr>
        <w:t>בין היתר עבירת סיוע לרצח</w:t>
      </w:r>
      <w:r>
        <w:rPr>
          <w:rtl w:val="true"/>
        </w:rPr>
        <w:t xml:space="preserve">); </w:t>
      </w:r>
      <w:r>
        <w:rPr>
          <w:rtl w:val="true"/>
        </w:rPr>
        <w:t xml:space="preserve">כי הדבר העמיד אותו בסכנת מאסר עולם </w:t>
      </w:r>
      <w:r>
        <w:rPr>
          <w:rtl w:val="true"/>
        </w:rPr>
        <w:t>(</w:t>
      </w:r>
      <w:r>
        <w:rPr>
          <w:rtl w:val="true"/>
        </w:rPr>
        <w:t>משהוגש נגדו כתב אישום מלכתחילה</w:t>
      </w:r>
      <w:r>
        <w:rPr>
          <w:rtl w:val="true"/>
        </w:rPr>
        <w:t xml:space="preserve">, </w:t>
      </w:r>
      <w:r>
        <w:rPr>
          <w:rtl w:val="true"/>
        </w:rPr>
        <w:t>אשר ייחס לו עבירת סיוע לרצח</w:t>
      </w:r>
      <w:r>
        <w:rPr>
          <w:rtl w:val="true"/>
        </w:rPr>
        <w:t xml:space="preserve">) </w:t>
      </w:r>
      <w:r>
        <w:rPr>
          <w:rtl w:val="true"/>
        </w:rPr>
        <w:t xml:space="preserve">וגרם למעצרו בתנאים קשים במשך יותר משנתיים </w:t>
      </w:r>
      <w:r>
        <w:rPr>
          <w:rtl w:val="true"/>
        </w:rPr>
        <w:t>–</w:t>
      </w:r>
      <w:r>
        <w:rPr>
          <w:rtl w:val="true"/>
        </w:rPr>
        <w:t xml:space="preserve"> שכן חומרת האישומים המקוריים לא אפשרה את שחרורו לחלופת מעצר </w:t>
      </w:r>
      <w:r>
        <w:rPr>
          <w:rtl w:val="true"/>
        </w:rPr>
        <w:t>–</w:t>
      </w:r>
      <w:r>
        <w:rPr>
          <w:rtl w:val="true"/>
        </w:rPr>
        <w:t xml:space="preserve"> במהלכן נסגרו עסקיו והוא נקלע לחובות וקשיים כלכליים</w:t>
      </w:r>
      <w:r>
        <w:rPr>
          <w:rtl w:val="true"/>
        </w:rPr>
        <w:t xml:space="preserve">, </w:t>
      </w:r>
      <w:r>
        <w:rPr>
          <w:rtl w:val="true"/>
        </w:rPr>
        <w:t>בעוד ששמו התפרסם ברבים כמי שסייע לרצח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את ידיה על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וטוענת כי מעשי המערער היוו סיוע ברף הגבוה וחומרתם מחייבת ענישה בהתאם</w:t>
      </w:r>
      <w:r>
        <w:rPr>
          <w:rtl w:val="true"/>
        </w:rPr>
        <w:t xml:space="preserve">; </w:t>
      </w:r>
      <w:r>
        <w:rPr>
          <w:rtl w:val="true"/>
        </w:rPr>
        <w:t>וכי נסיבות הרשעתו הקודמת מלמדות על מסוכנותו ועל הצורך להרחיקו מהחברה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להתנהלות רשויות התביעה</w:t>
      </w:r>
      <w:r>
        <w:rPr>
          <w:rtl w:val="true"/>
        </w:rPr>
        <w:t xml:space="preserve">, </w:t>
      </w:r>
      <w:r>
        <w:rPr>
          <w:rtl w:val="true"/>
        </w:rPr>
        <w:t>נטען כי נוכח הודאתו והרשעתו של המערער בכך שפיתה את המנוח להגיע למקום בו ארבו לו אנשים חמושים</w:t>
      </w:r>
      <w:r>
        <w:rPr>
          <w:rtl w:val="true"/>
        </w:rPr>
        <w:t xml:space="preserve">, </w:t>
      </w:r>
      <w:r>
        <w:rPr>
          <w:rtl w:val="true"/>
        </w:rPr>
        <w:t>סביר היה לייחס לו בתחילה עבירות חמורות יותר</w:t>
      </w:r>
      <w:r>
        <w:rPr>
          <w:rtl w:val="true"/>
        </w:rPr>
        <w:t xml:space="preserve">; </w:t>
      </w:r>
      <w:r>
        <w:rPr>
          <w:rtl w:val="true"/>
        </w:rPr>
        <w:t>וכי אף שאין חולק על קיומם של כשלים ראייתיים</w:t>
      </w:r>
      <w:r>
        <w:rPr>
          <w:rtl w:val="true"/>
        </w:rPr>
        <w:t xml:space="preserve">, </w:t>
      </w:r>
      <w:r>
        <w:rPr>
          <w:rtl w:val="true"/>
        </w:rPr>
        <w:t>הרי שלשיטת המשיבה ניתן להם ביטוי בהסדר הטיעון</w:t>
      </w:r>
      <w:r>
        <w:rPr>
          <w:rtl w:val="true"/>
        </w:rPr>
        <w:t xml:space="preserve">, </w:t>
      </w:r>
      <w:r>
        <w:rPr>
          <w:rtl w:val="true"/>
        </w:rPr>
        <w:t>ואין מקום להקל בעונשו מעבר לכך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כמקובל</w:t>
      </w:r>
      <w:r>
        <w:rPr>
          <w:rtl w:val="true"/>
        </w:rPr>
        <w:t xml:space="preserve">, </w:t>
      </w:r>
      <w:r>
        <w:rPr>
          <w:rtl w:val="true"/>
        </w:rPr>
        <w:t>נקודת המוצא בענייננו היא שערכאת הערעור לא תתערב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של סטייה קיצונית ממדיניות הענישה הנוהגת או טעות מהותית בגזר</w:t>
      </w:r>
      <w:r>
        <w:rPr>
          <w:rtl w:val="true"/>
        </w:rPr>
        <w:t>-</w:t>
      </w:r>
      <w:r>
        <w:rPr>
          <w:rtl w:val="true"/>
        </w:rPr>
        <w:t xml:space="preserve">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25.3.2021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בארין</w:t>
      </w:r>
      <w:r>
        <w:rPr>
          <w:rtl w:val="true"/>
        </w:rPr>
        <w:t xml:space="preserve">)).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רק בהתקיים נסיבות מיוחדות תתערב ערכאת הערעור בעונש שנגזר במסגרת הסדר טיעון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4.12.2014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 להלן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עניינו של המערער נמנה על המקרים בהם נדרש או נכון להתערב בעונש </w:t>
      </w:r>
      <w:r>
        <w:rPr>
          <w:rtl w:val="true"/>
        </w:rPr>
        <w:t>–</w:t>
      </w:r>
      <w:r>
        <w:rPr>
          <w:rtl w:val="true"/>
        </w:rPr>
        <w:t xml:space="preserve"> ודאי שלא לקולה </w:t>
      </w:r>
      <w:r>
        <w:rPr>
          <w:rtl w:val="true"/>
        </w:rPr>
        <w:t>–</w:t>
      </w:r>
      <w:r>
        <w:rPr>
          <w:rtl w:val="true"/>
        </w:rPr>
        <w:t xml:space="preserve"> בפרט כזה שנגזר מתחת לגבול התחתון של המתחם לו עתרה המשיבה בהסכמתו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דין הערעור להידחות </w:t>
      </w:r>
      <w:r>
        <w:rPr>
          <w:rtl w:val="true"/>
        </w:rPr>
        <w:t>–</w:t>
      </w:r>
      <w:r>
        <w:rPr>
          <w:rtl w:val="true"/>
        </w:rPr>
        <w:t xml:space="preserve"> וכך אציע לחבריי שנעשה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גזר</w:t>
      </w:r>
      <w:r>
        <w:rPr>
          <w:rtl w:val="true"/>
        </w:rPr>
        <w:t>-</w:t>
      </w:r>
      <w:r>
        <w:rPr>
          <w:rtl w:val="true"/>
        </w:rPr>
        <w:t>הדין שוגה בהערכת</w:t>
      </w:r>
      <w:r>
        <w:rPr>
          <w:rtl w:val="true"/>
        </w:rPr>
        <w:t>-</w:t>
      </w:r>
      <w:r>
        <w:rPr>
          <w:rtl w:val="true"/>
        </w:rPr>
        <w:t>יתר של חומרת מעשיו ומידת אשמו</w:t>
      </w:r>
      <w:r>
        <w:rPr>
          <w:rtl w:val="true"/>
        </w:rPr>
        <w:t xml:space="preserve">, </w:t>
      </w:r>
      <w:r>
        <w:rPr>
          <w:rtl w:val="true"/>
        </w:rPr>
        <w:t>מאחר שלא ניתן בו די משקל לשלושה היבטים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ריחוקו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 xml:space="preserve">בזמן </w:t>
      </w:r>
      <w:r>
        <w:rPr>
          <w:rtl w:val="true"/>
        </w:rPr>
        <w:t>(</w:t>
      </w:r>
      <w:r>
        <w:rPr>
          <w:rtl w:val="true"/>
        </w:rPr>
        <w:t>חלקו הסתיים לפני כן</w:t>
      </w:r>
      <w:r>
        <w:rPr>
          <w:rtl w:val="true"/>
        </w:rPr>
        <w:t xml:space="preserve">), </w:t>
      </w:r>
      <w:r>
        <w:rPr>
          <w:rtl w:val="true"/>
        </w:rPr>
        <w:t xml:space="preserve">במקום </w:t>
      </w:r>
      <w:r>
        <w:rPr>
          <w:rtl w:val="true"/>
        </w:rPr>
        <w:t>(</w:t>
      </w:r>
      <w:r>
        <w:rPr>
          <w:rtl w:val="true"/>
        </w:rPr>
        <w:t>נעדר מהזירה בעת שבוצע</w:t>
      </w:r>
      <w:r>
        <w:rPr>
          <w:rtl w:val="true"/>
        </w:rPr>
        <w:t xml:space="preserve">), </w:t>
      </w:r>
      <w:r>
        <w:rPr>
          <w:rtl w:val="true"/>
        </w:rPr>
        <w:t xml:space="preserve">ובמעשים </w:t>
      </w:r>
      <w:r>
        <w:rPr>
          <w:rtl w:val="true"/>
        </w:rPr>
        <w:t>(</w:t>
      </w:r>
      <w:r>
        <w:rPr>
          <w:rtl w:val="true"/>
        </w:rPr>
        <w:t>לא גנב את הרכב או מסר אותו לידי האחרים בעצמו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כמסייע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כלי בידי האחרים</w:t>
      </w:r>
      <w:r>
        <w:rPr>
          <w:rtl w:val="true"/>
        </w:rPr>
        <w:t xml:space="preserve">, </w:t>
      </w:r>
      <w:r>
        <w:rPr>
          <w:rtl w:val="true"/>
        </w:rPr>
        <w:t>חסר השפעה על תוכניתם</w:t>
      </w:r>
      <w:r>
        <w:rPr>
          <w:rtl w:val="true"/>
        </w:rPr>
        <w:t xml:space="preserve">, </w:t>
      </w:r>
      <w:r>
        <w:rPr>
          <w:rtl w:val="true"/>
        </w:rPr>
        <w:t>כזה שאת חלקו בה כל אחד יכול היה למלא במקומו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לכאורה</w:t>
      </w:r>
      <w:r>
        <w:rPr>
          <w:rtl w:val="true"/>
        </w:rPr>
        <w:t xml:space="preserve">, </w:t>
      </w:r>
      <w:r>
        <w:rPr>
          <w:rtl w:val="true"/>
        </w:rPr>
        <w:t xml:space="preserve">ביחס למקום המפגש עם המנוח </w:t>
      </w:r>
      <w:r>
        <w:rPr>
          <w:rtl w:val="true"/>
        </w:rPr>
        <w:t>–</w:t>
      </w:r>
      <w:r>
        <w:rPr>
          <w:rtl w:val="true"/>
        </w:rPr>
        <w:t xml:space="preserve"> ללא ידיעתו או מעורבותו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 כי יש לדחות על הסף את הנטען בהיבט האחרון</w:t>
      </w:r>
      <w:r>
        <w:rPr>
          <w:rtl w:val="true"/>
        </w:rPr>
        <w:t xml:space="preserve">, </w:t>
      </w:r>
      <w:r>
        <w:rPr>
          <w:rtl w:val="true"/>
        </w:rPr>
        <w:t xml:space="preserve">החורג מהותית מעובדות כתב האישום המתוקן </w:t>
      </w:r>
      <w:r>
        <w:rPr>
          <w:rtl w:val="true"/>
        </w:rPr>
        <w:t>–</w:t>
      </w:r>
      <w:r>
        <w:rPr>
          <w:rtl w:val="true"/>
        </w:rPr>
        <w:t xml:space="preserve"> בהן הודה 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פיהן נגזר דינו</w:t>
      </w:r>
      <w:r>
        <w:rPr>
          <w:rtl w:val="true"/>
        </w:rPr>
        <w:t xml:space="preserve">, </w:t>
      </w:r>
      <w:r>
        <w:rPr>
          <w:rtl w:val="true"/>
        </w:rPr>
        <w:t>ומהן אינו יכול לסטות</w:t>
      </w:r>
      <w:r>
        <w:rPr>
          <w:rtl w:val="true"/>
        </w:rPr>
        <w:t xml:space="preserve">. </w:t>
      </w:r>
      <w:r>
        <w:rPr>
          <w:rtl w:val="true"/>
        </w:rPr>
        <w:t>בכתב האישום נכתב בבירור כי היה זה מקום המפגש שקבע המערער עם המנוח</w:t>
      </w:r>
      <w:r>
        <w:rPr>
          <w:rtl w:val="true"/>
        </w:rPr>
        <w:t xml:space="preserve">, </w:t>
      </w:r>
      <w:r>
        <w:rPr>
          <w:rtl w:val="true"/>
        </w:rPr>
        <w:t>ואשר אליו הקדימו האחרים להגיע</w:t>
      </w:r>
      <w:r>
        <w:rPr>
          <w:rtl w:val="true"/>
        </w:rPr>
        <w:t xml:space="preserve">; </w:t>
      </w:r>
      <w:r>
        <w:rPr>
          <w:rtl w:val="true"/>
        </w:rPr>
        <w:t>כי באותו מקום המתינו שניים מהם בהיחבא</w:t>
      </w:r>
      <w:r>
        <w:rPr>
          <w:rtl w:val="true"/>
        </w:rPr>
        <w:t xml:space="preserve">; </w:t>
      </w:r>
      <w:r>
        <w:rPr>
          <w:rtl w:val="true"/>
        </w:rPr>
        <w:t>וכי לשם הובילו מי מהם את יטח והמנוח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החבירה המוקדמת לאחרונים בצומת עין המפרץ משתלבת היטב עם קביעת המפגש באזור תעשייה הדרומי של עכו </w:t>
      </w:r>
      <w:r>
        <w:rPr>
          <w:rtl w:val="true"/>
        </w:rPr>
        <w:t>–</w:t>
      </w:r>
      <w:r>
        <w:rPr>
          <w:rtl w:val="true"/>
        </w:rPr>
        <w:t xml:space="preserve"> ולא במיקום מסוים בתוכו </w:t>
      </w:r>
      <w:r>
        <w:rPr>
          <w:rtl w:val="true"/>
        </w:rPr>
        <w:t>–</w:t>
      </w:r>
      <w:r>
        <w:rPr>
          <w:rtl w:val="true"/>
        </w:rPr>
        <w:t xml:space="preserve"> וכן עם רצונם של האחרים להבטיח את </w:t>
      </w:r>
      <w:r>
        <w:rPr>
          <w:rtl w:val="true"/>
        </w:rPr>
        <w:t>"</w:t>
      </w:r>
      <w:r>
        <w:rPr>
          <w:rtl w:val="true"/>
        </w:rPr>
        <w:t>הצלחת</w:t>
      </w:r>
      <w:r>
        <w:rPr>
          <w:rtl w:val="true"/>
        </w:rPr>
        <w:t xml:space="preserve">" </w:t>
      </w:r>
      <w:r>
        <w:rPr>
          <w:rtl w:val="true"/>
        </w:rPr>
        <w:t>המארב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ניסיון המערער להסיק ממהלך העניינים המתואר לעיל כי יש הבדל בין מה שנקבע מראש למה שארע בפועל </w:t>
      </w:r>
      <w:r>
        <w:rPr>
          <w:rtl w:val="true"/>
        </w:rPr>
        <w:t>–</w:t>
      </w:r>
      <w:r>
        <w:rPr>
          <w:rtl w:val="true"/>
        </w:rPr>
        <w:t xml:space="preserve"> ואף להוסיף ולהציג זאת כשינוי מוסכם של מקום מפגש ראשוני לסופי באמצעות איש</w:t>
      </w:r>
      <w:r>
        <w:rPr>
          <w:rtl w:val="true"/>
        </w:rPr>
        <w:t>-</w:t>
      </w:r>
      <w:r>
        <w:rPr>
          <w:rtl w:val="true"/>
        </w:rPr>
        <w:t xml:space="preserve">קשר נוסף </w:t>
      </w:r>
      <w:r>
        <w:rPr>
          <w:rtl w:val="true"/>
        </w:rPr>
        <w:t>–</w:t>
      </w:r>
      <w:r>
        <w:rPr>
          <w:rtl w:val="true"/>
        </w:rPr>
        <w:t xml:space="preserve"> אינו מתיישב כלל וכלל עם השכל הישר</w:t>
      </w:r>
      <w:r>
        <w:rPr>
          <w:rtl w:val="true"/>
        </w:rPr>
        <w:t xml:space="preserve">, </w:t>
      </w:r>
      <w:r>
        <w:rPr>
          <w:rtl w:val="true"/>
        </w:rPr>
        <w:t>בפרט כשמדובר במקומות במרחק דקות נסיעה בודדות זה מזה</w:t>
      </w:r>
      <w:r>
        <w:rPr>
          <w:rtl w:val="true"/>
        </w:rPr>
        <w:t xml:space="preserve">. </w:t>
      </w:r>
      <w:r>
        <w:rPr>
          <w:rtl w:val="true"/>
        </w:rPr>
        <w:t>ממילא אין לומר שבגזר</w:t>
      </w:r>
      <w:r>
        <w:rPr>
          <w:rtl w:val="true"/>
        </w:rPr>
        <w:t>-</w:t>
      </w:r>
      <w:r>
        <w:rPr>
          <w:rtl w:val="true"/>
        </w:rPr>
        <w:t>הדין התקבלה טענה זו</w:t>
      </w:r>
      <w:r>
        <w:rPr>
          <w:rtl w:val="true"/>
        </w:rPr>
        <w:t xml:space="preserve">, </w:t>
      </w:r>
      <w:r>
        <w:rPr>
          <w:rtl w:val="true"/>
        </w:rPr>
        <w:t>כולה או מקצתה</w:t>
      </w:r>
      <w:r>
        <w:rPr>
          <w:rtl w:val="true"/>
        </w:rPr>
        <w:t xml:space="preserve">, </w:t>
      </w:r>
      <w:r>
        <w:rPr>
          <w:rtl w:val="true"/>
        </w:rPr>
        <w:t xml:space="preserve">כשלמעשה נקבע שאפילו הבדל כאמור </w:t>
      </w:r>
      <w:r>
        <w:rPr>
          <w:rtl w:val="true"/>
        </w:rPr>
        <w:t>"</w:t>
      </w:r>
      <w:r>
        <w:rPr>
          <w:rtl w:val="true"/>
        </w:rPr>
        <w:t>אינו משנה את עובדת הבסיס והיא כי מטרת הנאשם הייתה להביא</w:t>
      </w:r>
      <w:r>
        <w:rPr>
          <w:rtl w:val="true"/>
        </w:rPr>
        <w:t xml:space="preserve"> </w:t>
      </w:r>
      <w:r>
        <w:rPr>
          <w:rtl w:val="true"/>
        </w:rPr>
        <w:t>את המנוח לידי האחרים כדי שיפגעו בו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7-6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אף בנטען ביחס לשני ההיבטים הראשונים </w:t>
      </w:r>
      <w:r>
        <w:rPr>
          <w:rtl w:val="true"/>
        </w:rPr>
        <w:t>–</w:t>
      </w:r>
      <w:r>
        <w:rPr>
          <w:rtl w:val="true"/>
        </w:rPr>
        <w:t xml:space="preserve"> הריחוק מאירוע הירי והמעמד הזוטר כמסייע </w:t>
      </w:r>
      <w:r>
        <w:rPr>
          <w:rtl w:val="true"/>
        </w:rPr>
        <w:t>–</w:t>
      </w:r>
      <w:r>
        <w:rPr>
          <w:rtl w:val="true"/>
        </w:rPr>
        <w:t xml:space="preserve"> אין כדי להועיל למערער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עונשו של מסייע מושפע מהעבירה העיקרית ותוצאותיה</w:t>
      </w:r>
      <w:r>
        <w:rPr>
          <w:rtl w:val="true"/>
        </w:rPr>
        <w:t xml:space="preserve">, </w:t>
      </w:r>
      <w:r>
        <w:rPr>
          <w:rtl w:val="true"/>
        </w:rPr>
        <w:t xml:space="preserve">אך בעיקר נקבע לפי פעולותיו ונסיבותיהן </w:t>
      </w:r>
      <w:r>
        <w:rPr>
          <w:rtl w:val="true"/>
        </w:rPr>
        <w:t>–</w:t>
      </w:r>
      <w:r>
        <w:rPr>
          <w:rtl w:val="true"/>
        </w:rPr>
        <w:t xml:space="preserve"> כשבכך נכללים הן מאפייני הסיוע והן מידת תרומתו למימוש התוכנית העבריינית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2.5.2016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טובאסי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tl w:val="true"/>
        </w:rPr>
        <w:t xml:space="preserve"> מתייחסים לדרך ביצוע העבירה הנגזרת </w:t>
      </w:r>
      <w:r>
        <w:rPr>
          <w:rtl w:val="true"/>
        </w:rPr>
        <w:t>–</w:t>
      </w:r>
      <w:r>
        <w:rPr>
          <w:rtl w:val="true"/>
        </w:rPr>
        <w:t xml:space="preserve"> במעשה או במחדל</w:t>
      </w:r>
      <w:r>
        <w:rPr>
          <w:rtl w:val="true"/>
        </w:rPr>
        <w:t xml:space="preserve">, </w:t>
      </w:r>
      <w:r>
        <w:rPr>
          <w:rtl w:val="true"/>
        </w:rPr>
        <w:t>בתמיכה אופרטיבית או רוחנית</w:t>
      </w:r>
      <w:r>
        <w:rPr>
          <w:rtl w:val="true"/>
        </w:rPr>
        <w:t xml:space="preserve">, </w:t>
      </w:r>
      <w:r>
        <w:rPr>
          <w:rtl w:val="true"/>
        </w:rPr>
        <w:t xml:space="preserve">בהיערכות או בהוצאה לפועל </w:t>
      </w:r>
      <w:r>
        <w:rPr>
          <w:rtl w:val="true"/>
        </w:rPr>
        <w:t>–</w:t>
      </w:r>
      <w:r>
        <w:rPr>
          <w:rtl w:val="true"/>
        </w:rPr>
        <w:t xml:space="preserve"> וכן לטיב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tl w:val="true"/>
        </w:rPr>
        <w:t xml:space="preserve">, </w:t>
      </w:r>
      <w:r>
        <w:rPr>
          <w:rtl w:val="true"/>
        </w:rPr>
        <w:t>ועומק מעורבותו של המסייע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התרומה</w:t>
      </w:r>
      <w:r>
        <w:rPr>
          <w:rtl w:val="true"/>
        </w:rPr>
        <w:t xml:space="preserve"> עניינה בחשיבות חלקו של המסייע</w:t>
      </w:r>
      <w:r>
        <w:rPr>
          <w:rtl w:val="true"/>
        </w:rPr>
        <w:t xml:space="preserve">, </w:t>
      </w:r>
      <w:r>
        <w:rPr>
          <w:rtl w:val="true"/>
        </w:rPr>
        <w:t>באופן מילויו בפועל</w:t>
      </w:r>
      <w:r>
        <w:rPr>
          <w:rtl w:val="true"/>
        </w:rPr>
        <w:t xml:space="preserve">, </w:t>
      </w:r>
      <w:r>
        <w:rPr>
          <w:rtl w:val="true"/>
        </w:rPr>
        <w:t xml:space="preserve">ובמידה בה ביצוע התוכנית אכן התבסס על הסיוע שניתן </w:t>
      </w:r>
      <w:r>
        <w:rPr>
          <w:rtl w:val="true"/>
        </w:rPr>
        <w:t>–</w:t>
      </w:r>
      <w:r>
        <w:rPr>
          <w:rtl w:val="true"/>
        </w:rPr>
        <w:t xml:space="preserve"> כשלאור זאת ייקבע האם היה בסיוע כדי לאפשר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tl w:val="true"/>
        </w:rPr>
        <w:t xml:space="preserve">, </w:t>
      </w:r>
      <w:r>
        <w:rPr>
          <w:rtl w:val="true"/>
        </w:rPr>
        <w:t>לאבטח או להבטיח את מימוש התוכנית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מאפייני הסיוע מלמדים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tl w:val="true"/>
        </w:rPr>
        <w:t xml:space="preserve"> של המסייע</w:t>
      </w:r>
      <w:r>
        <w:rPr>
          <w:rtl w:val="true"/>
        </w:rPr>
        <w:t xml:space="preserve">, </w:t>
      </w:r>
      <w:r>
        <w:rPr>
          <w:rtl w:val="true"/>
        </w:rPr>
        <w:t xml:space="preserve">ומידת התרומה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ברור כי סיוע בהיערכות יסתיים </w:t>
      </w:r>
      <w:r>
        <w:rPr>
          <w:rtl w:val="true"/>
        </w:rPr>
        <w:t>"</w:t>
      </w:r>
      <w:r>
        <w:rPr>
          <w:rtl w:val="true"/>
        </w:rPr>
        <w:t>זמן מה</w:t>
      </w:r>
      <w:r>
        <w:rPr>
          <w:rtl w:val="true"/>
        </w:rPr>
        <w:t xml:space="preserve">" </w:t>
      </w:r>
      <w:r>
        <w:rPr>
          <w:rtl w:val="true"/>
        </w:rPr>
        <w:t xml:space="preserve">לפני ביצוע התוכנית ולא יצריך את נוכחות או השתתפות המסייע בכך </w:t>
      </w:r>
      <w:r>
        <w:rPr>
          <w:rtl w:val="true"/>
        </w:rPr>
        <w:t>–</w:t>
      </w:r>
      <w:r>
        <w:rPr>
          <w:rtl w:val="true"/>
        </w:rPr>
        <w:t xml:space="preserve"> וזאת מבלי לגרוע מנחיצות תרומתו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 xml:space="preserve">מסייע שהשלים בהצלחה את חלקו בתוכנית </w:t>
      </w:r>
      <w:r>
        <w:rPr>
          <w:rtl w:val="true"/>
        </w:rPr>
        <w:t>–</w:t>
      </w:r>
      <w:r>
        <w:rPr>
          <w:rtl w:val="true"/>
        </w:rPr>
        <w:t xml:space="preserve"> להשיג רכב</w:t>
      </w:r>
      <w:r>
        <w:rPr>
          <w:rtl w:val="true"/>
        </w:rPr>
        <w:t xml:space="preserve">, </w:t>
      </w:r>
      <w:r>
        <w:rPr>
          <w:rtl w:val="true"/>
        </w:rPr>
        <w:t xml:space="preserve">כבמקרה שלפנינו </w:t>
      </w:r>
      <w:r>
        <w:rPr>
          <w:rtl w:val="true"/>
        </w:rPr>
        <w:t>–</w:t>
      </w:r>
      <w:r>
        <w:rPr>
          <w:rtl w:val="true"/>
        </w:rPr>
        <w:t xml:space="preserve"> תרם באותה מידה למימושה בין אם פעל לבדו ובין אם הפעיל אחרים לשם כך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לאור מאפייני הסיוע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חומרת מעשיו של המערער אמנם פחותה יחסית </w:t>
      </w:r>
      <w:r>
        <w:rPr>
          <w:rtl w:val="true"/>
        </w:rPr>
        <w:t>–</w:t>
      </w:r>
      <w:r>
        <w:rPr>
          <w:rtl w:val="true"/>
        </w:rPr>
        <w:t xml:space="preserve"> אולם בגזר</w:t>
      </w:r>
      <w:r>
        <w:rPr>
          <w:rtl w:val="true"/>
        </w:rPr>
        <w:t>-</w:t>
      </w:r>
      <w:r>
        <w:rPr>
          <w:rtl w:val="true"/>
        </w:rPr>
        <w:t>הדין ניתן לכך ביטוי הולם</w:t>
      </w:r>
      <w:r>
        <w:rPr>
          <w:rtl w:val="true"/>
        </w:rPr>
        <w:t xml:space="preserve">, </w:t>
      </w:r>
      <w:r>
        <w:rPr>
          <w:rtl w:val="true"/>
        </w:rPr>
        <w:t>ואין בנטען ביחס לריחוקו מאירוע הירי כדי להוסיף על כך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חשיבות תרומתו לתוכנית העבריינית משמעותית במידה רבה ביותר </w:t>
      </w:r>
      <w:r>
        <w:rPr>
          <w:rtl w:val="true"/>
        </w:rPr>
        <w:t>–</w:t>
      </w:r>
      <w:r>
        <w:rPr>
          <w:rtl w:val="true"/>
        </w:rPr>
        <w:t xml:space="preserve"> וזוהי אף השאלה המכרעת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תפקידו הכפול של המערער דנן בתוכנית העבריינית </w:t>
      </w:r>
      <w:r>
        <w:rPr>
          <w:rtl w:val="true"/>
        </w:rPr>
        <w:t>–</w:t>
      </w:r>
      <w:r>
        <w:rPr>
          <w:rtl w:val="true"/>
        </w:rPr>
        <w:t xml:space="preserve"> לתאם פגישה עם המנוח ולפעול לגניבת רכב </w:t>
      </w:r>
      <w:r>
        <w:rPr>
          <w:rtl w:val="true"/>
        </w:rPr>
        <w:t>–</w:t>
      </w:r>
      <w:r>
        <w:rPr>
          <w:rtl w:val="true"/>
        </w:rPr>
        <w:t xml:space="preserve"> היה חיוני להגשמתה</w:t>
      </w:r>
      <w:r>
        <w:rPr>
          <w:rtl w:val="true"/>
        </w:rPr>
        <w:t xml:space="preserve">, </w:t>
      </w:r>
      <w:r>
        <w:rPr>
          <w:rtl w:val="true"/>
        </w:rPr>
        <w:t>שכן אי</w:t>
      </w:r>
      <w:r>
        <w:rPr>
          <w:rtl w:val="true"/>
        </w:rPr>
        <w:t>-</w:t>
      </w:r>
      <w:r>
        <w:rPr>
          <w:rtl w:val="true"/>
        </w:rPr>
        <w:t>אפשר היה לבצעה כפי שבוצעה אם היה נכשל ולו באופן חלקי</w:t>
      </w:r>
      <w:r>
        <w:rPr>
          <w:rtl w:val="true"/>
        </w:rPr>
        <w:t xml:space="preserve">. </w:t>
      </w:r>
      <w:r>
        <w:rPr>
          <w:rtl w:val="true"/>
        </w:rPr>
        <w:t>אלא שהמערער מילא את משימותיו במלואן</w:t>
      </w:r>
      <w:r>
        <w:rPr>
          <w:rtl w:val="true"/>
        </w:rPr>
        <w:t xml:space="preserve">, </w:t>
      </w:r>
      <w:r>
        <w:rPr>
          <w:rtl w:val="true"/>
        </w:rPr>
        <w:t xml:space="preserve">ואין חולק שהרכב ששימש לביצוע העבירה נגנב לבקשתו והגיע לאחרים בזכותו </w:t>
      </w:r>
      <w:r>
        <w:rPr>
          <w:rtl w:val="true"/>
        </w:rPr>
        <w:t>–</w:t>
      </w:r>
      <w:r>
        <w:rPr>
          <w:rtl w:val="true"/>
        </w:rPr>
        <w:t xml:space="preserve"> לרבות בכך שבדק את הרכב פעם אחת לפחות בין המועד בו נמסר לו מידי הגנבים לבין המועד בו ניטל על</w:t>
      </w:r>
      <w:r>
        <w:rPr>
          <w:rtl w:val="true"/>
        </w:rPr>
        <w:t>-</w:t>
      </w:r>
      <w:r>
        <w:rPr>
          <w:rtl w:val="true"/>
        </w:rPr>
        <w:t xml:space="preserve">ידי האחרים </w:t>
      </w:r>
      <w:r>
        <w:rPr>
          <w:rtl w:val="true"/>
        </w:rPr>
        <w:t>–</w:t>
      </w:r>
      <w:r>
        <w:rPr>
          <w:rtl w:val="true"/>
        </w:rPr>
        <w:t xml:space="preserve"> וכשמצא שהרכב אינו מתניע</w:t>
      </w:r>
      <w:r>
        <w:rPr>
          <w:rtl w:val="true"/>
        </w:rPr>
        <w:t xml:space="preserve">, </w:t>
      </w:r>
      <w:r>
        <w:rPr>
          <w:rtl w:val="true"/>
        </w:rPr>
        <w:t>אף דאג להחליף לו מצבר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 לנטען</w:t>
      </w:r>
      <w:r>
        <w:rPr>
          <w:rtl w:val="true"/>
        </w:rPr>
        <w:t xml:space="preserve">, </w:t>
      </w:r>
      <w:r>
        <w:rPr>
          <w:rtl w:val="true"/>
        </w:rPr>
        <w:t xml:space="preserve">אפילו אם חלקו של המערער היה מתמצה בתיאום וקישור </w:t>
      </w:r>
      <w:r>
        <w:rPr>
          <w:rtl w:val="true"/>
        </w:rPr>
        <w:t>–</w:t>
      </w:r>
      <w:r>
        <w:rPr>
          <w:rtl w:val="true"/>
        </w:rPr>
        <w:t xml:space="preserve"> בין האחרים למנוח ובינם לבין הגנבים </w:t>
      </w:r>
      <w:r>
        <w:rPr>
          <w:rtl w:val="true"/>
        </w:rPr>
        <w:t>–</w:t>
      </w:r>
      <w:r>
        <w:rPr>
          <w:rtl w:val="true"/>
        </w:rPr>
        <w:t xml:space="preserve"> לא ניתן היה לראות בכך סיוע ב</w:t>
      </w:r>
      <w:r>
        <w:rPr>
          <w:rtl w:val="true"/>
        </w:rPr>
        <w:t>-"</w:t>
      </w:r>
      <w:r>
        <w:rPr>
          <w:rtl w:val="true"/>
        </w:rPr>
        <w:t>מעגל שלישי</w:t>
      </w:r>
      <w:r>
        <w:rPr>
          <w:rtl w:val="true"/>
        </w:rPr>
        <w:t xml:space="preserve">", </w:t>
      </w:r>
      <w:r>
        <w:rPr>
          <w:rtl w:val="true"/>
        </w:rPr>
        <w:t xml:space="preserve">או ללמוד מכך על </w:t>
      </w:r>
      <w:r>
        <w:rPr>
          <w:rtl w:val="true"/>
        </w:rPr>
        <w:t>"</w:t>
      </w:r>
      <w:r>
        <w:rPr>
          <w:rtl w:val="true"/>
        </w:rPr>
        <w:t>ריחוקו הנפשי</w:t>
      </w:r>
      <w:r>
        <w:rPr>
          <w:rtl w:val="true"/>
        </w:rPr>
        <w:t xml:space="preserve">" </w:t>
      </w:r>
      <w:r>
        <w:rPr>
          <w:rtl w:val="true"/>
        </w:rPr>
        <w:t>מהתוכנית העבריינית</w:t>
      </w:r>
      <w:r>
        <w:rPr>
          <w:rtl w:val="true"/>
        </w:rPr>
        <w:t xml:space="preserve">; </w:t>
      </w:r>
      <w:r>
        <w:rPr>
          <w:rtl w:val="true"/>
        </w:rPr>
        <w:t>נהפוך הוא</w:t>
      </w:r>
      <w:r>
        <w:rPr>
          <w:rtl w:val="true"/>
        </w:rPr>
        <w:t xml:space="preserve">. </w:t>
      </w:r>
      <w:r>
        <w:rPr>
          <w:rtl w:val="true"/>
        </w:rPr>
        <w:t>החלטתו לשלם לגורמים נוספים כדי שיגנבו את הרכב נועדה</w:t>
      </w:r>
      <w:r>
        <w:rPr>
          <w:rtl w:val="true"/>
        </w:rPr>
        <w:t xml:space="preserve">, </w:t>
      </w:r>
      <w:r>
        <w:rPr>
          <w:rtl w:val="true"/>
        </w:rPr>
        <w:t>מן הסתם</w:t>
      </w:r>
      <w:r>
        <w:rPr>
          <w:rtl w:val="true"/>
        </w:rPr>
        <w:t xml:space="preserve">, </w:t>
      </w:r>
      <w:r>
        <w:rPr>
          <w:rtl w:val="true"/>
        </w:rPr>
        <w:t xml:space="preserve">להרחיקו מאחריות למעשה והשלכותיו </w:t>
      </w:r>
      <w:r>
        <w:rPr>
          <w:rtl w:val="true"/>
        </w:rPr>
        <w:t>–</w:t>
      </w:r>
      <w:r>
        <w:rPr>
          <w:rtl w:val="true"/>
        </w:rPr>
        <w:t xml:space="preserve"> בדיוק כשם שהוא מבקש לעשות כעת </w:t>
      </w:r>
      <w:r>
        <w:rPr>
          <w:rtl w:val="true"/>
        </w:rPr>
        <w:t>–</w:t>
      </w:r>
      <w:r>
        <w:rPr>
          <w:rtl w:val="true"/>
        </w:rPr>
        <w:t xml:space="preserve"> וזאת אין להתיר לו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נדמה כי פרטיה העיקריים של התוכנית היו ידועים למערער לכל משך מעורבותו </w:t>
      </w:r>
      <w:r>
        <w:rPr>
          <w:rtl w:val="true"/>
        </w:rPr>
        <w:t>–</w:t>
      </w:r>
      <w:r>
        <w:rPr>
          <w:rtl w:val="true"/>
        </w:rPr>
        <w:t xml:space="preserve"> היעד</w:t>
      </w:r>
      <w:r>
        <w:rPr>
          <w:rtl w:val="true"/>
        </w:rPr>
        <w:t xml:space="preserve">, </w:t>
      </w:r>
      <w:r>
        <w:rPr>
          <w:rtl w:val="true"/>
        </w:rPr>
        <w:t>המיקום</w:t>
      </w:r>
      <w:r>
        <w:rPr>
          <w:rtl w:val="true"/>
        </w:rPr>
        <w:t xml:space="preserve">, </w:t>
      </w:r>
      <w:r>
        <w:rPr>
          <w:rtl w:val="true"/>
        </w:rPr>
        <w:t>העיתוי</w:t>
      </w:r>
      <w:r>
        <w:rPr>
          <w:rtl w:val="true"/>
        </w:rPr>
        <w:t xml:space="preserve">, </w:t>
      </w:r>
      <w:r>
        <w:rPr>
          <w:rtl w:val="true"/>
        </w:rPr>
        <w:t>האמצעים</w:t>
      </w:r>
      <w:r>
        <w:rPr>
          <w:rtl w:val="true"/>
        </w:rPr>
        <w:t xml:space="preserve">, </w:t>
      </w:r>
      <w:r>
        <w:rPr>
          <w:rtl w:val="true"/>
        </w:rPr>
        <w:t xml:space="preserve">והמשתתפים </w:t>
      </w:r>
      <w:r>
        <w:rPr>
          <w:rtl w:val="true"/>
        </w:rPr>
        <w:t>–</w:t>
      </w:r>
      <w:r>
        <w:rPr>
          <w:rtl w:val="true"/>
        </w:rPr>
        <w:t xml:space="preserve"> ועל כך הושם דגש גם בפסיקה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טובאסי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סוליימנוב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81-76</w:t>
      </w:r>
      <w:r>
        <w:rPr>
          <w:rtl w:val="true"/>
        </w:rPr>
        <w:t xml:space="preserve"> (</w:t>
      </w:r>
      <w:r>
        <w:rPr/>
        <w:t>2.4.2020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טענות המערער ביחס למעמדו הזוטר כמסייע </w:t>
      </w:r>
      <w:r>
        <w:rPr>
          <w:rtl w:val="true"/>
        </w:rPr>
        <w:t>–</w:t>
      </w:r>
      <w:r>
        <w:rPr>
          <w:rtl w:val="true"/>
        </w:rPr>
        <w:t xml:space="preserve"> בטעות יסודן</w:t>
      </w:r>
      <w:r>
        <w:rPr>
          <w:rtl w:val="true"/>
        </w:rPr>
        <w:t xml:space="preserve">. </w:t>
      </w:r>
      <w:r>
        <w:rPr>
          <w:rtl w:val="true"/>
        </w:rPr>
        <w:t>מסייע מוגדר כשותף עקיף ומשני שאינו חבר ב</w:t>
      </w:r>
      <w:r>
        <w:rPr>
          <w:rtl w:val="true"/>
        </w:rPr>
        <w:t>-"</w:t>
      </w:r>
      <w:r>
        <w:rPr>
          <w:rtl w:val="true"/>
        </w:rPr>
        <w:t>מעגל הפנימי</w:t>
      </w:r>
      <w:r>
        <w:rPr>
          <w:rtl w:val="true"/>
        </w:rPr>
        <w:t xml:space="preserve">" </w:t>
      </w:r>
      <w:r>
        <w:rPr>
          <w:rtl w:val="true"/>
        </w:rPr>
        <w:t>של המבצעים העיקריים</w:t>
      </w:r>
      <w:r>
        <w:rPr>
          <w:rtl w:val="true"/>
        </w:rPr>
        <w:t xml:space="preserve">, </w:t>
      </w:r>
      <w:r>
        <w:rPr>
          <w:rtl w:val="true"/>
        </w:rPr>
        <w:t>ולפיכך אין סיבה לצפות שתהיה לו שליטה כלשהי על מימוש התוכנית העבריינית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החלטת המערער להסתייע בגורמים נוספים בגניבת הרכב דווקא מלמדת כי הייתה לו מידה מסוימת של שליטה</w:t>
      </w:r>
      <w:r>
        <w:rPr>
          <w:rtl w:val="true"/>
        </w:rPr>
        <w:t xml:space="preserve">, </w:t>
      </w:r>
      <w:r>
        <w:rPr>
          <w:rtl w:val="true"/>
        </w:rPr>
        <w:t>לפחות על אופן ביצוע החלק שלו</w:t>
      </w:r>
      <w:r>
        <w:rPr>
          <w:rtl w:val="true"/>
        </w:rPr>
        <w:t xml:space="preserve">; </w:t>
      </w:r>
      <w:r>
        <w:rPr>
          <w:rtl w:val="true"/>
        </w:rPr>
        <w:t xml:space="preserve">ואילו טענתו </w:t>
      </w:r>
      <w:r>
        <w:rPr>
          <w:rtl w:val="true"/>
        </w:rPr>
        <w:t>"</w:t>
      </w:r>
      <w:r>
        <w:rPr>
          <w:rtl w:val="true"/>
        </w:rPr>
        <w:t>המצטנעת</w:t>
      </w:r>
      <w:r>
        <w:rPr>
          <w:rtl w:val="true"/>
        </w:rPr>
        <w:t xml:space="preserve">" </w:t>
      </w:r>
      <w:r>
        <w:rPr>
          <w:rtl w:val="true"/>
        </w:rPr>
        <w:t>לפיה כל אחד יכול היה להחליף אותו כמסייע אינה מתיישבת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עם הצורך לרכוש את אמונו של המנוח כדי לשכנעו להגיע למקום מבודד בשעת לילה מאוחרת </w:t>
      </w:r>
      <w:r>
        <w:rPr>
          <w:rtl w:val="true"/>
        </w:rPr>
        <w:t>–</w:t>
      </w:r>
      <w:r>
        <w:rPr>
          <w:rtl w:val="true"/>
        </w:rPr>
        <w:t xml:space="preserve"> או עם </w:t>
      </w:r>
      <w:r>
        <w:rPr>
          <w:rtl w:val="true"/>
        </w:rPr>
        <w:t>"</w:t>
      </w:r>
      <w:r>
        <w:rPr>
          <w:rtl w:val="true"/>
        </w:rPr>
        <w:t>הערך הרב</w:t>
      </w:r>
      <w:r>
        <w:rPr>
          <w:rtl w:val="true"/>
        </w:rPr>
        <w:t xml:space="preserve">" </w:t>
      </w:r>
      <w:r>
        <w:rPr>
          <w:rtl w:val="true"/>
        </w:rPr>
        <w:t>שיש בלהכיר את האנשים הנכונים</w:t>
      </w:r>
      <w:r>
        <w:rPr>
          <w:rtl w:val="true"/>
        </w:rPr>
        <w:t xml:space="preserve">, </w:t>
      </w:r>
      <w:r>
        <w:rPr>
          <w:rtl w:val="true"/>
        </w:rPr>
        <w:t>כגון גנבי מכוניות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בכל האמור לעיל אף אין כדי לאבחן את ענייננו מהפסיקה שנסקרה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באופן המשליך על יישומה של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יש לזכור כי טענות מסוג </w:t>
      </w:r>
      <w:r>
        <w:rPr>
          <w:rtl w:val="true"/>
        </w:rPr>
        <w:t>"</w:t>
      </w:r>
      <w:r>
        <w:rPr>
          <w:rtl w:val="true"/>
        </w:rPr>
        <w:t>ריחוק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זוטרות</w:t>
      </w:r>
      <w:r>
        <w:rPr>
          <w:rtl w:val="true"/>
        </w:rPr>
        <w:t xml:space="preserve">" </w:t>
      </w:r>
      <w:r>
        <w:rPr>
          <w:rtl w:val="true"/>
        </w:rPr>
        <w:t>מועלות באופן תדיר על</w:t>
      </w:r>
      <w:r>
        <w:rPr>
          <w:rtl w:val="true"/>
        </w:rPr>
        <w:t>-</w:t>
      </w:r>
      <w:r>
        <w:rPr>
          <w:rtl w:val="true"/>
        </w:rPr>
        <w:t>ידי מורשעים בסיוע</w:t>
      </w:r>
      <w:r>
        <w:rPr>
          <w:rtl w:val="true"/>
        </w:rPr>
        <w:t xml:space="preserve">, </w:t>
      </w:r>
      <w:r>
        <w:rPr>
          <w:rtl w:val="true"/>
        </w:rPr>
        <w:t xml:space="preserve">לעבירות שונות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בארין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39-34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מוכנותן של הערכאות השונות לקבל או לדחות טענות אלה רלוונטית להערכת מדיניות הענישה הנוהגת ביחס לעבירה הנגזרת </w:t>
      </w:r>
      <w:r>
        <w:rPr>
          <w:rtl w:val="true"/>
        </w:rPr>
        <w:t>–</w:t>
      </w:r>
      <w:r>
        <w:rPr>
          <w:rtl w:val="true"/>
        </w:rPr>
        <w:t xml:space="preserve"> ולא יהיה נכון לצמצם הערכה זו לפן המספרי בלבד או לבססה רק על סיוע לאותה עבירה בדיוק </w:t>
      </w:r>
      <w:r>
        <w:rPr>
          <w:rtl w:val="true"/>
        </w:rPr>
        <w:t>–</w:t>
      </w:r>
      <w:r>
        <w:rPr>
          <w:rtl w:val="true"/>
        </w:rPr>
        <w:t xml:space="preserve"> למרות שגם לעניין זה יש דוגמאות בפסיקה שנסקרה בגזר הדין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6391/12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מסארווה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מסארווה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חיימוב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נראה כי בית המשפט המחוזי הקל עם המערער בקביעת מתחם עונש ההולם</w:t>
      </w:r>
      <w:r>
        <w:rPr>
          <w:rtl w:val="true"/>
        </w:rPr>
        <w:t xml:space="preserve">, </w:t>
      </w:r>
      <w:r>
        <w:rPr>
          <w:rtl w:val="true"/>
        </w:rPr>
        <w:t>במיוחד מאחר שקבע ובצדק כי לא הייתה מניעה לחרוג מהעונש המרבי לעבירת הסיוע להריגה</w:t>
      </w:r>
      <w:r>
        <w:rPr>
          <w:rtl w:val="true"/>
        </w:rPr>
        <w:t xml:space="preserve">, </w:t>
      </w:r>
      <w:r>
        <w:rPr>
          <w:rtl w:val="true"/>
        </w:rPr>
        <w:t>בהינתן ההרשעה בעבירות נוספות</w:t>
      </w:r>
      <w:r>
        <w:rPr>
          <w:rtl w:val="true"/>
        </w:rPr>
        <w:t xml:space="preserve">, </w:t>
      </w:r>
      <w:r>
        <w:rPr>
          <w:rtl w:val="true"/>
        </w:rPr>
        <w:t>הגם שמדובר באירוע אחד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לנוכח חומרת העבירות העיקריות והיותן חלק מתופעה רחבה של יישוב סכסוכים תוך שימוש בנשק חם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10.12.2018</w:t>
      </w:r>
      <w:r>
        <w:rPr>
          <w:rtl w:val="true"/>
        </w:rPr>
        <w:t xml:space="preserve">)); </w:t>
      </w:r>
      <w:r>
        <w:rPr>
          <w:rtl w:val="true"/>
        </w:rPr>
        <w:t xml:space="preserve">העובדה שהמערער ידע הן על הכוונה לעשות שימוש בנשק חם והן על הימצאותו של אדם נוסף במקום המפגש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חיימוב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 xml:space="preserve">); </w:t>
      </w:r>
      <w:r>
        <w:rPr>
          <w:rtl w:val="true"/>
        </w:rPr>
        <w:t xml:space="preserve">ולאור הסכמתו לחריגה כאמור במסגרת הסדר טיעון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>הרי שבית המשפט המחוזי הוסיף והקל עם המערער בהצבת העונש באמצע המתחם שקבע</w:t>
      </w:r>
      <w:r>
        <w:rPr>
          <w:rtl w:val="true"/>
        </w:rPr>
        <w:t xml:space="preserve">, </w:t>
      </w:r>
      <w:r>
        <w:rPr>
          <w:rtl w:val="true"/>
        </w:rPr>
        <w:t>לאור נסיבות שאינן קשורות בביצוע העבירה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חולק שהודאת המערער חסכה זמן שיפוטי</w:t>
      </w:r>
      <w:r>
        <w:rPr>
          <w:rtl w:val="true"/>
        </w:rPr>
        <w:t xml:space="preserve">, </w:t>
      </w:r>
      <w:r>
        <w:rPr>
          <w:rtl w:val="true"/>
        </w:rPr>
        <w:t>אך ספק בעיניי אם נכון היה לזקוף לזכותו שיתוף פעולה עם רשויות האכיפה לאור סירובו למסור פרטים כלשהם אודות האחרים</w:t>
      </w:r>
      <w:r>
        <w:rPr>
          <w:rtl w:val="true"/>
        </w:rPr>
        <w:t xml:space="preserve">, </w:t>
      </w:r>
      <w:r>
        <w:rPr>
          <w:rtl w:val="true"/>
        </w:rPr>
        <w:t xml:space="preserve">אשר עדיין מהלכים חופשי ולא נתנו את הדין על חלקם בפרשה מושא גזר דין זה </w:t>
      </w:r>
      <w:r>
        <w:rPr>
          <w:rtl w:val="true"/>
        </w:rPr>
        <w:t>–</w:t>
      </w:r>
      <w:r>
        <w:rPr>
          <w:rtl w:val="true"/>
        </w:rPr>
        <w:t xml:space="preserve"> וזאת בדומה למסייעים אחרים שנמנעו מזיהוי שותפים או הסגרת אמצעים</w:t>
      </w:r>
      <w:r>
        <w:rPr>
          <w:rtl w:val="true"/>
        </w:rPr>
        <w:t xml:space="preserve">, </w:t>
      </w:r>
      <w:r>
        <w:rPr>
          <w:rtl w:val="true"/>
        </w:rPr>
        <w:t xml:space="preserve">בפרט בקשר לעבירות אלימות תוך שימוש בנשק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19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מסארווה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קשה גם לייחס משקל משמעותי להיות המערער אב צעיר וטרי</w:t>
      </w:r>
      <w:r>
        <w:rPr>
          <w:rtl w:val="true"/>
        </w:rPr>
        <w:t xml:space="preserve">, </w:t>
      </w:r>
      <w:r>
        <w:rPr>
          <w:rtl w:val="true"/>
        </w:rPr>
        <w:t xml:space="preserve">לאחר שסייע להריגתו של מי שבאותה עת היה אב לארבעה </w:t>
      </w:r>
      <w:r>
        <w:rPr>
          <w:rtl w:val="true"/>
        </w:rPr>
        <w:t>–</w:t>
      </w:r>
      <w:r>
        <w:rPr>
          <w:rtl w:val="true"/>
        </w:rPr>
        <w:t xml:space="preserve"> וכבר ציפה להולדת בנו החמישי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תסקיר נפגעי העבירה ומכתבה קורע</w:t>
      </w:r>
      <w:r>
        <w:rPr>
          <w:rtl w:val="true"/>
        </w:rPr>
        <w:t>-</w:t>
      </w:r>
      <w:r>
        <w:rPr>
          <w:rtl w:val="true"/>
        </w:rPr>
        <w:t>הלב של אלמנת המנוח מתארים את החלל המשמעותי שהותיר אחריו המנוח</w:t>
      </w:r>
      <w:r>
        <w:rPr>
          <w:rtl w:val="true"/>
        </w:rPr>
        <w:t xml:space="preserve">, </w:t>
      </w:r>
      <w:r>
        <w:rPr>
          <w:rtl w:val="true"/>
        </w:rPr>
        <w:t>שהיה דומיננטי ומשמעותי בכל תחומי החיים של ילדיו</w:t>
      </w:r>
      <w:r>
        <w:rPr>
          <w:rtl w:val="true"/>
        </w:rPr>
        <w:t xml:space="preserve">, </w:t>
      </w:r>
      <w:r>
        <w:rPr>
          <w:rtl w:val="true"/>
        </w:rPr>
        <w:t>ודאג לחיי משפחה תקינים</w:t>
      </w:r>
      <w:r>
        <w:rPr>
          <w:rtl w:val="true"/>
        </w:rPr>
        <w:t xml:space="preserve">, </w:t>
      </w:r>
      <w:r>
        <w:rPr>
          <w:rtl w:val="true"/>
        </w:rPr>
        <w:t>יציבים</w:t>
      </w:r>
      <w:r>
        <w:rPr>
          <w:rtl w:val="true"/>
        </w:rPr>
        <w:t xml:space="preserve">, </w:t>
      </w:r>
      <w:r>
        <w:rPr>
          <w:rtl w:val="true"/>
        </w:rPr>
        <w:t>ורציפים עבורם</w:t>
      </w:r>
      <w:r>
        <w:rPr>
          <w:rtl w:val="true"/>
        </w:rPr>
        <w:t xml:space="preserve">. </w:t>
      </w:r>
      <w:r>
        <w:rPr>
          <w:rtl w:val="true"/>
        </w:rPr>
        <w:t>אובדנו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הוא חוויה טראומטית לארבעת הילדים הקטינים שזכו להכירו </w:t>
      </w:r>
      <w:r>
        <w:rPr>
          <w:rtl w:val="true"/>
        </w:rPr>
        <w:t>–</w:t>
      </w:r>
      <w:r>
        <w:rPr>
          <w:rtl w:val="true"/>
        </w:rPr>
        <w:t xml:space="preserve"> והחמישי לא יזכה אפילו לכך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זה יש לדחות גם את טענת המערער ביחס לעינוי הדין שנגרם לו והשלכותיו לעניין 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כבר התחשב לקולה בהתמשכות ההליך</w:t>
      </w:r>
      <w:r>
        <w:rPr>
          <w:rtl w:val="true"/>
        </w:rPr>
        <w:t xml:space="preserve">, </w:t>
      </w:r>
      <w:r>
        <w:rPr>
          <w:rtl w:val="true"/>
        </w:rPr>
        <w:t>במידת מה</w:t>
      </w:r>
      <w:r>
        <w:rPr>
          <w:rtl w:val="true"/>
        </w:rPr>
        <w:t xml:space="preserve">, </w:t>
      </w:r>
      <w:r>
        <w:rPr>
          <w:rtl w:val="true"/>
        </w:rPr>
        <w:t xml:space="preserve">וזאת בנוסף לניכוי ימי המעצר מעונש המאסר </w:t>
      </w:r>
      <w:r>
        <w:rPr>
          <w:rtl w:val="true"/>
        </w:rPr>
        <w:t>–</w:t>
      </w:r>
      <w:r>
        <w:rPr>
          <w:rtl w:val="true"/>
        </w:rPr>
        <w:t xml:space="preserve"> דבר שכידוע אינו מהווה זכות קנויה ונועד למנוע כפל עונש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חיימוב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27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על אף שהפסיקה הרלוונטית עסקה במצבים קיצוניים בהרבה </w:t>
      </w:r>
      <w:r>
        <w:rPr>
          <w:rtl w:val="true"/>
        </w:rPr>
        <w:t>–</w:t>
      </w:r>
      <w:r>
        <w:rPr>
          <w:rtl w:val="true"/>
        </w:rPr>
        <w:t xml:space="preserve"> מבחינת משך התארכות ההליכים</w:t>
      </w:r>
      <w:r>
        <w:rPr>
          <w:rtl w:val="true"/>
        </w:rPr>
        <w:t xml:space="preserve">, </w:t>
      </w:r>
      <w:r>
        <w:rPr>
          <w:rtl w:val="true"/>
        </w:rPr>
        <w:t>הסיבות לכך</w:t>
      </w:r>
      <w:r>
        <w:rPr>
          <w:rtl w:val="true"/>
        </w:rPr>
        <w:t xml:space="preserve">, </w:t>
      </w:r>
      <w:r>
        <w:rPr>
          <w:rtl w:val="true"/>
        </w:rPr>
        <w:t xml:space="preserve">והנזק שנגרם </w:t>
      </w:r>
      <w:r>
        <w:rPr>
          <w:rtl w:val="true"/>
        </w:rPr>
        <w:t>–</w:t>
      </w:r>
      <w:r>
        <w:rPr>
          <w:rtl w:val="true"/>
        </w:rPr>
        <w:t xml:space="preserve"> ומכאן שגם ההקלה שניתנה למערער מחדדת את התמריץ השלילי הכרוך בכך ומלמדת שאין מקום להקלה נוספת 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אמנם לא גרם להתמשכות ההליך בעניינו</w:t>
      </w:r>
      <w:r>
        <w:rPr>
          <w:rtl w:val="true"/>
        </w:rPr>
        <w:t xml:space="preserve">, </w:t>
      </w:r>
      <w:r>
        <w:rPr>
          <w:rtl w:val="true"/>
        </w:rPr>
        <w:t>אולם בדברי הביקורת של בית המשפט המחוזי אין רמז להתרשלות או לחוסר תום</w:t>
      </w:r>
      <w:r>
        <w:rPr>
          <w:rtl w:val="true"/>
        </w:rPr>
        <w:t>-</w:t>
      </w:r>
      <w:r>
        <w:rPr>
          <w:rtl w:val="true"/>
        </w:rPr>
        <w:t>לב מצד גורמי התביעה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לשימוש לרעה בסמכותם באופן </w:t>
      </w:r>
      <w:r>
        <w:rPr>
          <w:rtl w:val="true"/>
        </w:rPr>
        <w:t>"</w:t>
      </w:r>
      <w:r>
        <w:rPr>
          <w:rtl w:val="true"/>
        </w:rPr>
        <w:t>מכוון ומתוכנן</w:t>
      </w:r>
      <w:r>
        <w:rPr>
          <w:rtl w:val="true"/>
        </w:rPr>
        <w:t xml:space="preserve">", </w:t>
      </w:r>
      <w:r>
        <w:rPr>
          <w:rtl w:val="true"/>
        </w:rPr>
        <w:t>כפי שנטען בנימוקי הערעור הכתובים</w:t>
      </w:r>
      <w:r>
        <w:rPr>
          <w:rtl w:val="true"/>
        </w:rPr>
        <w:t xml:space="preserve">; </w:t>
      </w:r>
      <w:r>
        <w:rPr>
          <w:rtl w:val="true"/>
        </w:rPr>
        <w:t>ואף אם אירעה שגיאה בעניינו</w:t>
      </w:r>
      <w:r>
        <w:rPr>
          <w:rtl w:val="true"/>
        </w:rPr>
        <w:t xml:space="preserve">, </w:t>
      </w:r>
      <w:r>
        <w:rPr>
          <w:rtl w:val="true"/>
        </w:rPr>
        <w:t>כפי שנטען בדיון בעל</w:t>
      </w:r>
      <w:r>
        <w:rPr>
          <w:rtl w:val="true"/>
        </w:rPr>
        <w:t>-</w:t>
      </w:r>
      <w:r>
        <w:rPr>
          <w:rtl w:val="true"/>
        </w:rPr>
        <w:t xml:space="preserve">פה </w:t>
      </w:r>
      <w:r>
        <w:rPr>
          <w:rtl w:val="true"/>
        </w:rPr>
        <w:t>–</w:t>
      </w:r>
      <w:r>
        <w:rPr>
          <w:rtl w:val="true"/>
        </w:rPr>
        <w:t xml:space="preserve"> ואין חולק כי לשגיאות יש מחיר </w:t>
      </w:r>
      <w:r>
        <w:rPr>
          <w:rtl w:val="true"/>
        </w:rPr>
        <w:t>–</w:t>
      </w:r>
      <w:r>
        <w:rPr>
          <w:rtl w:val="true"/>
        </w:rPr>
        <w:t xml:space="preserve"> אין זה אומר שעל הציבור לשאתו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בכך שיאפשר למערער לשוב ולסכן את שלומו וביטחונו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10.5.2021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20078810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color w:val="000000"/>
            <w:sz w:val="16"/>
            <w:u w:val="none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 w:val="22"/>
          <w:szCs w:val="22"/>
        </w:rPr>
        <w:t>54678313-7881/20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7881/20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overflowPunct w:val="true"/>
      <w:autoSpaceDE w:val="true"/>
      <w:spacing w:before="0" w:after="420"/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89646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33.a.1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413b" TargetMode="External"/><Relationship Id="rId10" Type="http://schemas.openxmlformats.org/officeDocument/2006/relationships/hyperlink" Target="http://www.nevo.co.il/case/24896462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333.a.1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413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04669" TargetMode="External"/><Relationship Id="rId20" Type="http://schemas.openxmlformats.org/officeDocument/2006/relationships/hyperlink" Target="http://www.nevo.co.il/case/26256034" TargetMode="External"/><Relationship Id="rId21" Type="http://schemas.openxmlformats.org/officeDocument/2006/relationships/hyperlink" Target="http://www.nevo.co.il/case/13022252" TargetMode="External"/><Relationship Id="rId22" Type="http://schemas.openxmlformats.org/officeDocument/2006/relationships/hyperlink" Target="http://www.nevo.co.il/case/20317243" TargetMode="External"/><Relationship Id="rId23" Type="http://schemas.openxmlformats.org/officeDocument/2006/relationships/hyperlink" Target="http://www.nevo.co.il/case/21506844" TargetMode="External"/><Relationship Id="rId24" Type="http://schemas.openxmlformats.org/officeDocument/2006/relationships/hyperlink" Target="http://www.nevo.co.il/case/5573767" TargetMode="External"/><Relationship Id="rId25" Type="http://schemas.openxmlformats.org/officeDocument/2006/relationships/hyperlink" Target="http://www.nevo.co.il/case/20178061" TargetMode="External"/><Relationship Id="rId26" Type="http://schemas.openxmlformats.org/officeDocument/2006/relationships/hyperlink" Target="http://www.nevo.co.il/case/24976046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2021-05-11T08:13:00Z</dcterms:created>
  <dc:creator>h4</dc:creator>
  <dc:description/>
  <cp:keywords/>
  <dc:language>en-IL</dc:language>
  <cp:lastModifiedBy>orly</cp:lastModifiedBy>
  <cp:lastPrinted>2021-05-10T09:01:00Z</cp:lastPrinted>
  <dcterms:modified xsi:type="dcterms:W3CDTF">2021-05-11T08:13:00Z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ישראל;מ.ד. (אלמנת המנוח)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24896462:2;5704669;26256034;13022252;20317243;21506844;5573767;20178061;24976046</vt:lpwstr>
  </property>
  <property fmtid="{D5CDD505-2E9C-101B-9397-08002B2CF9AE}" pid="9" name="CITY">
    <vt:lpwstr/>
  </property>
  <property fmtid="{D5CDD505-2E9C-101B-9397-08002B2CF9AE}" pid="10" name="DATE">
    <vt:lpwstr>20210510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אלרון;ע' גרוסקופף</vt:lpwstr>
  </property>
  <property fmtid="{D5CDD505-2E9C-101B-9397-08002B2CF9AE}" pid="14" name="LAWLISTTMP1">
    <vt:lpwstr>70301/298;031:2;335;333.a.1;413b;029</vt:lpwstr>
  </property>
  <property fmtid="{D5CDD505-2E9C-101B-9397-08002B2CF9AE}" pid="15" name="LAWYER">
    <vt:lpwstr>רוני זלושינסקי;אבי חימי;זוהר ארבל;שי שורר;איתי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1443;1446;1446</vt:lpwstr>
  </property>
  <property fmtid="{D5CDD505-2E9C-101B-9397-08002B2CF9AE}" pid="48" name="NOSE31">
    <vt:lpwstr>סיוע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התערבות ערכאת הערעור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8872;8994;8978</vt:lpwstr>
  </property>
  <property fmtid="{D5CDD505-2E9C-101B-9397-08002B2CF9AE}" pid="59" name="PADIDATE">
    <vt:lpwstr>20210511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7881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410120210510</vt:lpwstr>
  </property>
  <property fmtid="{D5CDD505-2E9C-101B-9397-08002B2CF9AE}" pid="69" name="TYPE_N_DATE">
    <vt:lpwstr>41020210510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